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榆阳区易返贫致贫户</w:t>
      </w: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  <w:t>风险消除标注</w:t>
      </w: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名单</w:t>
      </w:r>
    </w:p>
    <w:p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5"/>
        <w:tblpPr w:leftFromText="180" w:rightFromText="180" w:vertAnchor="text" w:horzAnchor="page" w:tblpX="1747" w:tblpY="38"/>
        <w:tblOverlap w:val="never"/>
        <w:tblW w:w="14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2225"/>
        <w:gridCol w:w="1787"/>
        <w:gridCol w:w="1375"/>
        <w:gridCol w:w="1450"/>
        <w:gridCol w:w="6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6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已落实帮扶措施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上盐湾镇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陈崖窑村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高志才</w:t>
            </w: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落实村医签约服务、湖羊肉牛分红、公益林生态效益补贴补助、退耕还林政策补贴、农村新型合作医疗补偿资金补贴补助、计划生育家庭奖励扶助、按月领取养老金、帮扶联系人慰问、2024年养殖奖补资金等措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上盐湾镇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设家沟村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高秀芳</w:t>
            </w: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落实大病医疗救助、临时救助、代缴医保、领取养老金、入股肉牛湖羊分红、入股农投公司分红、享受产业奖补、落实医疗帮扶等措施。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jhjMjFkYjkyYjExN2EzZDJmYWZiN2U5MTQwYmYifQ=="/>
  </w:docVars>
  <w:rsids>
    <w:rsidRoot w:val="62012996"/>
    <w:rsid w:val="6201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  <w:style w:type="paragraph" w:styleId="3">
    <w:name w:val="Body Text Indent"/>
    <w:basedOn w:val="1"/>
    <w:qFormat/>
    <w:uiPriority w:val="0"/>
    <w:pPr>
      <w:spacing w:line="520" w:lineRule="exact"/>
      <w:ind w:left="840" w:leftChars="350" w:hanging="105" w:hangingChars="50"/>
    </w:pPr>
    <w:rPr>
      <w:szCs w:val="20"/>
    </w:rPr>
  </w:style>
  <w:style w:type="paragraph" w:styleId="4">
    <w:name w:val="Body Text First Indent 2"/>
    <w:basedOn w:val="3"/>
    <w:qFormat/>
    <w:uiPriority w:val="0"/>
    <w:pPr>
      <w:spacing w:line="240" w:lineRule="auto"/>
      <w:ind w:left="420" w:leftChars="200" w:firstLine="21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2024-09-25T02:40:00Z</dcterms:created>
  <dc:creator>冯蛋蛋</dc:creator>
  <cp:lastModifiedBy>冯蛋蛋</cp:lastModifiedBy>
  <dcterms:modified xsi:type="dcterms:W3CDTF">2024-09-25T02:41:03Z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2CDF69098681480486534F1D0DA468C3_11</vt:lpwstr>
  </property>
</Properties>
</file>