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黑体" w:eastAsia="黑体"/>
          <w:sz w:val="44"/>
          <w:u w:val="none" w:color="auto"/>
        </w:rPr>
      </w:pPr>
      <w:bookmarkStart w:id="0" w:name="_GoBack"/>
      <w:bookmarkEnd w:id="0"/>
      <w:r>
        <w:rPr>
          <w:rFonts w:hint="eastAsia" w:ascii="黑体" w:eastAsia="黑体"/>
          <w:sz w:val="44"/>
          <w:u w:val="none" w:color="auto"/>
        </w:rPr>
        <w:t>榆林市</w:t>
      </w:r>
      <w:r>
        <w:rPr>
          <w:rFonts w:hint="eastAsia" w:ascii="黑体" w:eastAsia="黑体"/>
          <w:sz w:val="44"/>
          <w:u w:val="none" w:color="auto"/>
          <w:lang w:eastAsia="zh-CN"/>
        </w:rPr>
        <w:t>榆阳区</w:t>
      </w:r>
      <w:r>
        <w:rPr>
          <w:rFonts w:hint="eastAsia" w:ascii="黑体" w:eastAsia="黑体"/>
          <w:sz w:val="44"/>
          <w:u w:val="none" w:color="auto"/>
        </w:rPr>
        <w:t>就业见习协议书</w:t>
      </w:r>
    </w:p>
    <w:p>
      <w:pPr>
        <w:spacing w:line="500" w:lineRule="exact"/>
        <w:rPr>
          <w:rFonts w:hint="eastAsia" w:ascii="仿宋_GB2312" w:hAnsi="仿宋" w:eastAsia="仿宋_GB2312"/>
          <w:sz w:val="28"/>
          <w:u w:val="none" w:color="auto"/>
        </w:rPr>
      </w:pPr>
      <w:r>
        <w:rPr>
          <w:rFonts w:hint="eastAsia" w:ascii="仿宋_GB2312" w:hAnsi="仿宋" w:eastAsia="仿宋_GB2312"/>
          <w:sz w:val="28"/>
          <w:u w:val="none" w:color="auto"/>
        </w:rPr>
        <w:t>甲方（见习单位）：</w:t>
      </w:r>
    </w:p>
    <w:p>
      <w:pPr>
        <w:spacing w:line="500" w:lineRule="exact"/>
        <w:rPr>
          <w:rFonts w:hint="eastAsia" w:ascii="仿宋_GB2312" w:hAnsi="仿宋" w:eastAsia="仿宋_GB2312"/>
          <w:sz w:val="28"/>
          <w:u w:val="none" w:color="auto"/>
        </w:rPr>
      </w:pPr>
      <w:r>
        <w:rPr>
          <w:rFonts w:hint="eastAsia" w:ascii="仿宋_GB2312" w:hAnsi="仿宋" w:eastAsia="仿宋_GB2312"/>
          <w:sz w:val="28"/>
          <w:u w:val="none" w:color="auto"/>
        </w:rPr>
        <w:t>地址：                              联系电话：</w:t>
      </w:r>
    </w:p>
    <w:p>
      <w:pPr>
        <w:spacing w:line="500" w:lineRule="exact"/>
        <w:rPr>
          <w:rFonts w:hint="eastAsia" w:ascii="仿宋_GB2312" w:hAnsi="仿宋" w:eastAsia="仿宋_GB2312"/>
          <w:sz w:val="28"/>
          <w:u w:val="none" w:color="auto"/>
        </w:rPr>
      </w:pPr>
      <w:r>
        <w:rPr>
          <w:rFonts w:hint="eastAsia" w:ascii="仿宋_GB2312" w:hAnsi="仿宋" w:eastAsia="仿宋_GB2312"/>
          <w:sz w:val="28"/>
          <w:u w:val="none" w:color="auto"/>
        </w:rPr>
        <w:t>乙方（见习人员）：</w:t>
      </w:r>
    </w:p>
    <w:p>
      <w:pPr>
        <w:spacing w:line="500" w:lineRule="exact"/>
        <w:rPr>
          <w:rFonts w:hint="eastAsia" w:ascii="仿宋_GB2312" w:hAnsi="仿宋" w:eastAsia="仿宋_GB2312"/>
          <w:sz w:val="28"/>
          <w:u w:val="none" w:color="auto"/>
        </w:rPr>
      </w:pPr>
      <w:r>
        <w:rPr>
          <w:rFonts w:hint="eastAsia" w:ascii="仿宋_GB2312" w:hAnsi="仿宋" w:eastAsia="仿宋_GB2312"/>
          <w:sz w:val="28"/>
          <w:u w:val="none" w:color="auto"/>
        </w:rPr>
        <w:t>身份证号码：                        联系电话：</w:t>
      </w:r>
    </w:p>
    <w:p>
      <w:pPr>
        <w:spacing w:line="440" w:lineRule="exact"/>
        <w:ind w:firstLine="883"/>
        <w:jc w:val="left"/>
        <w:rPr>
          <w:rFonts w:hint="eastAsia" w:ascii="仿宋_GB2312" w:hAnsi="仿宋" w:eastAsia="仿宋_GB2312"/>
          <w:sz w:val="28"/>
          <w:u w:val="none" w:color="auto"/>
        </w:rPr>
      </w:pPr>
      <w:r>
        <w:rPr>
          <w:rFonts w:hint="eastAsia" w:ascii="仿宋_GB2312" w:hAnsi="仿宋" w:eastAsia="仿宋_GB2312"/>
          <w:sz w:val="28"/>
          <w:u w:val="none" w:color="auto"/>
        </w:rPr>
        <w:t>根据《榆林市人力资源和社会保障局 榆林市财政局关于印发&lt;榆林市就业见习管理办法&gt;的通知》(榆政人社发〔2021〕446号)等就业见习政策文件规定，乙方符合我</w:t>
      </w:r>
      <w:r>
        <w:rPr>
          <w:rFonts w:hint="eastAsia" w:ascii="仿宋_GB2312" w:hAnsi="仿宋" w:eastAsia="仿宋_GB2312"/>
          <w:sz w:val="28"/>
          <w:u w:val="none" w:color="auto"/>
          <w:lang w:eastAsia="zh-CN"/>
        </w:rPr>
        <w:t>区</w:t>
      </w:r>
      <w:r>
        <w:rPr>
          <w:rFonts w:hint="eastAsia" w:ascii="仿宋_GB2312" w:hAnsi="仿宋" w:eastAsia="仿宋_GB2312"/>
          <w:sz w:val="28"/>
          <w:u w:val="none" w:color="auto"/>
        </w:rPr>
        <w:t>就业见习人员条件，甲乙双方在平等自愿的基础上协商一致签订本协议。本协议期限为：</w:t>
      </w:r>
    </w:p>
    <w:p>
      <w:pPr>
        <w:spacing w:line="440" w:lineRule="exact"/>
        <w:ind w:firstLine="560" w:firstLineChars="200"/>
        <w:jc w:val="left"/>
        <w:rPr>
          <w:rFonts w:hint="eastAsia" w:ascii="仿宋_GB2312" w:hAnsi="仿宋" w:eastAsia="仿宋_GB2312"/>
          <w:sz w:val="28"/>
          <w:u w:val="none" w:color="auto"/>
        </w:rPr>
      </w:pPr>
      <w:r>
        <w:rPr>
          <w:rFonts w:hint="eastAsia" w:ascii="仿宋_GB2312" w:hAnsi="仿宋" w:eastAsia="仿宋_GB2312"/>
          <w:sz w:val="28"/>
          <w:u w:val="none" w:color="auto"/>
        </w:rPr>
        <w:t>自</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年</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月</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日起至</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年</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月</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日止。</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第一条 见习岗位</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甲方按见习计划与有关要求，安排乙方在</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岗位见习，乙方应按照见习岗位要求，努力完成见习任务。见习岗位职责与任务为</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 。</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第二条 见习与休息时间</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乙方在甲方见习期间，原则上每天见习时间不超过八小时，每周不超过四十小时。</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甲方保证乙方按国家有关规定享受各种休息、休假的权利。</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第三条 劳动保护和劳动条件</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见习期间甲方应根据国家及榆林市有关规定为乙方提供安全卫生的见习条件，为乙方配备必须的劳动防护用品。</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甲方应对乙方进行安全教育和岗位技能培训，不得让乙方从事特种作业。</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甲方不得安排18周岁以下的见习人员从事矿山井下、有毒、有害和国家规定的第四级体力劳动强度的工作。</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甲方不得安排女性见习人员在经期从事高温、低温、冷水作业和国家规定的第三级体力劳动强度的工作。</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5</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乙方在见习过程中应严格遵守劳动安全卫生规程和操作规程，有权拒绝违章指挥，对甲方及其管理人员漠视人身安全和健康的行为有权拒绝执行、检举或控告。</w:t>
      </w:r>
    </w:p>
    <w:p>
      <w:pPr>
        <w:spacing w:line="440" w:lineRule="exact"/>
        <w:ind w:firstLine="544"/>
        <w:rPr>
          <w:rFonts w:hint="eastAsia" w:ascii="仿宋_GB2312" w:hAnsi="仿宋" w:eastAsia="仿宋_GB2312"/>
          <w:spacing w:val="-4"/>
          <w:sz w:val="28"/>
          <w:u w:val="none" w:color="auto"/>
        </w:rPr>
      </w:pPr>
      <w:r>
        <w:rPr>
          <w:rFonts w:hint="eastAsia" w:ascii="仿宋_GB2312" w:hAnsi="仿宋" w:eastAsia="仿宋_GB2312"/>
          <w:spacing w:val="-4"/>
          <w:sz w:val="28"/>
          <w:u w:val="none" w:color="auto"/>
        </w:rPr>
        <w:t>6</w:t>
      </w:r>
      <w:r>
        <w:rPr>
          <w:rFonts w:hint="eastAsia" w:ascii="仿宋_GB2312" w:hAnsi="仿宋" w:eastAsia="仿宋_GB2312"/>
          <w:sz w:val="28"/>
          <w:u w:val="none" w:color="auto"/>
          <w:lang w:eastAsia="zh-CN"/>
        </w:rPr>
        <w:t>.</w:t>
      </w:r>
      <w:r>
        <w:rPr>
          <w:rFonts w:hint="eastAsia" w:ascii="仿宋_GB2312" w:hAnsi="仿宋" w:eastAsia="仿宋_GB2312"/>
          <w:spacing w:val="-4"/>
          <w:sz w:val="28"/>
          <w:u w:val="none" w:color="auto"/>
        </w:rPr>
        <w:t>甲方为乙方购买人身意外伤害保险。</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第四条 劳动纪律</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甲方有权按照国家有关规定及本单位的规章制度对乙方实行管理。</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乙方应遵守甲方依法制定的各项规章制度和劳动纪律，保守甲方的商业秘密。</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第五条 见习补贴</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乙方见习期间，享受政府提供的见习生活补贴。政府见习生活补贴按自然月份计算，甲方按照以下方式将见习生活补贴发放给乙方：</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（1）乙方按规定正常出勤的，甲方</w:t>
      </w:r>
      <w:r>
        <w:rPr>
          <w:rFonts w:hint="eastAsia" w:ascii="仿宋_GB2312" w:hAnsi="仿宋" w:eastAsia="仿宋_GB2312"/>
          <w:sz w:val="28"/>
          <w:u w:val="none" w:color="auto"/>
          <w:lang w:eastAsia="zh-CN"/>
        </w:rPr>
        <w:t>垫付</w:t>
      </w:r>
      <w:r>
        <w:rPr>
          <w:rFonts w:hint="eastAsia" w:ascii="仿宋_GB2312" w:hAnsi="仿宋" w:eastAsia="仿宋_GB2312"/>
          <w:sz w:val="28"/>
          <w:u w:val="none" w:color="auto"/>
        </w:rPr>
        <w:t>乙方见习期政府补贴人民币</w:t>
      </w:r>
      <w:r>
        <w:rPr>
          <w:rFonts w:hint="eastAsia" w:ascii="仿宋_GB2312" w:hAnsi="仿宋" w:eastAsia="仿宋_GB2312"/>
          <w:sz w:val="28"/>
          <w:u w:val="single" w:color="auto"/>
        </w:rPr>
        <w:t xml:space="preserve">  1</w:t>
      </w:r>
      <w:r>
        <w:rPr>
          <w:rFonts w:hint="eastAsia" w:ascii="仿宋_GB2312" w:hAnsi="仿宋" w:eastAsia="仿宋_GB2312"/>
          <w:sz w:val="28"/>
          <w:u w:val="single" w:color="auto"/>
          <w:lang w:val="en-US" w:eastAsia="zh-CN"/>
        </w:rPr>
        <w:t>7</w:t>
      </w:r>
      <w:r>
        <w:rPr>
          <w:rFonts w:hint="eastAsia" w:ascii="仿宋_GB2312" w:hAnsi="仿宋" w:eastAsia="仿宋_GB2312"/>
          <w:sz w:val="28"/>
          <w:u w:val="single" w:color="auto"/>
        </w:rPr>
        <w:t xml:space="preserve">00  </w:t>
      </w:r>
      <w:r>
        <w:rPr>
          <w:rFonts w:hint="eastAsia" w:ascii="仿宋_GB2312" w:hAnsi="仿宋" w:eastAsia="仿宋_GB2312"/>
          <w:sz w:val="28"/>
          <w:u w:val="none" w:color="auto"/>
        </w:rPr>
        <w:t>元／月；</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（2）乙方月出勤时间10至15个工作日的，甲方</w:t>
      </w:r>
      <w:r>
        <w:rPr>
          <w:rFonts w:hint="eastAsia" w:ascii="仿宋_GB2312" w:hAnsi="仿宋" w:eastAsia="仿宋_GB2312"/>
          <w:sz w:val="28"/>
          <w:u w:val="none" w:color="auto"/>
          <w:lang w:eastAsia="zh-CN"/>
        </w:rPr>
        <w:t>垫付</w:t>
      </w:r>
      <w:r>
        <w:rPr>
          <w:rFonts w:hint="eastAsia" w:ascii="仿宋_GB2312" w:hAnsi="仿宋" w:eastAsia="仿宋_GB2312"/>
          <w:sz w:val="28"/>
          <w:u w:val="none" w:color="auto"/>
        </w:rPr>
        <w:t>乙方见习期政府补贴人民币</w:t>
      </w:r>
      <w:r>
        <w:rPr>
          <w:rFonts w:hint="eastAsia" w:ascii="仿宋_GB2312" w:hAnsi="仿宋" w:eastAsia="仿宋_GB2312"/>
          <w:sz w:val="28"/>
          <w:u w:val="single" w:color="auto"/>
        </w:rPr>
        <w:t xml:space="preserve">   </w:t>
      </w:r>
      <w:r>
        <w:rPr>
          <w:rFonts w:hint="eastAsia" w:ascii="仿宋_GB2312" w:hAnsi="仿宋" w:eastAsia="仿宋_GB2312"/>
          <w:sz w:val="28"/>
          <w:u w:val="single" w:color="auto"/>
          <w:lang w:val="en-US" w:eastAsia="zh-CN"/>
        </w:rPr>
        <w:t>850</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元／月；</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（3）乙方月出勤时间不满10个工作日的，当月不享受见习补贴。</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甲方自行支付乙方生活补助人民币</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元／月。</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第六条 本协议的解除、变更、终止</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1、经甲乙双方协商同意，本协议可以变更或解除。</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2、有下列情形之一，甲方可以单方解除协议：</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（1）乙方不愿意继续参加见习，或由于患病等原因不宜继续从事就业见习的；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（2）乙方已落实工作单位或被见习单位正式招用的；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（3）乙方不遵守见习规章制度且经教育无效的；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（4）乙方不服从见习单位管理造成严重损失的。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有下列情形之一，乙方可以单方解除协议：</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（1）甲方未及时为乙方申请办理人身意外伤害保险；</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（2）甲方未按协议约定及时足额支付见习生活补贴（助）；</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（3）甲方未按协议约定提供见习岗位或见习条件；</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（4）甲方安排乙方在不符合国家安全生产有关规定的岗位见习；</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（5）甲方以暴力、威胁或非法限制人身自由等手段强迫乙方见习；</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（6）甲方有违反本协议第三条相关规定的。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本协议到期即终止。</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第七条 违约责任</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甲乙双方任何一方违反本协议规定的各自应承担的职责和义务，即为违约，守约方有权终止本协议。</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甲方未能及时足额为乙方办理人身意外伤害保险，致使乙方受损的，应予赔偿。</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乙方违反甲方管理制度，给甲方造成损失的，应予赔偿。</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甲方未能按时足额向乙方支付见习生活补贴，乙方有权追偿。</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第八条 争议解决途径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甲、乙双方履行本协议发生争议先经见习人员所在学校或公共就业人才服务机构进行调解，调解未成的按《中华人民共和国民事诉讼法》有关规定处理。</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第九条 其他约定</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w:t>
      </w:r>
      <w:r>
        <w:rPr>
          <w:rFonts w:hint="eastAsia" w:ascii="仿宋_GB2312" w:hAnsi="仿宋" w:eastAsia="仿宋_GB2312"/>
          <w:sz w:val="28"/>
          <w:u w:val="none" w:color="auto"/>
          <w:lang w:eastAsia="zh-CN"/>
        </w:rPr>
        <w:t>.</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                            </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w:t>
      </w:r>
      <w:r>
        <w:rPr>
          <w:rFonts w:hint="eastAsia" w:ascii="仿宋_GB2312" w:hAnsi="仿宋" w:eastAsia="仿宋_GB2312"/>
          <w:sz w:val="28"/>
          <w:u w:val="none" w:color="auto"/>
          <w:lang w:eastAsia="zh-CN"/>
        </w:rPr>
        <w:t>.</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                             </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w:t>
      </w:r>
      <w:r>
        <w:rPr>
          <w:rFonts w:hint="eastAsia" w:ascii="仿宋_GB2312" w:hAnsi="仿宋" w:eastAsia="仿宋_GB2312"/>
          <w:sz w:val="28"/>
          <w:u w:val="none" w:color="auto"/>
          <w:lang w:eastAsia="zh-CN"/>
        </w:rPr>
        <w:t>.</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                            </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本协议自签订之日起生效，未尽事宜，由甲乙双方补充约定或协商解决。</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5</w:t>
      </w:r>
      <w:r>
        <w:rPr>
          <w:rFonts w:hint="eastAsia" w:ascii="仿宋_GB2312" w:hAnsi="仿宋" w:eastAsia="仿宋_GB2312"/>
          <w:sz w:val="28"/>
          <w:u w:val="none" w:color="auto"/>
          <w:lang w:eastAsia="zh-CN"/>
        </w:rPr>
        <w:t>.</w:t>
      </w:r>
      <w:r>
        <w:rPr>
          <w:rFonts w:hint="eastAsia" w:ascii="仿宋_GB2312" w:hAnsi="仿宋" w:eastAsia="仿宋_GB2312"/>
          <w:sz w:val="28"/>
          <w:u w:val="none" w:color="auto"/>
        </w:rPr>
        <w:t>本协议一式</w:t>
      </w:r>
      <w:r>
        <w:rPr>
          <w:rFonts w:hint="eastAsia" w:ascii="仿宋_GB2312" w:hAnsi="仿宋" w:eastAsia="仿宋_GB2312"/>
          <w:sz w:val="28"/>
          <w:u w:val="none" w:color="auto"/>
          <w:lang w:eastAsia="zh-CN"/>
        </w:rPr>
        <w:t>俩</w:t>
      </w:r>
      <w:r>
        <w:rPr>
          <w:rFonts w:hint="eastAsia" w:ascii="仿宋_GB2312" w:hAnsi="仿宋" w:eastAsia="仿宋_GB2312"/>
          <w:sz w:val="28"/>
          <w:u w:val="none" w:color="auto"/>
        </w:rPr>
        <w:t>份，甲方、乙方各执一份，公共</w:t>
      </w:r>
      <w:r>
        <w:rPr>
          <w:rFonts w:hint="eastAsia" w:ascii="仿宋_GB2312" w:hAnsi="仿宋" w:eastAsia="仿宋_GB2312"/>
          <w:spacing w:val="-4"/>
          <w:sz w:val="28"/>
          <w:u w:val="none" w:color="auto"/>
        </w:rPr>
        <w:t>公共就业人才服务机构</w:t>
      </w:r>
      <w:r>
        <w:rPr>
          <w:rFonts w:hint="eastAsia" w:ascii="仿宋_GB2312" w:hAnsi="仿宋" w:eastAsia="仿宋_GB2312"/>
          <w:sz w:val="28"/>
          <w:u w:val="none" w:color="auto"/>
        </w:rPr>
        <w:t>留存备案</w:t>
      </w:r>
      <w:r>
        <w:rPr>
          <w:rFonts w:hint="eastAsia" w:ascii="仿宋_GB2312" w:hAnsi="仿宋" w:eastAsia="仿宋_GB2312"/>
          <w:sz w:val="28"/>
          <w:u w:val="none" w:color="auto"/>
          <w:lang w:eastAsia="zh-CN"/>
        </w:rPr>
        <w:t>扫描件</w:t>
      </w:r>
      <w:r>
        <w:rPr>
          <w:rFonts w:hint="eastAsia" w:ascii="仿宋_GB2312" w:hAnsi="仿宋" w:eastAsia="仿宋_GB2312"/>
          <w:sz w:val="28"/>
          <w:u w:val="none" w:color="auto"/>
        </w:rPr>
        <w:t>。</w:t>
      </w:r>
    </w:p>
    <w:p>
      <w:pPr>
        <w:spacing w:line="560" w:lineRule="exact"/>
        <w:ind w:firstLine="420"/>
        <w:rPr>
          <w:rFonts w:hint="eastAsia" w:ascii="仿宋_GB2312" w:hAnsi="仿宋" w:eastAsia="仿宋_GB2312"/>
          <w:sz w:val="28"/>
          <w:u w:val="none" w:color="auto"/>
        </w:rPr>
      </w:pPr>
    </w:p>
    <w:p>
      <w:pPr>
        <w:spacing w:line="560" w:lineRule="exact"/>
        <w:ind w:firstLine="420"/>
        <w:rPr>
          <w:rFonts w:hint="eastAsia" w:ascii="仿宋_GB2312" w:hAnsi="仿宋" w:eastAsia="仿宋_GB2312"/>
          <w:sz w:val="28"/>
          <w:u w:val="none" w:color="auto"/>
        </w:rPr>
      </w:pPr>
      <w:r>
        <w:rPr>
          <w:rFonts w:hint="eastAsia" w:ascii="仿宋_GB2312" w:hAnsi="仿宋" w:eastAsia="仿宋_GB2312"/>
          <w:sz w:val="28"/>
          <w:u w:val="none" w:color="auto"/>
        </w:rPr>
        <w:t xml:space="preserve">甲方（盖章）：                   乙方（签字）：          </w:t>
      </w:r>
    </w:p>
    <w:p>
      <w:pPr>
        <w:spacing w:line="560" w:lineRule="exact"/>
        <w:ind w:firstLine="280" w:firstLineChars="100"/>
        <w:jc w:val="left"/>
        <w:rPr>
          <w:rFonts w:hint="eastAsia" w:ascii="仿宋_GB2312" w:hAnsi="仿宋" w:eastAsia="仿宋_GB2312"/>
          <w:sz w:val="28"/>
          <w:u w:val="none" w:color="auto"/>
        </w:rPr>
      </w:pPr>
    </w:p>
    <w:p>
      <w:pPr>
        <w:spacing w:line="560" w:lineRule="exact"/>
        <w:ind w:firstLine="560" w:firstLineChars="200"/>
        <w:jc w:val="left"/>
        <w:rPr>
          <w:rFonts w:hint="eastAsia" w:ascii="仿宋_GB2312" w:hAnsi="仿宋" w:eastAsia="仿宋_GB2312"/>
          <w:sz w:val="28"/>
          <w:u w:val="none" w:color="auto"/>
        </w:rPr>
      </w:pPr>
      <w:r>
        <w:rPr>
          <w:rFonts w:hint="eastAsia" w:ascii="仿宋_GB2312" w:hAnsi="仿宋" w:eastAsia="仿宋_GB2312"/>
          <w:sz w:val="28"/>
          <w:u w:val="none" w:color="auto"/>
        </w:rPr>
        <w:t xml:space="preserve"> 年   月   日                    </w:t>
      </w:r>
      <w:r>
        <w:rPr>
          <w:rFonts w:hint="eastAsia" w:ascii="仿宋_GB2312" w:hAnsi="仿宋" w:eastAsia="仿宋_GB2312"/>
          <w:sz w:val="28"/>
          <w:u w:val="none" w:color="auto"/>
          <w:lang w:val="en-US" w:eastAsia="zh-CN"/>
        </w:rPr>
        <w:t xml:space="preserve">  </w:t>
      </w:r>
      <w:r>
        <w:rPr>
          <w:rFonts w:hint="eastAsia" w:ascii="仿宋_GB2312" w:hAnsi="仿宋" w:eastAsia="仿宋_GB2312"/>
          <w:sz w:val="28"/>
          <w:u w:val="none" w:color="auto"/>
        </w:rPr>
        <w:t>年   月   日</w:t>
      </w:r>
    </w:p>
    <w:p>
      <w:pPr>
        <w:rPr>
          <w:rFonts w:hint="eastAsia"/>
          <w:szCs w:val="28"/>
          <w:u w:val="none" w:color="auto"/>
        </w:rPr>
      </w:pPr>
    </w:p>
    <w:sectPr>
      <w:headerReference r:id="rId3" w:type="default"/>
      <w:footerReference r:id="rId4" w:type="default"/>
      <w:footerReference r:id="rId5" w:type="even"/>
      <w:pgSz w:w="11906" w:h="16838"/>
      <w:pgMar w:top="1644" w:right="1588" w:bottom="141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180" w:firstLineChars="100"/>
      <w:rPr>
        <w:rStyle w:val="7"/>
        <w:color w:val="000000"/>
        <w:u w:val="none" w:color="auto"/>
      </w:rPr>
    </w:pPr>
    <w:r>
      <w:rPr>
        <w:color w:val="000000"/>
        <w:u w:val="none" w:color="auto"/>
      </w:rPr>
      <w:fldChar w:fldCharType="begin"/>
    </w:r>
    <w:r>
      <w:rPr>
        <w:rStyle w:val="7"/>
        <w:color w:val="000000"/>
        <w:u w:val="none" w:color="auto"/>
      </w:rPr>
      <w:instrText xml:space="preserve">PAGE  </w:instrText>
    </w:r>
    <w:r>
      <w:rPr>
        <w:color w:val="000000"/>
        <w:u w:val="none" w:color="auto"/>
      </w:rPr>
      <w:fldChar w:fldCharType="separate"/>
    </w:r>
    <w:r>
      <w:rPr>
        <w:rStyle w:val="7"/>
        <w:color w:val="000000"/>
        <w:u w:val="none" w:color="auto"/>
        <w:lang/>
      </w:rPr>
      <w:t>1</w:t>
    </w:r>
    <w:r>
      <w:rPr>
        <w:color w:val="000000"/>
        <w:u w:val="none" w:color="auto"/>
      </w:rPr>
      <w:fldChar w:fldCharType="end"/>
    </w:r>
  </w:p>
  <w:p>
    <w:pPr>
      <w:pStyle w:val="3"/>
      <w:tabs>
        <w:tab w:val="clear" w:pos="8306"/>
      </w:tabs>
      <w:rPr>
        <w:rFonts w:hint="eastAsia"/>
        <w:u w:val="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4E"/>
    <w:rsid w:val="000102FB"/>
    <w:rsid w:val="00017F30"/>
    <w:rsid w:val="0002103B"/>
    <w:rsid w:val="00046245"/>
    <w:rsid w:val="00080DC5"/>
    <w:rsid w:val="000C1411"/>
    <w:rsid w:val="000C3A16"/>
    <w:rsid w:val="000F124A"/>
    <w:rsid w:val="00116343"/>
    <w:rsid w:val="00126AAB"/>
    <w:rsid w:val="00140A0F"/>
    <w:rsid w:val="00152CB3"/>
    <w:rsid w:val="001643A7"/>
    <w:rsid w:val="00192C29"/>
    <w:rsid w:val="0020361A"/>
    <w:rsid w:val="0021316B"/>
    <w:rsid w:val="002265AD"/>
    <w:rsid w:val="00270D13"/>
    <w:rsid w:val="0029497A"/>
    <w:rsid w:val="00294B2E"/>
    <w:rsid w:val="002A2C69"/>
    <w:rsid w:val="002B22D9"/>
    <w:rsid w:val="002D663C"/>
    <w:rsid w:val="002E3442"/>
    <w:rsid w:val="002F74E8"/>
    <w:rsid w:val="00302002"/>
    <w:rsid w:val="00306E09"/>
    <w:rsid w:val="003125A1"/>
    <w:rsid w:val="003259FE"/>
    <w:rsid w:val="00346D2F"/>
    <w:rsid w:val="003969F2"/>
    <w:rsid w:val="003B5D41"/>
    <w:rsid w:val="003C1195"/>
    <w:rsid w:val="003C3D67"/>
    <w:rsid w:val="003F4269"/>
    <w:rsid w:val="00402967"/>
    <w:rsid w:val="00402F3D"/>
    <w:rsid w:val="00415832"/>
    <w:rsid w:val="00473E64"/>
    <w:rsid w:val="004C68D1"/>
    <w:rsid w:val="00505950"/>
    <w:rsid w:val="005216A6"/>
    <w:rsid w:val="00523C69"/>
    <w:rsid w:val="005274DC"/>
    <w:rsid w:val="005345E8"/>
    <w:rsid w:val="0054115B"/>
    <w:rsid w:val="00555FA7"/>
    <w:rsid w:val="00592C22"/>
    <w:rsid w:val="005A1C68"/>
    <w:rsid w:val="005A62FF"/>
    <w:rsid w:val="005F2285"/>
    <w:rsid w:val="005F5C1E"/>
    <w:rsid w:val="005F7718"/>
    <w:rsid w:val="0060262E"/>
    <w:rsid w:val="00613A1E"/>
    <w:rsid w:val="006209DC"/>
    <w:rsid w:val="00653DE9"/>
    <w:rsid w:val="00675134"/>
    <w:rsid w:val="00692A59"/>
    <w:rsid w:val="00693F33"/>
    <w:rsid w:val="006B19DA"/>
    <w:rsid w:val="006C6B6B"/>
    <w:rsid w:val="006F7DA7"/>
    <w:rsid w:val="00702BF9"/>
    <w:rsid w:val="00725493"/>
    <w:rsid w:val="00743AB7"/>
    <w:rsid w:val="00755364"/>
    <w:rsid w:val="00762272"/>
    <w:rsid w:val="007741EA"/>
    <w:rsid w:val="007810AC"/>
    <w:rsid w:val="00793445"/>
    <w:rsid w:val="007A0D08"/>
    <w:rsid w:val="007B1EF2"/>
    <w:rsid w:val="007B68EB"/>
    <w:rsid w:val="007C034E"/>
    <w:rsid w:val="007F6BFC"/>
    <w:rsid w:val="00820415"/>
    <w:rsid w:val="00827979"/>
    <w:rsid w:val="00841338"/>
    <w:rsid w:val="00851BC1"/>
    <w:rsid w:val="00854406"/>
    <w:rsid w:val="008844E8"/>
    <w:rsid w:val="00886E11"/>
    <w:rsid w:val="008B0A3B"/>
    <w:rsid w:val="008C232E"/>
    <w:rsid w:val="008C2B00"/>
    <w:rsid w:val="008C3EA5"/>
    <w:rsid w:val="008F7DD4"/>
    <w:rsid w:val="009261D6"/>
    <w:rsid w:val="00943B8C"/>
    <w:rsid w:val="00966A4B"/>
    <w:rsid w:val="00975170"/>
    <w:rsid w:val="00976962"/>
    <w:rsid w:val="00997973"/>
    <w:rsid w:val="009A2C7A"/>
    <w:rsid w:val="009A5211"/>
    <w:rsid w:val="009B2396"/>
    <w:rsid w:val="009B2DB2"/>
    <w:rsid w:val="009E2A66"/>
    <w:rsid w:val="009E7ABD"/>
    <w:rsid w:val="00A02C65"/>
    <w:rsid w:val="00A1177F"/>
    <w:rsid w:val="00A27332"/>
    <w:rsid w:val="00A30C6A"/>
    <w:rsid w:val="00A32EFA"/>
    <w:rsid w:val="00A35064"/>
    <w:rsid w:val="00A605E9"/>
    <w:rsid w:val="00A76AA4"/>
    <w:rsid w:val="00AD0AC4"/>
    <w:rsid w:val="00B04D3B"/>
    <w:rsid w:val="00B06BCD"/>
    <w:rsid w:val="00B21F61"/>
    <w:rsid w:val="00B2732E"/>
    <w:rsid w:val="00B371BD"/>
    <w:rsid w:val="00B465D0"/>
    <w:rsid w:val="00B466A7"/>
    <w:rsid w:val="00B75174"/>
    <w:rsid w:val="00B91113"/>
    <w:rsid w:val="00B91E9A"/>
    <w:rsid w:val="00B92CD6"/>
    <w:rsid w:val="00BD0C8F"/>
    <w:rsid w:val="00BF6CCF"/>
    <w:rsid w:val="00C26F1A"/>
    <w:rsid w:val="00C464FB"/>
    <w:rsid w:val="00C756B8"/>
    <w:rsid w:val="00C95271"/>
    <w:rsid w:val="00C96E7E"/>
    <w:rsid w:val="00CA3595"/>
    <w:rsid w:val="00CC137A"/>
    <w:rsid w:val="00CD2C6F"/>
    <w:rsid w:val="00CF780F"/>
    <w:rsid w:val="00D35997"/>
    <w:rsid w:val="00D478C7"/>
    <w:rsid w:val="00D65EFD"/>
    <w:rsid w:val="00DC0568"/>
    <w:rsid w:val="00DC3EC0"/>
    <w:rsid w:val="00DE3670"/>
    <w:rsid w:val="00DF6102"/>
    <w:rsid w:val="00E00788"/>
    <w:rsid w:val="00E06B67"/>
    <w:rsid w:val="00E31AB9"/>
    <w:rsid w:val="00E47B1C"/>
    <w:rsid w:val="00E57E1B"/>
    <w:rsid w:val="00E939EA"/>
    <w:rsid w:val="00EA1762"/>
    <w:rsid w:val="00EA5FC2"/>
    <w:rsid w:val="00EC412B"/>
    <w:rsid w:val="00ED2F74"/>
    <w:rsid w:val="00EF533D"/>
    <w:rsid w:val="00F0026A"/>
    <w:rsid w:val="00F03F15"/>
    <w:rsid w:val="00F07A72"/>
    <w:rsid w:val="00F25305"/>
    <w:rsid w:val="00F57079"/>
    <w:rsid w:val="00F83D92"/>
    <w:rsid w:val="00F876BC"/>
    <w:rsid w:val="00FA69A7"/>
    <w:rsid w:val="00FD70EC"/>
    <w:rsid w:val="0C3C6653"/>
    <w:rsid w:val="391177E1"/>
    <w:rsid w:val="3EA7F894"/>
    <w:rsid w:val="743F4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cs="Arial"/>
      <w:sz w:val="18"/>
      <w:szCs w:val="18"/>
      <w:u w:val="double" w:color="FF0000"/>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style>
  <w:style w:type="paragraph" w:styleId="3">
    <w:name w:val="footer"/>
    <w:basedOn w:val="1"/>
    <w:uiPriority w:val="0"/>
    <w:pPr>
      <w:tabs>
        <w:tab w:val="center" w:pos="4153"/>
        <w:tab w:val="right" w:pos="8306"/>
      </w:tabs>
      <w:snapToGrid w:val="0"/>
      <w:jc w:val="left"/>
    </w:pPr>
  </w:style>
  <w:style w:type="paragraph" w:styleId="4">
    <w:name w:val="header"/>
    <w:basedOn w:val="1"/>
    <w:link w:val="8"/>
    <w:uiPriority w:val="99"/>
    <w:pPr>
      <w:pBdr>
        <w:bottom w:val="single" w:color="auto" w:sz="6" w:space="1"/>
      </w:pBdr>
      <w:tabs>
        <w:tab w:val="center" w:pos="4153"/>
        <w:tab w:val="right" w:pos="8306"/>
      </w:tabs>
      <w:snapToGrid w:val="0"/>
      <w:jc w:val="center"/>
    </w:pPr>
  </w:style>
  <w:style w:type="character" w:styleId="7">
    <w:name w:val="page number"/>
    <w:basedOn w:val="6"/>
    <w:uiPriority w:val="0"/>
  </w:style>
  <w:style w:type="character" w:customStyle="1" w:styleId="8">
    <w:name w:val=" Char"/>
    <w:link w:val="4"/>
    <w:uiPriority w:val="99"/>
    <w:rPr>
      <w:rFonts w:ascii="Arial" w:hAnsi="Arial" w:cs="Arial"/>
      <w:sz w:val="18"/>
      <w:szCs w:val="18"/>
      <w:u w:val="double" w:color="FF0000"/>
    </w:rPr>
  </w:style>
  <w:style w:type="paragraph" w:customStyle="1" w:styleId="9">
    <w:name w:val="样式 宋体 无下划线 自动设置 行距: 1.5 倍行距"/>
    <w:basedOn w:val="1"/>
    <w:next w:val="1"/>
    <w:uiPriority w:val="0"/>
    <w:pPr>
      <w:spacing w:line="360" w:lineRule="auto"/>
    </w:pPr>
    <w:rPr>
      <w:rFonts w:ascii="宋体" w:hAnsi="宋体" w:cs="宋体"/>
      <w:szCs w:val="20"/>
      <w:u w:val="none" w:color="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319</Words>
  <Characters>1823</Characters>
  <Lines>15</Lines>
  <Paragraphs>4</Paragraphs>
  <TotalTime>3</TotalTime>
  <ScaleCrop>false</ScaleCrop>
  <LinksUpToDate>false</LinksUpToDate>
  <CharactersWithSpaces>2138</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2018-01-11T15:49:00Z</dcterms:created>
  <dc:creator>USER</dc:creator>
  <cp:lastModifiedBy> </cp:lastModifiedBy>
  <cp:lastPrinted>2009-09-10T17:19:00Z</cp:lastPrinted>
  <dcterms:modified xsi:type="dcterms:W3CDTF">2024-08-08T15:53:46Z</dcterms:modified>
  <dc:title>高校毕业生见习协议书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CD2030FF7DBB00D28A79B466FBAD0EED</vt:lpwstr>
  </property>
</Properties>
</file>