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C07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rPr>
      </w:pPr>
    </w:p>
    <w:p w14:paraId="3708928E">
      <w:pPr>
        <w:snapToGrid/>
        <w:spacing w:before="0" w:beforeAutospacing="0" w:after="0" w:afterAutospacing="0" w:line="550" w:lineRule="exact"/>
        <w:ind w:right="-198"/>
        <w:jc w:val="center"/>
        <w:textAlignment w:val="baseline"/>
        <w:rPr>
          <w:rFonts w:hint="eastAsia" w:ascii="仿宋_GB2312" w:hAnsi="仿宋_GB2312" w:eastAsia="仿宋_GB2312" w:cs="仿宋_GB2312"/>
          <w:b w:val="0"/>
          <w:i w:val="0"/>
          <w:caps w:val="0"/>
          <w:spacing w:val="0"/>
          <w:w w:val="100"/>
          <w:sz w:val="28"/>
          <w:szCs w:val="28"/>
        </w:rPr>
      </w:pPr>
    </w:p>
    <w:p w14:paraId="026A16D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8"/>
          <w:szCs w:val="28"/>
        </w:rPr>
      </w:pPr>
    </w:p>
    <w:p w14:paraId="16FE604C">
      <w:pPr>
        <w:snapToGrid/>
        <w:spacing w:before="0" w:beforeAutospacing="0" w:after="0" w:afterAutospacing="0" w:line="240" w:lineRule="auto"/>
        <w:jc w:val="both"/>
        <w:textAlignment w:val="baseline"/>
        <w:rPr>
          <w:rFonts w:hint="eastAsia"/>
          <w:b w:val="0"/>
          <w:i w:val="0"/>
          <w:caps w:val="0"/>
          <w:spacing w:val="0"/>
          <w:w w:val="100"/>
          <w:sz w:val="96"/>
          <w:szCs w:val="160"/>
        </w:rPr>
      </w:pPr>
    </w:p>
    <w:p w14:paraId="7A8D1B9E">
      <w:pPr>
        <w:pStyle w:val="2"/>
        <w:snapToGrid/>
        <w:spacing w:before="156" w:beforeAutospacing="0" w:after="0" w:afterAutospacing="0" w:line="360" w:lineRule="auto"/>
        <w:jc w:val="both"/>
        <w:textAlignment w:val="baseline"/>
        <w:rPr>
          <w:rFonts w:hint="eastAsia"/>
          <w:b/>
          <w:i w:val="0"/>
          <w:caps w:val="0"/>
          <w:spacing w:val="0"/>
          <w:w w:val="100"/>
          <w:sz w:val="28"/>
        </w:rPr>
      </w:pPr>
    </w:p>
    <w:p w14:paraId="2EB50B2E">
      <w:pPr>
        <w:snapToGrid/>
        <w:spacing w:before="0" w:beforeAutospacing="0" w:after="0" w:afterAutospacing="0" w:line="240" w:lineRule="auto"/>
        <w:jc w:val="both"/>
        <w:textAlignment w:val="baseline"/>
        <w:rPr>
          <w:rFonts w:hint="eastAsia"/>
          <w:b w:val="0"/>
          <w:i w:val="0"/>
          <w:caps w:val="0"/>
          <w:spacing w:val="0"/>
          <w:w w:val="100"/>
          <w:sz w:val="20"/>
        </w:rPr>
      </w:pPr>
    </w:p>
    <w:p w14:paraId="0C5103EF">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榆区环</w:t>
      </w:r>
      <w:r>
        <w:rPr>
          <w:rFonts w:hint="eastAsia" w:ascii="仿宋" w:hAnsi="仿宋" w:eastAsia="仿宋" w:cs="仿宋"/>
          <w:b w:val="0"/>
          <w:i w:val="0"/>
          <w:caps w:val="0"/>
          <w:spacing w:val="0"/>
          <w:w w:val="100"/>
          <w:sz w:val="32"/>
          <w:szCs w:val="32"/>
          <w:lang w:val="en-US" w:eastAsia="zh-CN"/>
        </w:rPr>
        <w:t>审</w:t>
      </w:r>
      <w:r>
        <w:rPr>
          <w:rFonts w:hint="eastAsia" w:ascii="仿宋" w:hAnsi="仿宋" w:eastAsia="仿宋" w:cs="仿宋"/>
          <w:b w:val="0"/>
          <w:i w:val="0"/>
          <w:caps w:val="0"/>
          <w:spacing w:val="0"/>
          <w:w w:val="100"/>
          <w:sz w:val="32"/>
          <w:szCs w:val="32"/>
          <w:lang w:eastAsia="zh-CN"/>
        </w:rPr>
        <w:t>发〔</w:t>
      </w:r>
      <w:r>
        <w:rPr>
          <w:rFonts w:hint="eastAsia" w:ascii="仿宋" w:hAnsi="仿宋" w:eastAsia="仿宋" w:cs="仿宋"/>
          <w:b w:val="0"/>
          <w:i w:val="0"/>
          <w:caps w:val="0"/>
          <w:spacing w:val="0"/>
          <w:w w:val="100"/>
          <w:sz w:val="32"/>
          <w:szCs w:val="32"/>
          <w:lang w:val="en-US" w:eastAsia="zh-CN"/>
        </w:rPr>
        <w:t>2026〕11</w:t>
      </w:r>
      <w:bookmarkStart w:id="0" w:name="_GoBack"/>
      <w:bookmarkEnd w:id="0"/>
      <w:r>
        <w:rPr>
          <w:rFonts w:hint="eastAsia" w:ascii="仿宋" w:hAnsi="仿宋" w:eastAsia="仿宋" w:cs="仿宋"/>
          <w:b w:val="0"/>
          <w:i w:val="0"/>
          <w:caps w:val="0"/>
          <w:spacing w:val="0"/>
          <w:w w:val="100"/>
          <w:sz w:val="32"/>
          <w:szCs w:val="32"/>
          <w:lang w:val="en-US" w:eastAsia="zh-CN"/>
        </w:rPr>
        <w:t>号</w:t>
      </w:r>
    </w:p>
    <w:p w14:paraId="0D3CD15F">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榆林市生态环境局榆阳分局</w:t>
      </w:r>
    </w:p>
    <w:p w14:paraId="232A01C2">
      <w:pPr>
        <w:spacing w:line="550" w:lineRule="exact"/>
        <w:ind w:right="0" w:rightChars="0"/>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关于榆林神瑶能源有限公司120万</w:t>
      </w:r>
    </w:p>
    <w:p w14:paraId="0B37EBCF">
      <w:pPr>
        <w:spacing w:line="550" w:lineRule="exact"/>
        <w:ind w:right="-198"/>
        <w:jc w:val="center"/>
        <w:rPr>
          <w:rFonts w:hint="eastAsia" w:asciiTheme="majorEastAsia" w:hAnsiTheme="majorEastAsia" w:eastAsiaTheme="majorEastAsia" w:cstheme="majorEastAsia"/>
          <w:sz w:val="44"/>
          <w:szCs w:val="44"/>
          <w:lang w:val="en-US" w:eastAsia="zh-CN"/>
        </w:rPr>
      </w:pPr>
      <w:r>
        <w:rPr>
          <w:rFonts w:hint="eastAsia" w:ascii="方正小标宋简体" w:hAnsi="仿宋" w:eastAsia="方正小标宋简体" w:cs="仿宋"/>
          <w:sz w:val="44"/>
          <w:szCs w:val="32"/>
          <w:lang w:val="en-US" w:eastAsia="zh-CN"/>
        </w:rPr>
        <w:t>吨/年洗煤厂项目环境影响报告表的批复</w:t>
      </w:r>
    </w:p>
    <w:p w14:paraId="5419C46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lang w:val="en-US" w:eastAsia="zh-CN" w:bidi="ar"/>
        </w:rPr>
      </w:pPr>
    </w:p>
    <w:p w14:paraId="50E727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榆林神瑶能源有限公司</w:t>
      </w:r>
      <w:r>
        <w:rPr>
          <w:rFonts w:hint="eastAsia" w:ascii="仿宋" w:hAnsi="仿宋" w:eastAsia="仿宋" w:cs="仿宋"/>
          <w:sz w:val="32"/>
          <w:szCs w:val="32"/>
          <w:lang w:val="en-US" w:eastAsia="zh-CN"/>
        </w:rPr>
        <w:t>：</w:t>
      </w:r>
    </w:p>
    <w:p w14:paraId="20AB4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w:t>
      </w:r>
      <w:r>
        <w:rPr>
          <w:rFonts w:hint="eastAsia" w:ascii="仿宋" w:hAnsi="仿宋" w:eastAsia="仿宋" w:cs="仿宋"/>
          <w:sz w:val="32"/>
          <w:szCs w:val="32"/>
        </w:rPr>
        <w:t>报送的《</w:t>
      </w:r>
      <w:r>
        <w:rPr>
          <w:rFonts w:hint="eastAsia" w:ascii="仿宋" w:hAnsi="仿宋" w:eastAsia="仿宋" w:cs="仿宋"/>
          <w:sz w:val="32"/>
          <w:szCs w:val="32"/>
          <w:lang w:val="en-US" w:eastAsia="zh-CN"/>
        </w:rPr>
        <w:t>榆林神瑶能源有限公司120万吨/年洗煤厂项目环境影响报告表》及相关资料已</w:t>
      </w:r>
      <w:r>
        <w:rPr>
          <w:rFonts w:hint="eastAsia" w:ascii="仿宋" w:hAnsi="仿宋" w:eastAsia="仿宋" w:cs="仿宋"/>
          <w:sz w:val="32"/>
          <w:szCs w:val="32"/>
          <w:lang w:eastAsia="zh-CN"/>
        </w:rPr>
        <w:t>收悉，经审查研究，批复</w:t>
      </w:r>
      <w:r>
        <w:rPr>
          <w:rFonts w:hint="eastAsia" w:ascii="仿宋" w:hAnsi="仿宋" w:eastAsia="仿宋" w:cs="仿宋"/>
          <w:sz w:val="32"/>
          <w:szCs w:val="32"/>
        </w:rPr>
        <w:t>如下：</w:t>
      </w:r>
    </w:p>
    <w:p w14:paraId="2EAA9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位于榆林市榆阳区麻黄梁工业园区兰炭路，占地面积20000㎡，不新增用地。项目拟在原规模120万吨/年洗煤生产线基础上进行技术改造，增加浮选工艺，配套建设螺旋机、浮选机、全封闭储棚以及相关附属设施。项目总投资3706.2万元，其中环保投资88.9万元，占总投资2.4%。</w:t>
      </w:r>
    </w:p>
    <w:p w14:paraId="5D146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该项目在全面落实环境影响报告表和本意见提出的各项污染防治措施后，项目建设对环境不利影响能够得到缓减和控制，污染物可做到达标排放。该项目已在榆林市榆阳区政府门户网站公示，公示期间我局没有收到任何建议和意见。经项目审查会</w:t>
      </w:r>
      <w:r>
        <w:rPr>
          <w:rFonts w:hint="eastAsia" w:ascii="仿宋" w:hAnsi="仿宋" w:eastAsia="仿宋" w:cs="仿宋"/>
          <w:sz w:val="32"/>
          <w:szCs w:val="32"/>
          <w:lang w:val="en-US" w:eastAsia="zh-CN"/>
        </w:rPr>
        <w:t>审议</w:t>
      </w:r>
      <w:r>
        <w:rPr>
          <w:rFonts w:hint="eastAsia" w:ascii="仿宋" w:hAnsi="仿宋" w:eastAsia="仿宋" w:cs="仿宋"/>
          <w:sz w:val="32"/>
          <w:szCs w:val="32"/>
        </w:rPr>
        <w:t>，从环保角度</w:t>
      </w:r>
      <w:r>
        <w:rPr>
          <w:rFonts w:hint="eastAsia" w:ascii="仿宋" w:hAnsi="仿宋" w:eastAsia="仿宋" w:cs="仿宋"/>
          <w:sz w:val="32"/>
          <w:szCs w:val="32"/>
          <w:lang w:eastAsia="zh-CN"/>
        </w:rPr>
        <w:t>，</w:t>
      </w:r>
      <w:r>
        <w:rPr>
          <w:rFonts w:hint="eastAsia" w:ascii="仿宋" w:hAnsi="仿宋" w:eastAsia="仿宋" w:cs="仿宋"/>
          <w:sz w:val="32"/>
          <w:szCs w:val="32"/>
        </w:rPr>
        <w:t>同意</w:t>
      </w:r>
      <w:r>
        <w:rPr>
          <w:rFonts w:hint="eastAsia" w:ascii="仿宋" w:hAnsi="仿宋" w:eastAsia="仿宋" w:cs="仿宋"/>
          <w:sz w:val="32"/>
          <w:szCs w:val="32"/>
          <w:lang w:val="en-US" w:eastAsia="zh-CN"/>
        </w:rPr>
        <w:t>该项目</w:t>
      </w:r>
      <w:r>
        <w:rPr>
          <w:rFonts w:hint="eastAsia" w:ascii="仿宋" w:hAnsi="仿宋" w:eastAsia="仿宋" w:cs="仿宋"/>
          <w:sz w:val="32"/>
          <w:szCs w:val="32"/>
        </w:rPr>
        <w:t>建设。</w:t>
      </w:r>
    </w:p>
    <w:p w14:paraId="1D1B10FF">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color w:val="000000"/>
          <w:sz w:val="32"/>
          <w:szCs w:val="32"/>
          <w:lang w:eastAsia="zh-CN"/>
        </w:rPr>
        <w:t>项目在建设和运行管理中应重点做好以下工作</w:t>
      </w:r>
    </w:p>
    <w:p w14:paraId="04BACAA5">
      <w:pPr>
        <w:keepNext w:val="0"/>
        <w:keepLines w:val="0"/>
        <w:pageBreakBefore w:val="0"/>
        <w:widowControl w:val="0"/>
        <w:kinsoku/>
        <w:wordWrap/>
        <w:overflowPunct/>
        <w:topLinePunct w:val="0"/>
        <w:autoSpaceDE/>
        <w:autoSpaceDN/>
        <w:bidi w:val="0"/>
        <w:adjustRightInd/>
        <w:snapToGrid/>
        <w:spacing w:line="560" w:lineRule="exact"/>
        <w:ind w:left="0" w:leftChars="0" w:right="-198" w:firstLine="419" w:firstLineChars="131"/>
        <w:jc w:val="both"/>
        <w:textAlignment w:val="auto"/>
        <w:rPr>
          <w:rFonts w:hint="eastAsia" w:ascii="仿宋" w:hAnsi="仿宋" w:eastAsia="仿宋" w:cs="仿宋"/>
          <w:color w:val="auto"/>
          <w:kern w:val="2"/>
          <w:sz w:val="32"/>
          <w:szCs w:val="32"/>
          <w:lang w:val="en-US" w:eastAsia="zh-CN" w:bidi="ar-SA"/>
        </w:rPr>
      </w:pPr>
      <w:r>
        <w:rPr>
          <w:rFonts w:hint="eastAsia" w:ascii="CESI仿宋-GB2312" w:hAnsi="CESI仿宋-GB2312" w:eastAsia="CESI仿宋-GB2312" w:cs="CESI仿宋-GB2312"/>
          <w:kern w:val="0"/>
          <w:sz w:val="32"/>
          <w:szCs w:val="32"/>
          <w:lang w:val="en-US" w:eastAsia="zh-CN" w:bidi="ar-SA"/>
        </w:rPr>
        <w:t>（一）施工期严格执行《榆阳区生态环境保护铁腕治污攻坚行动方案》相关要求；项目环境影响报告表中提出的环境保护和污染防治措施可作为工程实施的依据,须全面落实到位。</w:t>
      </w:r>
    </w:p>
    <w:p w14:paraId="7C2AB5C1">
      <w:pPr>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严格按照报告表要求，落实各工艺环节的粉尘污染防治措施，加强环保设施日常运维与管理，确保大气污染物稳定达标排放。</w:t>
      </w:r>
    </w:p>
    <w:p w14:paraId="4E230AE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000000"/>
          <w:sz w:val="32"/>
          <w:szCs w:val="32"/>
          <w:lang w:eastAsia="zh-CN"/>
        </w:rPr>
        <w:t>（</w:t>
      </w:r>
      <w:r>
        <w:rPr>
          <w:rFonts w:hint="eastAsia" w:ascii="CESI仿宋-GB2312" w:hAnsi="CESI仿宋-GB2312" w:eastAsia="CESI仿宋-GB2312" w:cs="CESI仿宋-GB2312"/>
          <w:color w:val="000000"/>
          <w:sz w:val="32"/>
          <w:szCs w:val="32"/>
          <w:lang w:val="en-US" w:eastAsia="zh-CN"/>
        </w:rPr>
        <w:t>三</w:t>
      </w:r>
      <w:r>
        <w:rPr>
          <w:rFonts w:hint="eastAsia" w:ascii="CESI仿宋-GB2312" w:hAnsi="CESI仿宋-GB2312" w:eastAsia="CESI仿宋-GB2312" w:cs="CESI仿宋-GB2312"/>
          <w:color w:val="000000"/>
          <w:sz w:val="32"/>
          <w:szCs w:val="32"/>
          <w:lang w:eastAsia="zh-CN"/>
        </w:rPr>
        <w:t>）</w:t>
      </w:r>
      <w:r>
        <w:rPr>
          <w:rFonts w:hint="eastAsia" w:ascii="CESI仿宋-GB2312" w:hAnsi="CESI仿宋-GB2312" w:eastAsia="CESI仿宋-GB2312" w:cs="CESI仿宋-GB2312"/>
          <w:color w:val="auto"/>
          <w:sz w:val="32"/>
          <w:szCs w:val="32"/>
        </w:rPr>
        <w:t>项目原料、产品须全部储存于</w:t>
      </w:r>
      <w:r>
        <w:rPr>
          <w:rFonts w:hint="eastAsia" w:ascii="CESI仿宋-GB2312" w:hAnsi="CESI仿宋-GB2312" w:eastAsia="CESI仿宋-GB2312" w:cs="CESI仿宋-GB2312"/>
          <w:color w:val="auto"/>
          <w:sz w:val="32"/>
          <w:szCs w:val="32"/>
          <w:lang w:eastAsia="zh-CN"/>
        </w:rPr>
        <w:t>封</w:t>
      </w:r>
      <w:r>
        <w:rPr>
          <w:rFonts w:hint="eastAsia" w:ascii="CESI仿宋-GB2312" w:hAnsi="CESI仿宋-GB2312" w:eastAsia="CESI仿宋-GB2312" w:cs="CESI仿宋-GB2312"/>
          <w:color w:val="auto"/>
          <w:sz w:val="32"/>
          <w:szCs w:val="32"/>
        </w:rPr>
        <w:t>闭储棚内，采用喷雾抑尘装置定期洒水，严禁露天生产、露天堆放，确保大气污染物达标排放；运营期冬季采暖选用天然气、电等清洁能源，禁止安装燃煤锅炉。</w:t>
      </w:r>
    </w:p>
    <w:p w14:paraId="333AC23E">
      <w:pPr>
        <w:keepNext w:val="0"/>
        <w:keepLines w:val="0"/>
        <w:pageBreakBefore w:val="0"/>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四</w:t>
      </w:r>
      <w:r>
        <w:rPr>
          <w:rFonts w:hint="eastAsia" w:ascii="CESI仿宋-GB2312" w:hAnsi="CESI仿宋-GB2312" w:eastAsia="CESI仿宋-GB2312" w:cs="CESI仿宋-GB2312"/>
          <w:sz w:val="32"/>
          <w:szCs w:val="32"/>
          <w:lang w:eastAsia="zh-CN"/>
        </w:rPr>
        <w:t>）加强水污染防治。项目洗选煤泥水进入浓缩池，经浓缩池浓缩后，全部回用于洗煤工序；厂区雨水、洗车废水经收集后进入洗煤系统循环利用；生活污水经</w:t>
      </w:r>
      <w:r>
        <w:rPr>
          <w:rFonts w:hint="eastAsia" w:ascii="CESI仿宋-GB2312" w:hAnsi="CESI仿宋-GB2312" w:eastAsia="CESI仿宋-GB2312" w:cs="CESI仿宋-GB2312"/>
          <w:sz w:val="32"/>
          <w:szCs w:val="32"/>
          <w:lang w:val="en-US" w:eastAsia="zh-CN"/>
        </w:rPr>
        <w:t>化粪池处理后排入麻黄梁工业集中区市政污水管网</w:t>
      </w:r>
      <w:r>
        <w:rPr>
          <w:rFonts w:hint="eastAsia" w:ascii="CESI仿宋-GB2312" w:hAnsi="CESI仿宋-GB2312" w:eastAsia="CESI仿宋-GB2312" w:cs="CESI仿宋-GB2312"/>
          <w:sz w:val="32"/>
          <w:szCs w:val="32"/>
          <w:lang w:eastAsia="zh-CN"/>
        </w:rPr>
        <w:t>。</w:t>
      </w:r>
    </w:p>
    <w:p w14:paraId="066308CB">
      <w:pPr>
        <w:keepNext w:val="0"/>
        <w:keepLines w:val="0"/>
        <w:pageBreakBefore w:val="0"/>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val="0"/>
          <w:kern w:val="2"/>
          <w:sz w:val="32"/>
          <w:szCs w:val="32"/>
          <w:lang w:val="en-US" w:eastAsia="zh-CN" w:bidi="ar-SA"/>
        </w:rPr>
        <w:t>加强声环境防治。项目优先选用低噪声设备，采取合理布局、隔声、减振、消声等措施，确保噪声满足《工业企业厂界环境噪声排放标准》（GB12348-2008）要求。</w:t>
      </w:r>
    </w:p>
    <w:p w14:paraId="5FF05F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加强固体废物防治。</w:t>
      </w:r>
      <w:r>
        <w:rPr>
          <w:rFonts w:hint="eastAsia" w:ascii="仿宋" w:hAnsi="仿宋" w:eastAsia="仿宋" w:cs="仿宋"/>
          <w:color w:val="auto"/>
          <w:sz w:val="32"/>
          <w:szCs w:val="32"/>
          <w:lang w:val="en-US" w:eastAsia="zh-CN"/>
        </w:rPr>
        <w:t>项目产生的危险废物，须交由有资质单位处置，临时储存、运输要严格执行国家有关危险废物的相关规定；产生的一般固废、生活垃圾</w:t>
      </w:r>
      <w:r>
        <w:rPr>
          <w:rFonts w:hint="eastAsia" w:ascii="仿宋" w:hAnsi="仿宋" w:eastAsia="仿宋" w:cs="仿宋"/>
          <w:color w:val="auto"/>
          <w:sz w:val="32"/>
          <w:szCs w:val="32"/>
        </w:rPr>
        <w:t>集中分类收集后，</w:t>
      </w:r>
      <w:r>
        <w:rPr>
          <w:rFonts w:hint="eastAsia" w:ascii="仿宋" w:hAnsi="仿宋" w:eastAsia="仿宋" w:cs="仿宋"/>
          <w:color w:val="auto"/>
          <w:sz w:val="32"/>
          <w:szCs w:val="32"/>
          <w:lang w:eastAsia="zh-CN"/>
        </w:rPr>
        <w:t>可利用的综合利用，</w:t>
      </w:r>
      <w:r>
        <w:rPr>
          <w:rFonts w:hint="eastAsia" w:ascii="仿宋" w:hAnsi="仿宋" w:eastAsia="仿宋" w:cs="仿宋"/>
          <w:color w:val="auto"/>
          <w:sz w:val="32"/>
          <w:szCs w:val="32"/>
        </w:rPr>
        <w:t>不可利用的交由环卫部门统一处置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严禁</w:t>
      </w:r>
      <w:r>
        <w:rPr>
          <w:rFonts w:hint="eastAsia" w:ascii="仿宋" w:hAnsi="仿宋" w:eastAsia="仿宋" w:cs="仿宋"/>
          <w:color w:val="auto"/>
          <w:sz w:val="32"/>
          <w:szCs w:val="32"/>
          <w:lang w:val="en-US" w:eastAsia="zh-CN"/>
        </w:rPr>
        <w:t>项目固废</w:t>
      </w:r>
      <w:r>
        <w:rPr>
          <w:rFonts w:hint="eastAsia" w:ascii="仿宋" w:hAnsi="仿宋" w:eastAsia="仿宋" w:cs="仿宋"/>
          <w:color w:val="auto"/>
          <w:sz w:val="32"/>
          <w:szCs w:val="32"/>
        </w:rPr>
        <w:t>随意倾倒。</w:t>
      </w:r>
    </w:p>
    <w:p w14:paraId="7D6D12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建设必须严格执行环境保护设施与主体工程同时设计、同时施工、同时投产使用的环境保护“三同时”制度。</w:t>
      </w:r>
      <w:r>
        <w:rPr>
          <w:rFonts w:hint="eastAsia" w:ascii="仿宋" w:hAnsi="仿宋" w:eastAsia="仿宋" w:cs="仿宋"/>
          <w:sz w:val="32"/>
          <w:szCs w:val="32"/>
        </w:rPr>
        <w:t>项目</w:t>
      </w:r>
      <w:r>
        <w:rPr>
          <w:rFonts w:hint="eastAsia" w:ascii="仿宋" w:hAnsi="仿宋" w:eastAsia="仿宋" w:cs="仿宋"/>
          <w:sz w:val="32"/>
          <w:szCs w:val="32"/>
          <w:lang w:eastAsia="zh-CN"/>
        </w:rPr>
        <w:t>建成</w:t>
      </w:r>
      <w:r>
        <w:rPr>
          <w:rFonts w:hint="eastAsia" w:ascii="仿宋" w:hAnsi="仿宋" w:eastAsia="仿宋" w:cs="仿宋"/>
          <w:sz w:val="32"/>
          <w:szCs w:val="32"/>
        </w:rPr>
        <w:t>后，</w:t>
      </w:r>
      <w:r>
        <w:rPr>
          <w:rFonts w:hint="eastAsia" w:ascii="仿宋" w:hAnsi="仿宋" w:eastAsia="仿宋" w:cs="仿宋"/>
          <w:sz w:val="32"/>
          <w:szCs w:val="32"/>
          <w:lang w:eastAsia="zh-CN"/>
        </w:rPr>
        <w:t>建设单位必</w:t>
      </w:r>
      <w:r>
        <w:rPr>
          <w:rFonts w:hint="eastAsia" w:ascii="仿宋" w:hAnsi="仿宋" w:eastAsia="仿宋" w:cs="仿宋"/>
          <w:sz w:val="32"/>
          <w:szCs w:val="32"/>
        </w:rPr>
        <w:t>须</w:t>
      </w:r>
      <w:r>
        <w:rPr>
          <w:rFonts w:hint="eastAsia" w:ascii="仿宋" w:hAnsi="仿宋" w:eastAsia="仿宋" w:cs="仿宋"/>
          <w:sz w:val="32"/>
          <w:szCs w:val="32"/>
          <w:lang w:eastAsia="zh-CN"/>
        </w:rPr>
        <w:t>按规定程序进行竣工环境保护</w:t>
      </w:r>
      <w:r>
        <w:rPr>
          <w:rFonts w:hint="eastAsia" w:ascii="仿宋" w:hAnsi="仿宋" w:eastAsia="仿宋" w:cs="仿宋"/>
          <w:sz w:val="32"/>
          <w:szCs w:val="32"/>
        </w:rPr>
        <w:t>验收，验收合格后，</w:t>
      </w:r>
      <w:r>
        <w:rPr>
          <w:rFonts w:hint="eastAsia" w:ascii="仿宋" w:hAnsi="仿宋" w:eastAsia="仿宋" w:cs="仿宋"/>
          <w:color w:val="auto"/>
          <w:sz w:val="32"/>
          <w:szCs w:val="32"/>
          <w:lang w:eastAsia="zh-CN"/>
        </w:rPr>
        <w:t>方可</w:t>
      </w:r>
      <w:r>
        <w:rPr>
          <w:rFonts w:hint="eastAsia" w:ascii="仿宋" w:hAnsi="仿宋" w:eastAsia="仿宋" w:cs="仿宋"/>
          <w:color w:val="auto"/>
          <w:sz w:val="32"/>
          <w:szCs w:val="32"/>
        </w:rPr>
        <w:t>正式投入运行</w:t>
      </w:r>
      <w:r>
        <w:rPr>
          <w:rFonts w:hint="eastAsia" w:ascii="仿宋" w:hAnsi="仿宋" w:eastAsia="仿宋" w:cs="仿宋"/>
          <w:color w:val="auto"/>
          <w:sz w:val="32"/>
          <w:szCs w:val="32"/>
          <w:lang w:eastAsia="zh-CN"/>
        </w:rPr>
        <w:t>。</w:t>
      </w:r>
    </w:p>
    <w:p w14:paraId="70176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color w:val="000000"/>
          <w:sz w:val="32"/>
          <w:szCs w:val="32"/>
          <w:lang w:eastAsia="zh-CN"/>
        </w:rPr>
        <w:t>环境影响报告表经批准后，</w:t>
      </w:r>
      <w:r>
        <w:rPr>
          <w:rFonts w:hint="eastAsia" w:ascii="仿宋" w:hAnsi="仿宋" w:eastAsia="仿宋" w:cs="仿宋"/>
          <w:sz w:val="32"/>
          <w:szCs w:val="32"/>
        </w:rPr>
        <w:t>项目</w:t>
      </w:r>
      <w:r>
        <w:rPr>
          <w:rFonts w:hint="eastAsia" w:ascii="仿宋" w:hAnsi="仿宋" w:eastAsia="仿宋" w:cs="仿宋"/>
          <w:sz w:val="32"/>
          <w:szCs w:val="32"/>
          <w:lang w:eastAsia="zh-CN"/>
        </w:rPr>
        <w:t>的性质、</w:t>
      </w:r>
      <w:r>
        <w:rPr>
          <w:rFonts w:hint="eastAsia" w:ascii="仿宋" w:hAnsi="仿宋" w:eastAsia="仿宋" w:cs="仿宋"/>
          <w:sz w:val="32"/>
          <w:szCs w:val="32"/>
        </w:rPr>
        <w:t>规模、生产工艺、地</w:t>
      </w:r>
      <w:r>
        <w:rPr>
          <w:rFonts w:hint="eastAsia" w:ascii="仿宋" w:hAnsi="仿宋" w:eastAsia="仿宋" w:cs="仿宋"/>
          <w:sz w:val="32"/>
          <w:szCs w:val="32"/>
          <w:lang w:eastAsia="zh-CN"/>
        </w:rPr>
        <w:t>点或者防治污染</w:t>
      </w:r>
      <w:r>
        <w:rPr>
          <w:rFonts w:hint="eastAsia" w:ascii="仿宋" w:hAnsi="仿宋" w:eastAsia="仿宋" w:cs="仿宋"/>
          <w:color w:val="000000"/>
          <w:sz w:val="32"/>
          <w:szCs w:val="32"/>
          <w:lang w:eastAsia="zh-CN"/>
        </w:rPr>
        <w:t>、防止生态破坏的措施发生重大变动的，应当重新报批该项目的环境影响报告表。</w:t>
      </w:r>
    </w:p>
    <w:p w14:paraId="401554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、按照《建设项目环境保护事中事后监督管理办法（试行）》要求，</w:t>
      </w:r>
      <w:r>
        <w:rPr>
          <w:rFonts w:hint="eastAsia" w:ascii="仿宋" w:hAnsi="仿宋" w:eastAsia="仿宋" w:cs="仿宋"/>
          <w:sz w:val="32"/>
          <w:szCs w:val="32"/>
          <w:lang w:eastAsia="zh-CN"/>
        </w:rPr>
        <w:t>该项目须接受</w:t>
      </w:r>
      <w:r>
        <w:rPr>
          <w:rFonts w:hint="eastAsia" w:ascii="仿宋" w:hAnsi="仿宋" w:eastAsia="仿宋" w:cs="仿宋"/>
          <w:sz w:val="32"/>
          <w:szCs w:val="32"/>
          <w:lang w:val="en-US" w:eastAsia="zh-CN"/>
        </w:rPr>
        <w:t>榆林市生态环境保护综合执法支队榆阳直属大队</w:t>
      </w:r>
      <w:r>
        <w:rPr>
          <w:rFonts w:hint="eastAsia" w:ascii="仿宋" w:hAnsi="仿宋" w:eastAsia="仿宋" w:cs="仿宋"/>
          <w:sz w:val="32"/>
          <w:szCs w:val="32"/>
          <w:lang w:eastAsia="zh-CN"/>
        </w:rPr>
        <w:t>事中事后</w:t>
      </w:r>
      <w:r>
        <w:rPr>
          <w:rFonts w:hint="eastAsia" w:ascii="仿宋" w:hAnsi="仿宋" w:eastAsia="仿宋" w:cs="仿宋"/>
          <w:color w:val="000000"/>
          <w:sz w:val="32"/>
          <w:szCs w:val="32"/>
          <w:lang w:eastAsia="zh-CN"/>
        </w:rPr>
        <w:t>的</w:t>
      </w:r>
      <w:r>
        <w:rPr>
          <w:rFonts w:hint="eastAsia" w:ascii="仿宋" w:hAnsi="仿宋" w:eastAsia="仿宋" w:cs="仿宋"/>
          <w:sz w:val="32"/>
          <w:szCs w:val="32"/>
        </w:rPr>
        <w:t>监督管理。</w:t>
      </w:r>
      <w:r>
        <w:rPr>
          <w:rFonts w:hint="eastAsia" w:ascii="仿宋" w:hAnsi="仿宋" w:eastAsia="仿宋" w:cs="仿宋"/>
          <w:sz w:val="32"/>
          <w:szCs w:val="32"/>
          <w:lang w:val="en-US" w:eastAsia="zh-CN"/>
        </w:rPr>
        <w:t xml:space="preserve">           </w:t>
      </w:r>
    </w:p>
    <w:p w14:paraId="765C5B22">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sz w:val="32"/>
          <w:szCs w:val="32"/>
          <w:lang w:val="en-US" w:eastAsia="zh-CN"/>
        </w:rPr>
      </w:pPr>
    </w:p>
    <w:p w14:paraId="413AE37E">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榆</w:t>
      </w:r>
      <w:r>
        <w:rPr>
          <w:rFonts w:hint="eastAsia" w:ascii="仿宋" w:hAnsi="仿宋" w:eastAsia="仿宋" w:cs="仿宋"/>
          <w:color w:val="000000"/>
          <w:sz w:val="32"/>
          <w:szCs w:val="32"/>
        </w:rPr>
        <w:t>林市</w:t>
      </w:r>
      <w:r>
        <w:rPr>
          <w:rFonts w:hint="eastAsia" w:ascii="仿宋" w:hAnsi="仿宋" w:eastAsia="仿宋" w:cs="仿宋"/>
          <w:color w:val="000000"/>
          <w:sz w:val="32"/>
          <w:szCs w:val="32"/>
          <w:lang w:eastAsia="zh-CN"/>
        </w:rPr>
        <w:t>生态环境局</w:t>
      </w:r>
      <w:r>
        <w:rPr>
          <w:rFonts w:hint="eastAsia" w:ascii="仿宋" w:hAnsi="仿宋" w:eastAsia="仿宋" w:cs="仿宋"/>
          <w:color w:val="000000"/>
          <w:sz w:val="32"/>
          <w:szCs w:val="32"/>
        </w:rPr>
        <w:t>榆阳分局</w:t>
      </w:r>
    </w:p>
    <w:p w14:paraId="6D24598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日</w:t>
      </w:r>
    </w:p>
    <w:p w14:paraId="58E97408">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1"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2.3pt;margin-top:30.65pt;height:0.05pt;width:406.5pt;z-index:251659264;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9cFbU&#10;AAAABwEAAA8AAAAAAAAAAQAgAAAAIgAAAGRycy9kb3ducmV2LnhtbFBLAQIUABQAAAAIAIdO4kBl&#10;CO3b6wEAAOsDAAAOAAAAAAAAAAEAIAAAACM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2"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1.55pt;margin-top:3.3pt;height:0.05pt;width:406.5pt;z-index:251661312;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8Bo3dIA&#10;AAAFAQAADwAAAAAAAAABACAAAAAiAAAAZHJzL2Rvd25yZXYueG1sUEsBAhQAFAAAAAgAh07iQKva&#10;c0vsAQAA6wMAAA4AAAAAAAAAAQAgAAAAIQ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抄送：榆林市生态环境保护综合执法支队榆阳直属大队</w:t>
      </w:r>
    </w:p>
    <w:p w14:paraId="0DB9973E">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榆林市生态环境局榆阳分局</w:t>
      </w:r>
      <w:r>
        <w:rPr>
          <w:rFonts w:hint="eastAsia" w:ascii="仿宋" w:hAnsi="仿宋" w:eastAsia="仿宋" w:cs="仿宋"/>
          <w:sz w:val="28"/>
          <w:szCs w:val="28"/>
        </w:rPr>
        <w:t xml:space="preserve"> </w: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4"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3.8pt;margin-top:29pt;height:0.05pt;width:406.5pt;z-index:251660288;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bjM&#10;ANQAAAAHAQAADwAAAAAAAAABACAAAAAiAAAAZHJzL2Rvd25yZXYueG1sUEsBAhQAFAAAAAgAh07i&#10;QHZ5P7HtAQAA6wMAAA4AAAAAAAAAAQAgAAAAI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eastAsia="zh-CN"/>
        </w:rPr>
        <w:t>印发</w:t>
      </w:r>
    </w:p>
    <w:p w14:paraId="5ADFCE02">
      <w:r>
        <w:rPr>
          <w:rFonts w:hint="eastAsia" w:ascii="仿宋" w:hAnsi="仿宋" w:eastAsia="仿宋" w:cs="仿宋"/>
          <w:sz w:val="28"/>
          <w:szCs w:val="28"/>
          <w:lang w:val="en-US" w:eastAsia="zh-CN"/>
        </w:rPr>
        <w:t xml:space="preserve">                                               共印5份      </w:t>
      </w:r>
    </w:p>
    <w:sectPr>
      <w:pgSz w:w="11906" w:h="16838"/>
      <w:pgMar w:top="1440" w:right="1906" w:bottom="2158" w:left="2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1206"/>
    <w:rsid w:val="19A1335A"/>
    <w:rsid w:val="385A0C95"/>
    <w:rsid w:val="41E55156"/>
    <w:rsid w:val="4B005883"/>
    <w:rsid w:val="4D3B2BA3"/>
    <w:rsid w:val="5C2C5C14"/>
    <w:rsid w:val="615E6850"/>
    <w:rsid w:val="70D6480D"/>
    <w:rsid w:val="721A30DA"/>
    <w:rsid w:val="7B6C4354"/>
    <w:rsid w:val="7EFFBD69"/>
    <w:rsid w:val="7F7B314F"/>
    <w:rsid w:val="7F7E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line="360" w:lineRule="auto"/>
      <w:outlineLvl w:val="1"/>
    </w:pPr>
    <w:rPr>
      <w:rFonts w:ascii="Times New Roman" w:hAnsi="Times New Roman" w:eastAsia="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1239</Words>
  <Characters>1281</Characters>
  <Lines>0</Lines>
  <Paragraphs>0</Paragraphs>
  <TotalTime>0</TotalTime>
  <ScaleCrop>false</ScaleCrop>
  <LinksUpToDate>false</LinksUpToDate>
  <CharactersWithSpaces>1385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2026-03-05T17:10:00Z</dcterms:created>
  <dc:creator>Administrator</dc:creator>
  <cp:lastModifiedBy>admin</cp:lastModifiedBy>
  <cp:lastPrinted>2026-03-11T09:44:00Z</cp:lastPrinted>
  <dcterms:modified xsi:type="dcterms:W3CDTF">2026-03-12T14:32:07Z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eyJoZGlkIjoiYjBmODM1OWFmOWUyMTZhYWE0NWE2YmM4ZTA3YmIyNzgiLCJ1c2VySWQiOiIxNTMxMzc5MjM0In0=</vt:lpwstr>
  </property>
  <property fmtid="{D5CDD505-2E9C-101B-9397-08002B2CF9AE}" pid="4" name="ICV">
    <vt:lpwstr>4D0D4EDE67DD422BB7A10C172A31E8D1_12</vt:lpwstr>
  </property>
</Properties>
</file>