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5C0AF7">
      <w:pPr>
        <w:widowControl w:val="0"/>
        <w:jc w:val="center"/>
        <w:rPr>
          <w:rFonts w:hint="eastAsia" w:ascii="宋体" w:hAnsi="宋体" w:cs="宋体"/>
          <w:color w:val="000000" w:themeColor="text1"/>
          <w:sz w:val="36"/>
          <w:szCs w:val="36"/>
          <w14:textFill>
            <w14:solidFill>
              <w14:schemeClr w14:val="tx1"/>
            </w14:solidFill>
          </w14:textFill>
        </w:rPr>
      </w:pPr>
    </w:p>
    <w:p w14:paraId="351D64C0">
      <w:pPr>
        <w:widowControl w:val="0"/>
        <w:jc w:val="center"/>
        <w:rPr>
          <w:rFonts w:hint="eastAsia" w:ascii="宋体" w:hAnsi="宋体" w:cs="宋体"/>
          <w:color w:val="000000" w:themeColor="text1"/>
          <w:sz w:val="36"/>
          <w:szCs w:val="36"/>
          <w14:textFill>
            <w14:solidFill>
              <w14:schemeClr w14:val="tx1"/>
            </w14:solidFill>
          </w14:textFill>
        </w:rPr>
      </w:pPr>
    </w:p>
    <w:p w14:paraId="43AEDB03">
      <w:pPr>
        <w:widowControl w:val="0"/>
        <w:jc w:val="center"/>
        <w:rPr>
          <w:rFonts w:hint="eastAsia" w:ascii="宋体" w:hAnsi="宋体" w:cs="宋体"/>
          <w:color w:val="000000" w:themeColor="text1"/>
          <w:sz w:val="36"/>
          <w:szCs w:val="36"/>
          <w14:textFill>
            <w14:solidFill>
              <w14:schemeClr w14:val="tx1"/>
            </w14:solidFill>
          </w14:textFill>
        </w:rPr>
      </w:pPr>
    </w:p>
    <w:p w14:paraId="2614E3F3">
      <w:pPr>
        <w:widowControl w:val="0"/>
        <w:spacing w:line="240" w:lineRule="auto"/>
        <w:ind w:firstLine="0" w:firstLineChars="0"/>
        <w:jc w:val="center"/>
        <w:outlineLvl w:val="0"/>
        <w:rPr>
          <w:rFonts w:ascii="方正小标宋简体" w:eastAsia="方正小标宋简体"/>
          <w:bCs/>
          <w:color w:val="000000" w:themeColor="text1"/>
          <w:sz w:val="72"/>
          <w:szCs w:val="72"/>
          <w14:textFill>
            <w14:solidFill>
              <w14:schemeClr w14:val="tx1"/>
            </w14:solidFill>
          </w14:textFill>
        </w:rPr>
      </w:pPr>
      <w:r>
        <w:rPr>
          <w:rFonts w:hint="eastAsia" w:ascii="方正小标宋简体" w:eastAsia="方正小标宋简体"/>
          <w:bCs/>
          <w:color w:val="000000" w:themeColor="text1"/>
          <w:sz w:val="72"/>
          <w:szCs w:val="72"/>
          <w14:textFill>
            <w14:solidFill>
              <w14:schemeClr w14:val="tx1"/>
            </w14:solidFill>
          </w14:textFill>
        </w:rPr>
        <w:t>建设项目环境影响报告表</w:t>
      </w:r>
    </w:p>
    <w:p w14:paraId="0A799D4C">
      <w:pPr>
        <w:widowControl w:val="0"/>
        <w:spacing w:before="273" w:beforeLines="80" w:line="240" w:lineRule="auto"/>
        <w:ind w:firstLine="0" w:firstLineChars="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14:paraId="7694330A">
      <w:pPr>
        <w:widowControl w:val="0"/>
        <w:ind w:firstLine="880"/>
        <w:jc w:val="center"/>
        <w:rPr>
          <w:rFonts w:hint="eastAsia" w:ascii="宋体" w:hAnsi="宋体" w:cs="宋体"/>
          <w:color w:val="000000" w:themeColor="text1"/>
          <w:kern w:val="44"/>
          <w:sz w:val="44"/>
          <w:szCs w:val="44"/>
          <w14:textFill>
            <w14:solidFill>
              <w14:schemeClr w14:val="tx1"/>
            </w14:solidFill>
          </w14:textFill>
        </w:rPr>
      </w:pPr>
    </w:p>
    <w:p w14:paraId="2E76FCF2">
      <w:pPr>
        <w:widowControl w:val="0"/>
        <w:ind w:firstLine="880"/>
        <w:rPr>
          <w:rFonts w:hint="eastAsia" w:ascii="宋体" w:hAnsi="宋体" w:cs="宋体"/>
          <w:color w:val="000000" w:themeColor="text1"/>
          <w:sz w:val="44"/>
          <w:szCs w:val="44"/>
          <w14:textFill>
            <w14:solidFill>
              <w14:schemeClr w14:val="tx1"/>
            </w14:solidFill>
          </w14:textFill>
        </w:rPr>
      </w:pPr>
    </w:p>
    <w:p w14:paraId="25D2A290">
      <w:pPr>
        <w:widowControl w:val="0"/>
        <w:spacing w:line="288" w:lineRule="auto"/>
        <w:ind w:left="1818" w:hanging="1818" w:hangingChars="505"/>
        <w:rPr>
          <w:rFonts w:hint="eastAsia" w:ascii="宋体" w:hAnsi="宋体" w:cs="宋体"/>
          <w:color w:val="000000" w:themeColor="text1"/>
          <w:sz w:val="36"/>
          <w:szCs w:val="36"/>
          <w14:textFill>
            <w14:solidFill>
              <w14:schemeClr w14:val="tx1"/>
            </w14:solidFill>
          </w14:textFill>
        </w:rPr>
      </w:pPr>
    </w:p>
    <w:p w14:paraId="1CB32F34">
      <w:pPr>
        <w:widowControl w:val="0"/>
        <w:spacing w:line="288" w:lineRule="auto"/>
        <w:ind w:left="1818" w:hanging="1818" w:hangingChars="505"/>
        <w:rPr>
          <w:rFonts w:hint="eastAsia" w:ascii="宋体" w:hAnsi="宋体" w:cs="宋体"/>
          <w:color w:val="000000" w:themeColor="text1"/>
          <w:sz w:val="36"/>
          <w:szCs w:val="36"/>
          <w14:textFill>
            <w14:solidFill>
              <w14:schemeClr w14:val="tx1"/>
            </w14:solidFill>
          </w14:textFill>
        </w:rPr>
      </w:pPr>
    </w:p>
    <w:p w14:paraId="21269CE8">
      <w:pPr>
        <w:widowControl w:val="0"/>
        <w:spacing w:line="288" w:lineRule="auto"/>
        <w:ind w:left="1818" w:hanging="1818" w:hangingChars="505"/>
        <w:rPr>
          <w:rFonts w:hint="eastAsia" w:ascii="宋体" w:hAnsi="宋体" w:cs="宋体"/>
          <w:color w:val="000000" w:themeColor="text1"/>
          <w:sz w:val="36"/>
          <w:szCs w:val="36"/>
          <w14:textFill>
            <w14:solidFill>
              <w14:schemeClr w14:val="tx1"/>
            </w14:solidFill>
          </w14:textFill>
        </w:rPr>
      </w:pPr>
    </w:p>
    <w:p w14:paraId="615E40E7">
      <w:pPr>
        <w:widowControl w:val="0"/>
        <w:ind w:left="2228" w:leftChars="171" w:hanging="1818" w:hangingChars="505"/>
        <w:rPr>
          <w:rFonts w:hint="eastAsia" w:ascii="宋体" w:hAnsi="宋体" w:cs="宋体"/>
          <w:color w:val="000000" w:themeColor="text1"/>
          <w:spacing w:val="-17"/>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thick"/>
          <w:lang w:eastAsia="zh-CN"/>
          <w14:textFill>
            <w14:solidFill>
              <w14:schemeClr w14:val="tx1"/>
            </w14:solidFill>
          </w14:textFill>
        </w:rPr>
        <w:t>300万吨/年矿物固废煤矸石综合处置再利用</w:t>
      </w:r>
      <w:r>
        <w:rPr>
          <w:rFonts w:hint="eastAsia" w:ascii="仿宋_GB2312" w:eastAsia="仿宋_GB2312"/>
          <w:color w:val="000000" w:themeColor="text1"/>
          <w:sz w:val="36"/>
          <w:szCs w:val="36"/>
          <w:u w:val="thick"/>
          <w14:textFill>
            <w14:solidFill>
              <w14:schemeClr w14:val="tx1"/>
            </w14:solidFill>
          </w14:textFill>
        </w:rPr>
        <w:t xml:space="preserve">项目改建                      </w:t>
      </w:r>
      <w:r>
        <w:rPr>
          <w:rFonts w:hint="eastAsia" w:ascii="仿宋_GB2312" w:eastAsia="仿宋_GB2312"/>
          <w:color w:val="000000" w:themeColor="text1"/>
          <w:sz w:val="36"/>
          <w:szCs w:val="36"/>
          <w:u w:val="thick"/>
          <w:lang w:val="en-US" w:eastAsia="zh-CN"/>
          <w14:textFill>
            <w14:solidFill>
              <w14:schemeClr w14:val="tx1"/>
            </w14:solidFill>
          </w14:textFill>
        </w:rPr>
        <w:t xml:space="preserve">    </w:t>
      </w:r>
      <w:r>
        <w:rPr>
          <w:rFonts w:hint="eastAsia" w:ascii="仿宋_GB2312" w:eastAsia="仿宋_GB2312"/>
          <w:color w:val="000000" w:themeColor="text1"/>
          <w:sz w:val="36"/>
          <w:szCs w:val="36"/>
          <w:u w:val="thick"/>
          <w14:textFill>
            <w14:solidFill>
              <w14:schemeClr w14:val="tx1"/>
            </w14:solidFill>
          </w14:textFill>
        </w:rPr>
        <w:t xml:space="preserve">    </w:t>
      </w:r>
    </w:p>
    <w:p w14:paraId="77ECC8D6">
      <w:pPr>
        <w:widowControl w:val="0"/>
        <w:ind w:left="1508" w:leftChars="171" w:hanging="1098" w:hangingChars="305"/>
        <w:rPr>
          <w:rFonts w:hint="eastAsia" w:ascii="宋体" w:hAnsi="宋体" w:cs="宋体"/>
          <w:bCs/>
          <w:color w:val="000000" w:themeColor="text1"/>
          <w:sz w:val="36"/>
          <w:szCs w:val="36"/>
          <w:u w:val="thick"/>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w:t>
      </w:r>
      <w:r>
        <w:rPr>
          <w:rFonts w:hint="eastAsia" w:ascii="仿宋_GB2312" w:eastAsia="仿宋_GB2312"/>
          <w:color w:val="000000" w:themeColor="text1"/>
          <w:sz w:val="36"/>
          <w:szCs w:val="36"/>
          <w:u w:val="thick"/>
          <w14:textFill>
            <w14:solidFill>
              <w14:schemeClr w14:val="tx1"/>
            </w14:solidFill>
          </w14:textFill>
        </w:rPr>
        <w:t xml:space="preserve">     陕西汇荣禾能源环保科技有限公司   </w:t>
      </w:r>
    </w:p>
    <w:p w14:paraId="51E1C1A9">
      <w:pPr>
        <w:widowControl w:val="0"/>
        <w:ind w:left="1508" w:leftChars="171" w:hanging="1098" w:hangingChars="305"/>
        <w:rPr>
          <w:rFonts w:hint="eastAsia" w:ascii="宋体" w:hAnsi="宋体" w:cs="宋体"/>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thick"/>
          <w14:textFill>
            <w14:solidFill>
              <w14:schemeClr w14:val="tx1"/>
            </w14:solidFill>
          </w14:textFill>
        </w:rPr>
        <w:t xml:space="preserve">             2025年1</w:t>
      </w:r>
      <w:r>
        <w:rPr>
          <w:rFonts w:hint="eastAsia" w:ascii="仿宋_GB2312" w:eastAsia="仿宋_GB2312"/>
          <w:color w:val="000000" w:themeColor="text1"/>
          <w:sz w:val="36"/>
          <w:szCs w:val="36"/>
          <w:u w:val="thick"/>
          <w:lang w:val="en-US" w:eastAsia="zh-CN"/>
          <w14:textFill>
            <w14:solidFill>
              <w14:schemeClr w14:val="tx1"/>
            </w14:solidFill>
          </w14:textFill>
        </w:rPr>
        <w:t>2</w:t>
      </w:r>
      <w:r>
        <w:rPr>
          <w:rFonts w:hint="eastAsia" w:ascii="仿宋_GB2312" w:eastAsia="仿宋_GB2312"/>
          <w:color w:val="000000" w:themeColor="text1"/>
          <w:sz w:val="36"/>
          <w:szCs w:val="36"/>
          <w:u w:val="thick"/>
          <w14:textFill>
            <w14:solidFill>
              <w14:schemeClr w14:val="tx1"/>
            </w14:solidFill>
          </w14:textFill>
        </w:rPr>
        <w:t xml:space="preserve">月               </w:t>
      </w:r>
    </w:p>
    <w:p w14:paraId="5CCF5D6A">
      <w:pPr>
        <w:widowControl w:val="0"/>
        <w:spacing w:line="288" w:lineRule="auto"/>
        <w:jc w:val="center"/>
        <w:rPr>
          <w:rFonts w:hint="eastAsia" w:ascii="宋体" w:hAnsi="宋体" w:cs="宋体"/>
          <w:color w:val="000000" w:themeColor="text1"/>
          <w:sz w:val="36"/>
          <w:szCs w:val="36"/>
          <w:u w:val="single"/>
          <w14:textFill>
            <w14:solidFill>
              <w14:schemeClr w14:val="tx1"/>
            </w14:solidFill>
          </w14:textFill>
        </w:rPr>
      </w:pPr>
      <w:bookmarkStart w:id="0" w:name="_Hlk57884087"/>
    </w:p>
    <w:p w14:paraId="1A3F905D">
      <w:pPr>
        <w:widowControl w:val="0"/>
        <w:spacing w:line="288" w:lineRule="auto"/>
        <w:jc w:val="center"/>
        <w:rPr>
          <w:rFonts w:hint="eastAsia" w:ascii="宋体" w:hAnsi="宋体" w:cs="宋体"/>
          <w:color w:val="000000" w:themeColor="text1"/>
          <w:sz w:val="36"/>
          <w:szCs w:val="36"/>
          <w14:textFill>
            <w14:solidFill>
              <w14:schemeClr w14:val="tx1"/>
            </w14:solidFill>
          </w14:textFill>
        </w:rPr>
      </w:pPr>
    </w:p>
    <w:p w14:paraId="139205FF">
      <w:pPr>
        <w:pStyle w:val="81"/>
        <w:ind w:firstLine="720"/>
        <w:rPr>
          <w:rFonts w:hint="eastAsia" w:ascii="宋体" w:hAnsi="宋体" w:cs="宋体"/>
          <w:color w:val="000000" w:themeColor="text1"/>
          <w:sz w:val="36"/>
          <w:szCs w:val="36"/>
          <w14:textFill>
            <w14:solidFill>
              <w14:schemeClr w14:val="tx1"/>
            </w14:solidFill>
          </w14:textFill>
        </w:rPr>
      </w:pPr>
    </w:p>
    <w:bookmarkEnd w:id="0"/>
    <w:p w14:paraId="63FCC2AE">
      <w:pPr>
        <w:widowControl w:val="0"/>
        <w:tabs>
          <w:tab w:val="left" w:pos="4140"/>
        </w:tabs>
        <w:adjustRightInd/>
        <w:snapToGrid/>
        <w:spacing w:line="520" w:lineRule="exact"/>
        <w:ind w:firstLine="0" w:firstLineChars="0"/>
        <w:jc w:val="center"/>
        <w:rPr>
          <w:rFonts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14:paraId="72C56C24">
      <w:pPr>
        <w:ind w:firstLine="643"/>
        <w:jc w:val="center"/>
        <w:rPr>
          <w:rFonts w:hint="eastAsia" w:ascii="宋体" w:hAnsi="宋体" w:cs="宋体"/>
          <w:b/>
          <w:snapToGrid w:val="0"/>
          <w:color w:val="000000" w:themeColor="text1"/>
          <w:sz w:val="32"/>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42" w:charSpace="0"/>
        </w:sectPr>
      </w:pPr>
    </w:p>
    <w:p w14:paraId="1AD2A69A">
      <w:pPr>
        <w:pStyle w:val="312"/>
        <w:keepNext/>
        <w:keepLines/>
        <w:pageBreakBefore/>
        <w:numPr>
          <w:ilvl w:val="0"/>
          <w:numId w:val="13"/>
        </w:numPr>
        <w:spacing w:line="240" w:lineRule="auto"/>
        <w:ind w:firstLineChars="0"/>
        <w:jc w:val="center"/>
        <w:outlineLvl w:val="0"/>
        <w:rPr>
          <w:rFonts w:hint="eastAsia" w:ascii="宋体" w:hAnsi="宋体" w:cs="宋体"/>
          <w:b/>
          <w:bCs/>
          <w:color w:val="000000" w:themeColor="text1"/>
          <w14:textFill>
            <w14:solidFill>
              <w14:schemeClr w14:val="tx1"/>
            </w14:solidFill>
          </w14:textFill>
        </w:rPr>
      </w:pPr>
      <w:r>
        <w:rPr>
          <w:rFonts w:hint="eastAsia" w:ascii="宋体" w:hAnsi="宋体" w:cs="宋体"/>
          <w:b/>
          <w:bCs/>
          <w:snapToGrid w:val="0"/>
          <w:color w:val="000000" w:themeColor="text1"/>
          <w:sz w:val="32"/>
          <w:szCs w:val="32"/>
          <w14:textFill>
            <w14:solidFill>
              <w14:schemeClr w14:val="tx1"/>
            </w14:solidFill>
          </w14:textFill>
        </w:rPr>
        <w:t>建设项目基本情况</w:t>
      </w:r>
    </w:p>
    <w:tbl>
      <w:tblPr>
        <w:tblStyle w:val="82"/>
        <w:tblW w:w="90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789"/>
        <w:gridCol w:w="961"/>
        <w:gridCol w:w="1254"/>
        <w:gridCol w:w="1932"/>
        <w:gridCol w:w="984"/>
        <w:gridCol w:w="1425"/>
        <w:gridCol w:w="754"/>
      </w:tblGrid>
      <w:tr w14:paraId="7F59B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789" w:type="dxa"/>
            <w:tcBorders>
              <w:tl2br w:val="nil"/>
              <w:tr2bl w:val="nil"/>
            </w:tcBorders>
            <w:tcMar>
              <w:top w:w="16" w:type="dxa"/>
              <w:left w:w="16" w:type="dxa"/>
              <w:right w:w="16" w:type="dxa"/>
            </w:tcMar>
            <w:vAlign w:val="center"/>
          </w:tcPr>
          <w:p w14:paraId="1E4E2FCC">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建设项目名称</w:t>
            </w:r>
          </w:p>
        </w:tc>
        <w:tc>
          <w:tcPr>
            <w:tcW w:w="7310" w:type="dxa"/>
            <w:gridSpan w:val="6"/>
            <w:tcBorders>
              <w:tl2br w:val="nil"/>
              <w:tr2bl w:val="nil"/>
            </w:tcBorders>
            <w:vAlign w:val="center"/>
          </w:tcPr>
          <w:p w14:paraId="388C7462">
            <w:pPr>
              <w:widowControl w:val="0"/>
              <w:spacing w:line="240" w:lineRule="auto"/>
              <w:ind w:firstLine="0" w:firstLineChars="0"/>
              <w:jc w:val="center"/>
              <w:rPr>
                <w:color w:val="000000" w:themeColor="text1"/>
                <w:szCs w:val="24"/>
                <w14:textFill>
                  <w14:solidFill>
                    <w14:schemeClr w14:val="tx1"/>
                  </w14:solidFill>
                </w14:textFill>
              </w:rPr>
            </w:pPr>
            <w:r>
              <w:rPr>
                <w:rFonts w:hint="eastAsia"/>
                <w:bCs/>
                <w:color w:val="000000" w:themeColor="text1"/>
                <w:spacing w:val="-6"/>
                <w:lang w:eastAsia="zh-CN"/>
                <w14:textFill>
                  <w14:solidFill>
                    <w14:schemeClr w14:val="tx1"/>
                  </w14:solidFill>
                </w14:textFill>
              </w:rPr>
              <w:t>300万吨/年矿物固废煤矸石综合处置再利用</w:t>
            </w:r>
            <w:r>
              <w:rPr>
                <w:bCs/>
                <w:color w:val="000000" w:themeColor="text1"/>
                <w:spacing w:val="-6"/>
                <w14:textFill>
                  <w14:solidFill>
                    <w14:schemeClr w14:val="tx1"/>
                  </w14:solidFill>
                </w14:textFill>
              </w:rPr>
              <w:t>项目改建</w:t>
            </w:r>
          </w:p>
        </w:tc>
      </w:tr>
      <w:tr w14:paraId="4B651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1789" w:type="dxa"/>
            <w:tcBorders>
              <w:tl2br w:val="nil"/>
              <w:tr2bl w:val="nil"/>
            </w:tcBorders>
            <w:tcMar>
              <w:top w:w="16" w:type="dxa"/>
              <w:left w:w="16" w:type="dxa"/>
              <w:right w:w="16" w:type="dxa"/>
            </w:tcMar>
            <w:vAlign w:val="center"/>
          </w:tcPr>
          <w:p w14:paraId="2F624E16">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项目代码</w:t>
            </w:r>
          </w:p>
        </w:tc>
        <w:tc>
          <w:tcPr>
            <w:tcW w:w="7310" w:type="dxa"/>
            <w:gridSpan w:val="6"/>
            <w:tcBorders>
              <w:tl2br w:val="nil"/>
              <w:tr2bl w:val="nil"/>
            </w:tcBorders>
            <w:vAlign w:val="center"/>
          </w:tcPr>
          <w:p w14:paraId="695A61C1">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r>
      <w:tr w14:paraId="3D733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1789" w:type="dxa"/>
            <w:tcBorders>
              <w:tl2br w:val="nil"/>
              <w:tr2bl w:val="nil"/>
            </w:tcBorders>
            <w:tcMar>
              <w:top w:w="16" w:type="dxa"/>
              <w:left w:w="16" w:type="dxa"/>
              <w:right w:w="16" w:type="dxa"/>
            </w:tcMar>
            <w:vAlign w:val="center"/>
          </w:tcPr>
          <w:p w14:paraId="007F162A">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建设单位联系人</w:t>
            </w:r>
          </w:p>
        </w:tc>
        <w:tc>
          <w:tcPr>
            <w:tcW w:w="2215" w:type="dxa"/>
            <w:gridSpan w:val="2"/>
            <w:tcBorders>
              <w:tl2br w:val="nil"/>
              <w:tr2bl w:val="nil"/>
            </w:tcBorders>
            <w:vAlign w:val="center"/>
          </w:tcPr>
          <w:p w14:paraId="26820833">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14:textFill>
                  <w14:solidFill>
                    <w14:schemeClr w14:val="tx1"/>
                  </w14:solidFill>
                </w14:textFill>
              </w:rPr>
              <w:t>李智仁</w:t>
            </w:r>
          </w:p>
        </w:tc>
        <w:tc>
          <w:tcPr>
            <w:tcW w:w="1932" w:type="dxa"/>
            <w:tcBorders>
              <w:tl2br w:val="nil"/>
              <w:tr2bl w:val="nil"/>
            </w:tcBorders>
            <w:vAlign w:val="center"/>
          </w:tcPr>
          <w:p w14:paraId="6581562E">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联系方式</w:t>
            </w:r>
          </w:p>
        </w:tc>
        <w:tc>
          <w:tcPr>
            <w:tcW w:w="3163" w:type="dxa"/>
            <w:gridSpan w:val="3"/>
            <w:tcBorders>
              <w:tl2br w:val="nil"/>
              <w:tr2bl w:val="nil"/>
            </w:tcBorders>
            <w:vAlign w:val="center"/>
          </w:tcPr>
          <w:p w14:paraId="2DD41D42">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14:textFill>
                  <w14:solidFill>
                    <w14:schemeClr w14:val="tx1"/>
                  </w14:solidFill>
                </w14:textFill>
              </w:rPr>
              <w:t>18709123868</w:t>
            </w:r>
          </w:p>
        </w:tc>
      </w:tr>
      <w:tr w14:paraId="70BB4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789" w:type="dxa"/>
            <w:tcBorders>
              <w:tl2br w:val="nil"/>
              <w:tr2bl w:val="nil"/>
            </w:tcBorders>
            <w:tcMar>
              <w:top w:w="16" w:type="dxa"/>
              <w:left w:w="16" w:type="dxa"/>
              <w:right w:w="16" w:type="dxa"/>
            </w:tcMar>
            <w:vAlign w:val="center"/>
          </w:tcPr>
          <w:p w14:paraId="07FB0DEC">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建设地点</w:t>
            </w:r>
          </w:p>
        </w:tc>
        <w:tc>
          <w:tcPr>
            <w:tcW w:w="7310" w:type="dxa"/>
            <w:gridSpan w:val="6"/>
            <w:tcBorders>
              <w:tl2br w:val="nil"/>
              <w:tr2bl w:val="nil"/>
            </w:tcBorders>
            <w:vAlign w:val="center"/>
          </w:tcPr>
          <w:p w14:paraId="4551DDEB">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14:textFill>
                  <w14:solidFill>
                    <w14:schemeClr w14:val="tx1"/>
                  </w14:solidFill>
                </w14:textFill>
              </w:rPr>
              <w:t>陕西省榆林市榆阳区金鸡滩镇白舍牛滩村</w:t>
            </w:r>
          </w:p>
        </w:tc>
      </w:tr>
      <w:tr w14:paraId="61736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1789" w:type="dxa"/>
            <w:tcBorders>
              <w:tl2br w:val="nil"/>
              <w:tr2bl w:val="nil"/>
            </w:tcBorders>
            <w:tcMar>
              <w:top w:w="16" w:type="dxa"/>
              <w:left w:w="16" w:type="dxa"/>
              <w:right w:w="16" w:type="dxa"/>
            </w:tcMar>
            <w:vAlign w:val="center"/>
          </w:tcPr>
          <w:p w14:paraId="5BF6F884">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地理坐标</w:t>
            </w:r>
          </w:p>
        </w:tc>
        <w:tc>
          <w:tcPr>
            <w:tcW w:w="7310" w:type="dxa"/>
            <w:gridSpan w:val="6"/>
            <w:tcBorders>
              <w:tl2br w:val="nil"/>
              <w:tr2bl w:val="nil"/>
            </w:tcBorders>
            <w:vAlign w:val="center"/>
          </w:tcPr>
          <w:p w14:paraId="2CA8C3FC">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（E</w:t>
            </w:r>
            <w:r>
              <w:rPr>
                <w:color w:val="000000" w:themeColor="text1"/>
                <w:szCs w:val="24"/>
                <w:u w:val="single"/>
                <w14:textFill>
                  <w14:solidFill>
                    <w14:schemeClr w14:val="tx1"/>
                  </w14:solidFill>
                </w14:textFill>
              </w:rPr>
              <w:t>109</w:t>
            </w:r>
            <w:r>
              <w:rPr>
                <w:color w:val="000000" w:themeColor="text1"/>
                <w:szCs w:val="24"/>
                <w14:textFill>
                  <w14:solidFill>
                    <w14:schemeClr w14:val="tx1"/>
                  </w14:solidFill>
                </w14:textFill>
              </w:rPr>
              <w:t>度</w:t>
            </w:r>
            <w:r>
              <w:rPr>
                <w:color w:val="000000" w:themeColor="text1"/>
                <w:szCs w:val="24"/>
                <w:u w:val="single"/>
                <w14:textFill>
                  <w14:solidFill>
                    <w14:schemeClr w14:val="tx1"/>
                  </w14:solidFill>
                </w14:textFill>
              </w:rPr>
              <w:t>48</w:t>
            </w:r>
            <w:r>
              <w:rPr>
                <w:color w:val="000000" w:themeColor="text1"/>
                <w:szCs w:val="24"/>
                <w14:textFill>
                  <w14:solidFill>
                    <w14:schemeClr w14:val="tx1"/>
                  </w14:solidFill>
                </w14:textFill>
              </w:rPr>
              <w:t>分</w:t>
            </w:r>
            <w:r>
              <w:rPr>
                <w:color w:val="000000" w:themeColor="text1"/>
                <w:szCs w:val="24"/>
                <w:u w:val="single"/>
                <w14:textFill>
                  <w14:solidFill>
                    <w14:schemeClr w14:val="tx1"/>
                  </w14:solidFill>
                </w14:textFill>
              </w:rPr>
              <w:t>59.159</w:t>
            </w:r>
            <w:r>
              <w:rPr>
                <w:color w:val="000000" w:themeColor="text1"/>
                <w:szCs w:val="24"/>
                <w14:textFill>
                  <w14:solidFill>
                    <w14:schemeClr w14:val="tx1"/>
                  </w14:solidFill>
                </w14:textFill>
              </w:rPr>
              <w:t>秒，N</w:t>
            </w:r>
            <w:r>
              <w:rPr>
                <w:color w:val="000000" w:themeColor="text1"/>
                <w:szCs w:val="24"/>
                <w:u w:val="single"/>
                <w14:textFill>
                  <w14:solidFill>
                    <w14:schemeClr w14:val="tx1"/>
                  </w14:solidFill>
                </w14:textFill>
              </w:rPr>
              <w:t>38</w:t>
            </w:r>
            <w:r>
              <w:rPr>
                <w:color w:val="000000" w:themeColor="text1"/>
                <w:szCs w:val="24"/>
                <w14:textFill>
                  <w14:solidFill>
                    <w14:schemeClr w14:val="tx1"/>
                  </w14:solidFill>
                </w14:textFill>
              </w:rPr>
              <w:t>度</w:t>
            </w:r>
            <w:r>
              <w:rPr>
                <w:color w:val="000000" w:themeColor="text1"/>
                <w:szCs w:val="24"/>
                <w:u w:val="single"/>
                <w14:textFill>
                  <w14:solidFill>
                    <w14:schemeClr w14:val="tx1"/>
                  </w14:solidFill>
                </w14:textFill>
              </w:rPr>
              <w:t>31</w:t>
            </w:r>
            <w:r>
              <w:rPr>
                <w:color w:val="000000" w:themeColor="text1"/>
                <w:szCs w:val="24"/>
                <w14:textFill>
                  <w14:solidFill>
                    <w14:schemeClr w14:val="tx1"/>
                  </w14:solidFill>
                </w14:textFill>
              </w:rPr>
              <w:t>分</w:t>
            </w:r>
            <w:r>
              <w:rPr>
                <w:color w:val="000000" w:themeColor="text1"/>
                <w:szCs w:val="24"/>
                <w:u w:val="single"/>
                <w14:textFill>
                  <w14:solidFill>
                    <w14:schemeClr w14:val="tx1"/>
                  </w14:solidFill>
                </w14:textFill>
              </w:rPr>
              <w:t>9.236</w:t>
            </w:r>
            <w:r>
              <w:rPr>
                <w:color w:val="000000" w:themeColor="text1"/>
                <w:szCs w:val="24"/>
                <w14:textFill>
                  <w14:solidFill>
                    <w14:schemeClr w14:val="tx1"/>
                  </w14:solidFill>
                </w14:textFill>
              </w:rPr>
              <w:t>秒）</w:t>
            </w:r>
          </w:p>
        </w:tc>
      </w:tr>
      <w:tr w14:paraId="02244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89" w:type="dxa"/>
            <w:tcBorders>
              <w:tl2br w:val="nil"/>
              <w:tr2bl w:val="nil"/>
            </w:tcBorders>
            <w:tcMar>
              <w:top w:w="16" w:type="dxa"/>
              <w:left w:w="16" w:type="dxa"/>
              <w:right w:w="16" w:type="dxa"/>
            </w:tcMar>
            <w:vAlign w:val="center"/>
          </w:tcPr>
          <w:p w14:paraId="22568D65">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国民经济</w:t>
            </w:r>
          </w:p>
          <w:p w14:paraId="6D7B1024">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行业类别</w:t>
            </w:r>
          </w:p>
        </w:tc>
        <w:tc>
          <w:tcPr>
            <w:tcW w:w="2215" w:type="dxa"/>
            <w:gridSpan w:val="2"/>
            <w:tcBorders>
              <w:tl2br w:val="nil"/>
              <w:tr2bl w:val="nil"/>
            </w:tcBorders>
            <w:vAlign w:val="center"/>
          </w:tcPr>
          <w:p w14:paraId="2527149D">
            <w:pPr>
              <w:widowControl w:val="0"/>
              <w:spacing w:line="240" w:lineRule="auto"/>
              <w:ind w:firstLine="0" w:firstLineChars="0"/>
              <w:rPr>
                <w:color w:val="000000" w:themeColor="text1"/>
                <w14:textFill>
                  <w14:solidFill>
                    <w14:schemeClr w14:val="tx1"/>
                  </w14:solidFill>
                </w14:textFill>
              </w:rPr>
            </w:pPr>
            <w:r>
              <w:rPr>
                <w:color w:val="000000" w:themeColor="text1"/>
                <w:szCs w:val="24"/>
                <w14:textFill>
                  <w14:solidFill>
                    <w14:schemeClr w14:val="tx1"/>
                  </w14:solidFill>
                </w14:textFill>
              </w:rPr>
              <w:t>N7723固体废物治理</w:t>
            </w:r>
          </w:p>
        </w:tc>
        <w:tc>
          <w:tcPr>
            <w:tcW w:w="1932" w:type="dxa"/>
            <w:tcBorders>
              <w:tl2br w:val="nil"/>
              <w:tr2bl w:val="nil"/>
            </w:tcBorders>
            <w:vAlign w:val="center"/>
          </w:tcPr>
          <w:p w14:paraId="674E9549">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建设项目</w:t>
            </w:r>
          </w:p>
          <w:p w14:paraId="4CC211F2">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行业类别</w:t>
            </w:r>
          </w:p>
        </w:tc>
        <w:tc>
          <w:tcPr>
            <w:tcW w:w="3163" w:type="dxa"/>
            <w:gridSpan w:val="3"/>
            <w:tcBorders>
              <w:tl2br w:val="nil"/>
              <w:tr2bl w:val="nil"/>
            </w:tcBorders>
            <w:vAlign w:val="center"/>
          </w:tcPr>
          <w:p w14:paraId="4C37577E">
            <w:pPr>
              <w:widowControl w:val="0"/>
              <w:spacing w:line="240" w:lineRule="auto"/>
              <w:ind w:firstLine="0" w:firstLineChars="0"/>
              <w:rPr>
                <w:color w:val="000000" w:themeColor="text1"/>
                <w14:textFill>
                  <w14:solidFill>
                    <w14:schemeClr w14:val="tx1"/>
                  </w14:solidFill>
                </w14:textFill>
              </w:rPr>
            </w:pPr>
            <w:r>
              <w:rPr>
                <w:color w:val="000000" w:themeColor="text1"/>
                <w:szCs w:val="24"/>
                <w14:textFill>
                  <w14:solidFill>
                    <w14:schemeClr w14:val="tx1"/>
                  </w14:solidFill>
                </w14:textFill>
              </w:rPr>
              <w:t>四十七、生态保护和环境治理业103一般工业固体废物（含污水处理污泥）、建筑施工废弃物处置及综合利用</w:t>
            </w:r>
          </w:p>
        </w:tc>
      </w:tr>
      <w:tr w14:paraId="29441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89" w:type="dxa"/>
            <w:tcBorders>
              <w:tl2br w:val="nil"/>
              <w:tr2bl w:val="nil"/>
            </w:tcBorders>
            <w:tcMar>
              <w:top w:w="16" w:type="dxa"/>
              <w:left w:w="16" w:type="dxa"/>
              <w:right w:w="16" w:type="dxa"/>
            </w:tcMar>
            <w:vAlign w:val="center"/>
          </w:tcPr>
          <w:p w14:paraId="45300CD2">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建设性质</w:t>
            </w:r>
          </w:p>
        </w:tc>
        <w:tc>
          <w:tcPr>
            <w:tcW w:w="2215" w:type="dxa"/>
            <w:gridSpan w:val="2"/>
            <w:tcBorders>
              <w:tl2br w:val="nil"/>
              <w:tr2bl w:val="nil"/>
            </w:tcBorders>
            <w:vAlign w:val="center"/>
          </w:tcPr>
          <w:p w14:paraId="5F68BBD7">
            <w:pPr>
              <w:widowControl w:val="0"/>
              <w:spacing w:line="240" w:lineRule="auto"/>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sym w:font="Wingdings 2" w:char="00A3"/>
            </w:r>
            <w:r>
              <w:rPr>
                <w:color w:val="000000" w:themeColor="text1"/>
                <w:szCs w:val="24"/>
                <w14:textFill>
                  <w14:solidFill>
                    <w14:schemeClr w14:val="tx1"/>
                  </w14:solidFill>
                </w14:textFill>
              </w:rPr>
              <w:t>新建（迁建）</w:t>
            </w:r>
          </w:p>
          <w:p w14:paraId="4FFB18FF">
            <w:pPr>
              <w:widowControl w:val="0"/>
              <w:spacing w:line="240" w:lineRule="auto"/>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☑改建</w:t>
            </w:r>
          </w:p>
          <w:p w14:paraId="6EFACC12">
            <w:pPr>
              <w:widowControl w:val="0"/>
              <w:spacing w:line="240" w:lineRule="auto"/>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sym w:font="Wingdings 2" w:char="00A3"/>
            </w:r>
            <w:r>
              <w:rPr>
                <w:color w:val="000000" w:themeColor="text1"/>
                <w:szCs w:val="24"/>
                <w14:textFill>
                  <w14:solidFill>
                    <w14:schemeClr w14:val="tx1"/>
                  </w14:solidFill>
                </w14:textFill>
              </w:rPr>
              <w:t>扩建</w:t>
            </w:r>
          </w:p>
          <w:p w14:paraId="2673BBC9">
            <w:pPr>
              <w:widowControl w:val="0"/>
              <w:spacing w:line="240" w:lineRule="auto"/>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sym w:font="Wingdings 2" w:char="00A3"/>
            </w:r>
            <w:r>
              <w:rPr>
                <w:color w:val="000000" w:themeColor="text1"/>
                <w:szCs w:val="24"/>
                <w14:textFill>
                  <w14:solidFill>
                    <w14:schemeClr w14:val="tx1"/>
                  </w14:solidFill>
                </w14:textFill>
              </w:rPr>
              <w:t>技术改造</w:t>
            </w:r>
          </w:p>
        </w:tc>
        <w:tc>
          <w:tcPr>
            <w:tcW w:w="1932" w:type="dxa"/>
            <w:tcBorders>
              <w:tl2br w:val="nil"/>
              <w:tr2bl w:val="nil"/>
            </w:tcBorders>
            <w:vAlign w:val="center"/>
          </w:tcPr>
          <w:p w14:paraId="40F7E191">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建设项目</w:t>
            </w:r>
          </w:p>
          <w:p w14:paraId="00953F76">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申报情形</w:t>
            </w:r>
          </w:p>
        </w:tc>
        <w:tc>
          <w:tcPr>
            <w:tcW w:w="3163" w:type="dxa"/>
            <w:gridSpan w:val="3"/>
            <w:tcBorders>
              <w:tl2br w:val="nil"/>
              <w:tr2bl w:val="nil"/>
            </w:tcBorders>
            <w:vAlign w:val="center"/>
          </w:tcPr>
          <w:p w14:paraId="78B045CA">
            <w:pPr>
              <w:widowControl w:val="0"/>
              <w:spacing w:line="240" w:lineRule="auto"/>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sym w:font="Wingdings 2" w:char="0052"/>
            </w:r>
            <w:r>
              <w:rPr>
                <w:color w:val="000000" w:themeColor="text1"/>
                <w:szCs w:val="24"/>
                <w14:textFill>
                  <w14:solidFill>
                    <w14:schemeClr w14:val="tx1"/>
                  </w14:solidFill>
                </w14:textFill>
              </w:rPr>
              <w:t>首次申报项目</w:t>
            </w:r>
          </w:p>
          <w:p w14:paraId="1D7251DE">
            <w:pPr>
              <w:widowControl w:val="0"/>
              <w:spacing w:line="240" w:lineRule="auto"/>
              <w:ind w:firstLine="0" w:firstLineChars="0"/>
              <w:jc w:val="left"/>
              <w:rPr>
                <w:color w:val="000000" w:themeColor="text1"/>
                <w:szCs w:val="24"/>
                <w14:textFill>
                  <w14:solidFill>
                    <w14:schemeClr w14:val="tx1"/>
                  </w14:solidFill>
                </w14:textFill>
              </w:rPr>
            </w:pPr>
            <w:r>
              <w:rPr>
                <w:rFonts w:hint="eastAsia"/>
                <w:color w:val="000000" w:themeColor="text1"/>
                <w:szCs w:val="24"/>
                <w:lang w:eastAsia="zh-CN"/>
                <w14:textFill>
                  <w14:solidFill>
                    <w14:schemeClr w14:val="tx1"/>
                  </w14:solidFill>
                </w14:textFill>
              </w:rPr>
              <w:t>□</w:t>
            </w:r>
            <w:r>
              <w:rPr>
                <w:color w:val="000000" w:themeColor="text1"/>
                <w:szCs w:val="24"/>
                <w14:textFill>
                  <w14:solidFill>
                    <w14:schemeClr w14:val="tx1"/>
                  </w14:solidFill>
                </w14:textFill>
              </w:rPr>
              <w:t>不予批准后再次申报项目</w:t>
            </w:r>
          </w:p>
          <w:p w14:paraId="45BB7DDA">
            <w:pPr>
              <w:widowControl w:val="0"/>
              <w:spacing w:line="240" w:lineRule="auto"/>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sym w:font="Wingdings 2" w:char="00A3"/>
            </w:r>
            <w:r>
              <w:rPr>
                <w:color w:val="000000" w:themeColor="text1"/>
                <w:szCs w:val="24"/>
                <w14:textFill>
                  <w14:solidFill>
                    <w14:schemeClr w14:val="tx1"/>
                  </w14:solidFill>
                </w14:textFill>
              </w:rPr>
              <w:t>超五年重新审核项目</w:t>
            </w:r>
          </w:p>
          <w:p w14:paraId="44D7E39F">
            <w:pPr>
              <w:widowControl w:val="0"/>
              <w:spacing w:line="240" w:lineRule="auto"/>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sym w:font="Wingdings 2" w:char="00A3"/>
            </w:r>
            <w:r>
              <w:rPr>
                <w:color w:val="000000" w:themeColor="text1"/>
                <w:szCs w:val="24"/>
                <w14:textFill>
                  <w14:solidFill>
                    <w14:schemeClr w14:val="tx1"/>
                  </w14:solidFill>
                </w14:textFill>
              </w:rPr>
              <w:t>重大变动重新报批项目</w:t>
            </w:r>
          </w:p>
        </w:tc>
      </w:tr>
      <w:tr w14:paraId="56189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89" w:type="dxa"/>
            <w:tcBorders>
              <w:tl2br w:val="nil"/>
              <w:tr2bl w:val="nil"/>
            </w:tcBorders>
            <w:tcMar>
              <w:top w:w="16" w:type="dxa"/>
              <w:left w:w="16" w:type="dxa"/>
              <w:right w:w="16" w:type="dxa"/>
            </w:tcMar>
            <w:vAlign w:val="center"/>
          </w:tcPr>
          <w:p w14:paraId="33969824">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项目审批(核准/备案)部门(选填)</w:t>
            </w:r>
          </w:p>
        </w:tc>
        <w:tc>
          <w:tcPr>
            <w:tcW w:w="2215" w:type="dxa"/>
            <w:gridSpan w:val="2"/>
            <w:tcBorders>
              <w:tl2br w:val="nil"/>
              <w:tr2bl w:val="nil"/>
            </w:tcBorders>
            <w:vAlign w:val="center"/>
          </w:tcPr>
          <w:p w14:paraId="33575D98">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c>
          <w:tcPr>
            <w:tcW w:w="1932" w:type="dxa"/>
            <w:tcBorders>
              <w:tl2br w:val="nil"/>
              <w:tr2bl w:val="nil"/>
            </w:tcBorders>
            <w:vAlign w:val="center"/>
          </w:tcPr>
          <w:p w14:paraId="39AE52C1">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项目审批（核准/</w:t>
            </w:r>
          </w:p>
          <w:p w14:paraId="6FA99B57">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备案）文号（选填）</w:t>
            </w:r>
          </w:p>
        </w:tc>
        <w:tc>
          <w:tcPr>
            <w:tcW w:w="3163" w:type="dxa"/>
            <w:gridSpan w:val="3"/>
            <w:tcBorders>
              <w:tl2br w:val="nil"/>
              <w:tr2bl w:val="nil"/>
            </w:tcBorders>
            <w:vAlign w:val="center"/>
          </w:tcPr>
          <w:p w14:paraId="58B941A7">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p>
        </w:tc>
      </w:tr>
      <w:tr w14:paraId="06607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3" w:hRule="atLeast"/>
          <w:jc w:val="center"/>
        </w:trPr>
        <w:tc>
          <w:tcPr>
            <w:tcW w:w="1789" w:type="dxa"/>
            <w:tcBorders>
              <w:tl2br w:val="nil"/>
              <w:tr2bl w:val="nil"/>
            </w:tcBorders>
            <w:tcMar>
              <w:top w:w="16" w:type="dxa"/>
              <w:left w:w="16" w:type="dxa"/>
              <w:right w:w="16" w:type="dxa"/>
            </w:tcMar>
            <w:vAlign w:val="center"/>
          </w:tcPr>
          <w:p w14:paraId="086509EE">
            <w:pPr>
              <w:widowControl w:val="0"/>
              <w:autoSpaceDE w:val="0"/>
              <w:autoSpaceDN w:val="0"/>
              <w:spacing w:line="240" w:lineRule="auto"/>
              <w:ind w:left="-96" w:leftChars="-40" w:right="-96" w:rightChars="-40"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总投资(万元)</w:t>
            </w:r>
          </w:p>
        </w:tc>
        <w:tc>
          <w:tcPr>
            <w:tcW w:w="2215" w:type="dxa"/>
            <w:gridSpan w:val="2"/>
            <w:tcBorders>
              <w:tl2br w:val="nil"/>
              <w:tr2bl w:val="nil"/>
            </w:tcBorders>
            <w:vAlign w:val="center"/>
          </w:tcPr>
          <w:p w14:paraId="273AB4C5">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500</w:t>
            </w:r>
          </w:p>
        </w:tc>
        <w:tc>
          <w:tcPr>
            <w:tcW w:w="1932" w:type="dxa"/>
            <w:tcBorders>
              <w:tl2br w:val="nil"/>
              <w:tr2bl w:val="nil"/>
            </w:tcBorders>
            <w:tcMar>
              <w:top w:w="16" w:type="dxa"/>
              <w:left w:w="16" w:type="dxa"/>
              <w:right w:w="16" w:type="dxa"/>
            </w:tcMar>
            <w:vAlign w:val="center"/>
          </w:tcPr>
          <w:p w14:paraId="1235C415">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环保投资（万元）</w:t>
            </w:r>
          </w:p>
        </w:tc>
        <w:tc>
          <w:tcPr>
            <w:tcW w:w="3163" w:type="dxa"/>
            <w:gridSpan w:val="3"/>
            <w:tcBorders>
              <w:tl2br w:val="nil"/>
              <w:tr2bl w:val="nil"/>
            </w:tcBorders>
            <w:vAlign w:val="center"/>
          </w:tcPr>
          <w:p w14:paraId="33B01D4A">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20</w:t>
            </w:r>
          </w:p>
        </w:tc>
      </w:tr>
      <w:tr w14:paraId="6F336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3" w:hRule="atLeast"/>
          <w:jc w:val="center"/>
        </w:trPr>
        <w:tc>
          <w:tcPr>
            <w:tcW w:w="1789" w:type="dxa"/>
            <w:tcBorders>
              <w:tl2br w:val="nil"/>
              <w:tr2bl w:val="nil"/>
            </w:tcBorders>
            <w:tcMar>
              <w:top w:w="16" w:type="dxa"/>
              <w:left w:w="16" w:type="dxa"/>
              <w:right w:w="16" w:type="dxa"/>
            </w:tcMar>
            <w:vAlign w:val="center"/>
          </w:tcPr>
          <w:p w14:paraId="3E4A1E75">
            <w:pPr>
              <w:widowControl w:val="0"/>
              <w:autoSpaceDE w:val="0"/>
              <w:autoSpaceDN w:val="0"/>
              <w:spacing w:line="240" w:lineRule="auto"/>
              <w:ind w:left="-96" w:leftChars="-40" w:right="-96" w:rightChars="-40"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环保投资占比(%)</w:t>
            </w:r>
          </w:p>
        </w:tc>
        <w:tc>
          <w:tcPr>
            <w:tcW w:w="2215" w:type="dxa"/>
            <w:gridSpan w:val="2"/>
            <w:tcBorders>
              <w:tl2br w:val="nil"/>
              <w:tr2bl w:val="nil"/>
            </w:tcBorders>
            <w:vAlign w:val="center"/>
          </w:tcPr>
          <w:p w14:paraId="3C7F40ED">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4</w:t>
            </w:r>
          </w:p>
        </w:tc>
        <w:tc>
          <w:tcPr>
            <w:tcW w:w="1932" w:type="dxa"/>
            <w:tcBorders>
              <w:tl2br w:val="nil"/>
              <w:tr2bl w:val="nil"/>
            </w:tcBorders>
            <w:tcMar>
              <w:top w:w="16" w:type="dxa"/>
              <w:left w:w="16" w:type="dxa"/>
              <w:right w:w="16" w:type="dxa"/>
            </w:tcMar>
            <w:vAlign w:val="center"/>
          </w:tcPr>
          <w:p w14:paraId="78EA9671">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施工工期</w:t>
            </w:r>
          </w:p>
        </w:tc>
        <w:tc>
          <w:tcPr>
            <w:tcW w:w="3163" w:type="dxa"/>
            <w:gridSpan w:val="3"/>
            <w:tcBorders>
              <w:tl2br w:val="nil"/>
              <w:tr2bl w:val="nil"/>
            </w:tcBorders>
            <w:vAlign w:val="center"/>
          </w:tcPr>
          <w:p w14:paraId="5A9A5ECA">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2个月</w:t>
            </w:r>
          </w:p>
        </w:tc>
      </w:tr>
      <w:tr w14:paraId="58D3F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1789" w:type="dxa"/>
            <w:tcBorders>
              <w:tl2br w:val="nil"/>
              <w:tr2bl w:val="nil"/>
            </w:tcBorders>
            <w:tcMar>
              <w:top w:w="16" w:type="dxa"/>
              <w:left w:w="16" w:type="dxa"/>
              <w:right w:w="16" w:type="dxa"/>
            </w:tcMar>
            <w:vAlign w:val="center"/>
          </w:tcPr>
          <w:p w14:paraId="212C3CC1">
            <w:pPr>
              <w:widowControl w:val="0"/>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是否开工建设</w:t>
            </w:r>
          </w:p>
        </w:tc>
        <w:tc>
          <w:tcPr>
            <w:tcW w:w="2215" w:type="dxa"/>
            <w:gridSpan w:val="2"/>
            <w:tcBorders>
              <w:tl2br w:val="nil"/>
              <w:tr2bl w:val="nil"/>
            </w:tcBorders>
            <w:vAlign w:val="center"/>
          </w:tcPr>
          <w:p w14:paraId="392382AB">
            <w:pPr>
              <w:widowControl w:val="0"/>
              <w:spacing w:line="240" w:lineRule="auto"/>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sym w:font="Wingdings 2" w:char="0052"/>
            </w:r>
            <w:r>
              <w:rPr>
                <w:color w:val="000000" w:themeColor="text1"/>
                <w:szCs w:val="24"/>
                <w14:textFill>
                  <w14:solidFill>
                    <w14:schemeClr w14:val="tx1"/>
                  </w14:solidFill>
                </w14:textFill>
              </w:rPr>
              <w:t>否</w:t>
            </w:r>
          </w:p>
          <w:p w14:paraId="2258A9B2">
            <w:pPr>
              <w:widowControl w:val="0"/>
              <w:spacing w:line="240" w:lineRule="auto"/>
              <w:ind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sym w:font="Wingdings 2" w:char="00A3"/>
            </w:r>
            <w:r>
              <w:rPr>
                <w:color w:val="000000" w:themeColor="text1"/>
                <w:szCs w:val="24"/>
                <w14:textFill>
                  <w14:solidFill>
                    <w14:schemeClr w14:val="tx1"/>
                  </w14:solidFill>
                </w14:textFill>
              </w:rPr>
              <w:t>是：</w:t>
            </w:r>
            <w:r>
              <w:rPr>
                <w:color w:val="000000" w:themeColor="text1"/>
                <w:szCs w:val="24"/>
                <w:u w:val="single"/>
                <w14:textFill>
                  <w14:solidFill>
                    <w14:schemeClr w14:val="tx1"/>
                  </w14:solidFill>
                </w14:textFill>
              </w:rPr>
              <w:t xml:space="preserve">            </w:t>
            </w:r>
          </w:p>
        </w:tc>
        <w:tc>
          <w:tcPr>
            <w:tcW w:w="1932" w:type="dxa"/>
            <w:tcBorders>
              <w:tl2br w:val="nil"/>
              <w:tr2bl w:val="nil"/>
            </w:tcBorders>
            <w:tcMar>
              <w:top w:w="16" w:type="dxa"/>
              <w:left w:w="16" w:type="dxa"/>
              <w:right w:w="16" w:type="dxa"/>
            </w:tcMar>
            <w:vAlign w:val="center"/>
          </w:tcPr>
          <w:p w14:paraId="3E72E7C2">
            <w:pPr>
              <w:widowControl w:val="0"/>
              <w:spacing w:line="240" w:lineRule="auto"/>
              <w:ind w:firstLine="0" w:firstLineChars="0"/>
              <w:jc w:val="center"/>
              <w:rPr>
                <w:b/>
                <w:bCs/>
                <w:color w:val="000000" w:themeColor="text1"/>
                <w:spacing w:val="-6"/>
                <w:szCs w:val="24"/>
                <w14:textFill>
                  <w14:solidFill>
                    <w14:schemeClr w14:val="tx1"/>
                  </w14:solidFill>
                </w14:textFill>
              </w:rPr>
            </w:pPr>
            <w:r>
              <w:rPr>
                <w:b/>
                <w:bCs/>
                <w:color w:val="000000" w:themeColor="text1"/>
                <w:spacing w:val="-6"/>
                <w:szCs w:val="24"/>
                <w14:textFill>
                  <w14:solidFill>
                    <w14:schemeClr w14:val="tx1"/>
                  </w14:solidFill>
                </w14:textFill>
              </w:rPr>
              <w:t>用地（用海）</w:t>
            </w:r>
          </w:p>
          <w:p w14:paraId="5931CC00">
            <w:pPr>
              <w:widowControl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pacing w:val="-6"/>
                <w:szCs w:val="24"/>
                <w14:textFill>
                  <w14:solidFill>
                    <w14:schemeClr w14:val="tx1"/>
                  </w14:solidFill>
                </w14:textFill>
              </w:rPr>
              <w:t>面积（m</w:t>
            </w:r>
            <w:r>
              <w:rPr>
                <w:b/>
                <w:bCs/>
                <w:color w:val="000000" w:themeColor="text1"/>
                <w:spacing w:val="-6"/>
                <w:szCs w:val="24"/>
                <w:vertAlign w:val="superscript"/>
                <w14:textFill>
                  <w14:solidFill>
                    <w14:schemeClr w14:val="tx1"/>
                  </w14:solidFill>
                </w14:textFill>
              </w:rPr>
              <w:t>2</w:t>
            </w:r>
            <w:r>
              <w:rPr>
                <w:b/>
                <w:bCs/>
                <w:color w:val="000000" w:themeColor="text1"/>
                <w:spacing w:val="-6"/>
                <w:szCs w:val="24"/>
                <w14:textFill>
                  <w14:solidFill>
                    <w14:schemeClr w14:val="tx1"/>
                  </w14:solidFill>
                </w14:textFill>
              </w:rPr>
              <w:t>）</w:t>
            </w:r>
          </w:p>
        </w:tc>
        <w:tc>
          <w:tcPr>
            <w:tcW w:w="3163" w:type="dxa"/>
            <w:gridSpan w:val="3"/>
            <w:tcBorders>
              <w:tl2br w:val="nil"/>
              <w:tr2bl w:val="nil"/>
            </w:tcBorders>
            <w:vAlign w:val="center"/>
          </w:tcPr>
          <w:p w14:paraId="666C03A0">
            <w:pPr>
              <w:widowControl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r>
      <w:tr w14:paraId="6144F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789" w:type="dxa"/>
            <w:vMerge w:val="restart"/>
            <w:tcBorders>
              <w:tl2br w:val="nil"/>
              <w:tr2bl w:val="nil"/>
            </w:tcBorders>
            <w:vAlign w:val="center"/>
          </w:tcPr>
          <w:p w14:paraId="561D6990">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r>
              <w:rPr>
                <w:b/>
                <w:bCs/>
                <w:color w:val="000000" w:themeColor="text1"/>
                <w:kern w:val="0"/>
                <w:szCs w:val="24"/>
                <w14:textFill>
                  <w14:solidFill>
                    <w14:schemeClr w14:val="tx1"/>
                  </w14:solidFill>
                </w14:textFill>
              </w:rPr>
              <w:t>专项评价</w:t>
            </w:r>
          </w:p>
          <w:p w14:paraId="4167A61C">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r>
              <w:rPr>
                <w:b/>
                <w:bCs/>
                <w:color w:val="000000" w:themeColor="text1"/>
                <w:kern w:val="0"/>
                <w:szCs w:val="24"/>
                <w14:textFill>
                  <w14:solidFill>
                    <w14:schemeClr w14:val="tx1"/>
                  </w14:solidFill>
                </w14:textFill>
              </w:rPr>
              <w:t>设置情况</w:t>
            </w:r>
          </w:p>
        </w:tc>
        <w:tc>
          <w:tcPr>
            <w:tcW w:w="961" w:type="dxa"/>
            <w:tcBorders>
              <w:tl2br w:val="nil"/>
              <w:tr2bl w:val="nil"/>
            </w:tcBorders>
            <w:vAlign w:val="center"/>
          </w:tcPr>
          <w:p w14:paraId="405C501F">
            <w:pPr>
              <w:autoSpaceDE w:val="0"/>
              <w:autoSpaceDN w:val="0"/>
              <w:adjustRightInd/>
              <w:snapToGrid/>
              <w:spacing w:line="240" w:lineRule="auto"/>
              <w:ind w:left="-120" w:leftChars="-50" w:right="-120" w:rightChars="-5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类别</w:t>
            </w:r>
          </w:p>
        </w:tc>
        <w:tc>
          <w:tcPr>
            <w:tcW w:w="4170" w:type="dxa"/>
            <w:gridSpan w:val="3"/>
            <w:tcBorders>
              <w:tl2br w:val="nil"/>
              <w:tr2bl w:val="nil"/>
            </w:tcBorders>
            <w:vAlign w:val="center"/>
          </w:tcPr>
          <w:p w14:paraId="307A87D5">
            <w:pPr>
              <w:autoSpaceDE w:val="0"/>
              <w:autoSpaceDN w:val="0"/>
              <w:adjustRightInd/>
              <w:snapToGrid/>
              <w:spacing w:line="240" w:lineRule="auto"/>
              <w:ind w:left="-120" w:leftChars="-50" w:right="-120" w:rightChars="-5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设置原则</w:t>
            </w:r>
          </w:p>
        </w:tc>
        <w:tc>
          <w:tcPr>
            <w:tcW w:w="1425" w:type="dxa"/>
            <w:tcBorders>
              <w:tl2br w:val="nil"/>
              <w:tr2bl w:val="nil"/>
            </w:tcBorders>
            <w:vAlign w:val="center"/>
          </w:tcPr>
          <w:p w14:paraId="67B9D6A9">
            <w:pPr>
              <w:autoSpaceDE w:val="0"/>
              <w:autoSpaceDN w:val="0"/>
              <w:adjustRightInd/>
              <w:snapToGrid/>
              <w:spacing w:line="240" w:lineRule="auto"/>
              <w:ind w:left="-120" w:leftChars="-50" w:right="-120" w:rightChars="-5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本项目情况</w:t>
            </w:r>
          </w:p>
        </w:tc>
        <w:tc>
          <w:tcPr>
            <w:tcW w:w="754" w:type="dxa"/>
            <w:tcBorders>
              <w:tl2br w:val="nil"/>
              <w:tr2bl w:val="nil"/>
            </w:tcBorders>
            <w:vAlign w:val="center"/>
          </w:tcPr>
          <w:p w14:paraId="5F6CFAE4">
            <w:pPr>
              <w:autoSpaceDE w:val="0"/>
              <w:autoSpaceDN w:val="0"/>
              <w:adjustRightInd/>
              <w:snapToGrid/>
              <w:spacing w:line="240" w:lineRule="auto"/>
              <w:ind w:left="-120" w:leftChars="-50" w:right="-120" w:rightChars="-5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专项</w:t>
            </w:r>
          </w:p>
          <w:p w14:paraId="72E1F370">
            <w:pPr>
              <w:autoSpaceDE w:val="0"/>
              <w:autoSpaceDN w:val="0"/>
              <w:adjustRightInd/>
              <w:snapToGrid/>
              <w:spacing w:line="240" w:lineRule="auto"/>
              <w:ind w:left="-120" w:leftChars="-50" w:right="-120" w:rightChars="-50"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设置</w:t>
            </w:r>
          </w:p>
        </w:tc>
      </w:tr>
      <w:tr w14:paraId="58857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789" w:type="dxa"/>
            <w:vMerge w:val="continue"/>
            <w:tcBorders>
              <w:tl2br w:val="nil"/>
              <w:tr2bl w:val="nil"/>
            </w:tcBorders>
            <w:vAlign w:val="center"/>
          </w:tcPr>
          <w:p w14:paraId="2ED62E4D">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p>
        </w:tc>
        <w:tc>
          <w:tcPr>
            <w:tcW w:w="961" w:type="dxa"/>
            <w:tcBorders>
              <w:tl2br w:val="nil"/>
              <w:tr2bl w:val="nil"/>
            </w:tcBorders>
            <w:vAlign w:val="center"/>
          </w:tcPr>
          <w:p w14:paraId="69BB128B">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w:t>
            </w:r>
          </w:p>
        </w:tc>
        <w:tc>
          <w:tcPr>
            <w:tcW w:w="4170" w:type="dxa"/>
            <w:gridSpan w:val="3"/>
            <w:tcBorders>
              <w:tl2br w:val="nil"/>
              <w:tr2bl w:val="nil"/>
            </w:tcBorders>
            <w:vAlign w:val="center"/>
          </w:tcPr>
          <w:p w14:paraId="48C33EC7">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排放废气含有毒有害污染物、二噁英、苯并[a]芘、氰化物、氯气且厂界外500米范围内有环境空气保护目标的建设项目</w:t>
            </w:r>
          </w:p>
        </w:tc>
        <w:tc>
          <w:tcPr>
            <w:tcW w:w="1425" w:type="dxa"/>
            <w:tcBorders>
              <w:tl2br w:val="nil"/>
              <w:tr2bl w:val="nil"/>
            </w:tcBorders>
            <w:vAlign w:val="center"/>
          </w:tcPr>
          <w:p w14:paraId="054C41CC">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废气排放不涉及前述有毒有害污染物</w:t>
            </w:r>
          </w:p>
        </w:tc>
        <w:tc>
          <w:tcPr>
            <w:tcW w:w="754" w:type="dxa"/>
            <w:tcBorders>
              <w:tl2br w:val="nil"/>
              <w:tr2bl w:val="nil"/>
            </w:tcBorders>
            <w:vAlign w:val="center"/>
          </w:tcPr>
          <w:p w14:paraId="5984D8FE">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r>
      <w:tr w14:paraId="7CEC9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789" w:type="dxa"/>
            <w:vMerge w:val="continue"/>
            <w:tcBorders>
              <w:tl2br w:val="nil"/>
              <w:tr2bl w:val="nil"/>
            </w:tcBorders>
            <w:vAlign w:val="center"/>
          </w:tcPr>
          <w:p w14:paraId="132840A5">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p>
        </w:tc>
        <w:tc>
          <w:tcPr>
            <w:tcW w:w="961" w:type="dxa"/>
            <w:tcBorders>
              <w:tl2br w:val="nil"/>
              <w:tr2bl w:val="nil"/>
            </w:tcBorders>
            <w:vAlign w:val="center"/>
          </w:tcPr>
          <w:p w14:paraId="0A44BE94">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w:t>
            </w:r>
          </w:p>
        </w:tc>
        <w:tc>
          <w:tcPr>
            <w:tcW w:w="4170" w:type="dxa"/>
            <w:gridSpan w:val="3"/>
            <w:tcBorders>
              <w:tl2br w:val="nil"/>
              <w:tr2bl w:val="nil"/>
            </w:tcBorders>
            <w:vAlign w:val="center"/>
          </w:tcPr>
          <w:p w14:paraId="0A4FF5EE">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新增工业废水直排建设项目(槽罐车外送污水处理厂的除外)；新增废水直排的污水集中处理厂</w:t>
            </w:r>
          </w:p>
        </w:tc>
        <w:tc>
          <w:tcPr>
            <w:tcW w:w="1425" w:type="dxa"/>
            <w:tcBorders>
              <w:tl2br w:val="nil"/>
              <w:tr2bl w:val="nil"/>
            </w:tcBorders>
            <w:vAlign w:val="center"/>
          </w:tcPr>
          <w:p w14:paraId="389A6DD9">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废水全部综合利用，不外排</w:t>
            </w:r>
          </w:p>
        </w:tc>
        <w:tc>
          <w:tcPr>
            <w:tcW w:w="754" w:type="dxa"/>
            <w:tcBorders>
              <w:tl2br w:val="nil"/>
              <w:tr2bl w:val="nil"/>
            </w:tcBorders>
            <w:vAlign w:val="center"/>
          </w:tcPr>
          <w:p w14:paraId="1774F520">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r>
      <w:tr w14:paraId="61080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789" w:type="dxa"/>
            <w:vMerge w:val="continue"/>
            <w:tcBorders>
              <w:tl2br w:val="nil"/>
              <w:tr2bl w:val="nil"/>
            </w:tcBorders>
            <w:vAlign w:val="center"/>
          </w:tcPr>
          <w:p w14:paraId="1B7EEEA4">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p>
        </w:tc>
        <w:tc>
          <w:tcPr>
            <w:tcW w:w="961" w:type="dxa"/>
            <w:tcBorders>
              <w:tl2br w:val="nil"/>
              <w:tr2bl w:val="nil"/>
            </w:tcBorders>
            <w:vAlign w:val="center"/>
          </w:tcPr>
          <w:p w14:paraId="6F95CB23">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w:t>
            </w:r>
          </w:p>
          <w:p w14:paraId="609EFB71">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风险</w:t>
            </w:r>
          </w:p>
        </w:tc>
        <w:tc>
          <w:tcPr>
            <w:tcW w:w="4170" w:type="dxa"/>
            <w:gridSpan w:val="3"/>
            <w:tcBorders>
              <w:tl2br w:val="nil"/>
              <w:tr2bl w:val="nil"/>
            </w:tcBorders>
            <w:vAlign w:val="center"/>
          </w:tcPr>
          <w:p w14:paraId="4E211676">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有毒有害和易燃易爆危险物质存储量超过临界量的建设项目</w:t>
            </w:r>
          </w:p>
        </w:tc>
        <w:tc>
          <w:tcPr>
            <w:tcW w:w="1425" w:type="dxa"/>
            <w:tcBorders>
              <w:tl2br w:val="nil"/>
              <w:tr2bl w:val="nil"/>
            </w:tcBorders>
            <w:vAlign w:val="center"/>
          </w:tcPr>
          <w:p w14:paraId="666782BC">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危险物质未超过临界量</w:t>
            </w:r>
          </w:p>
        </w:tc>
        <w:tc>
          <w:tcPr>
            <w:tcW w:w="754" w:type="dxa"/>
            <w:tcBorders>
              <w:tl2br w:val="nil"/>
              <w:tr2bl w:val="nil"/>
            </w:tcBorders>
            <w:vAlign w:val="center"/>
          </w:tcPr>
          <w:p w14:paraId="2C0F4648">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r>
      <w:tr w14:paraId="6380A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789" w:type="dxa"/>
            <w:vMerge w:val="continue"/>
            <w:tcBorders>
              <w:tl2br w:val="nil"/>
              <w:tr2bl w:val="nil"/>
            </w:tcBorders>
            <w:vAlign w:val="center"/>
          </w:tcPr>
          <w:p w14:paraId="0BD2AA64">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p>
        </w:tc>
        <w:tc>
          <w:tcPr>
            <w:tcW w:w="961" w:type="dxa"/>
            <w:tcBorders>
              <w:tl2br w:val="nil"/>
              <w:tr2bl w:val="nil"/>
            </w:tcBorders>
            <w:vAlign w:val="center"/>
          </w:tcPr>
          <w:p w14:paraId="2BDF84EA">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w:t>
            </w:r>
          </w:p>
        </w:tc>
        <w:tc>
          <w:tcPr>
            <w:tcW w:w="4170" w:type="dxa"/>
            <w:gridSpan w:val="3"/>
            <w:tcBorders>
              <w:tl2br w:val="nil"/>
              <w:tr2bl w:val="nil"/>
            </w:tcBorders>
            <w:vAlign w:val="center"/>
          </w:tcPr>
          <w:p w14:paraId="38FABC88">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1425" w:type="dxa"/>
            <w:tcBorders>
              <w:tl2br w:val="nil"/>
              <w:tr2bl w:val="nil"/>
            </w:tcBorders>
            <w:vAlign w:val="center"/>
          </w:tcPr>
          <w:p w14:paraId="061F77BD">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不涉及河道取水</w:t>
            </w:r>
          </w:p>
        </w:tc>
        <w:tc>
          <w:tcPr>
            <w:tcW w:w="754" w:type="dxa"/>
            <w:tcBorders>
              <w:tl2br w:val="nil"/>
              <w:tr2bl w:val="nil"/>
            </w:tcBorders>
            <w:vAlign w:val="center"/>
          </w:tcPr>
          <w:p w14:paraId="00414855">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r>
      <w:tr w14:paraId="4D66B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789" w:type="dxa"/>
            <w:vMerge w:val="continue"/>
            <w:tcBorders>
              <w:tl2br w:val="nil"/>
              <w:tr2bl w:val="nil"/>
            </w:tcBorders>
            <w:vAlign w:val="center"/>
          </w:tcPr>
          <w:p w14:paraId="58AC3DDC">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p>
        </w:tc>
        <w:tc>
          <w:tcPr>
            <w:tcW w:w="961" w:type="dxa"/>
            <w:tcBorders>
              <w:tl2br w:val="nil"/>
              <w:tr2bl w:val="nil"/>
            </w:tcBorders>
            <w:vAlign w:val="center"/>
          </w:tcPr>
          <w:p w14:paraId="62CDFB22">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海洋</w:t>
            </w:r>
          </w:p>
        </w:tc>
        <w:tc>
          <w:tcPr>
            <w:tcW w:w="4170" w:type="dxa"/>
            <w:gridSpan w:val="3"/>
            <w:tcBorders>
              <w:tl2br w:val="nil"/>
              <w:tr2bl w:val="nil"/>
            </w:tcBorders>
            <w:vAlign w:val="center"/>
          </w:tcPr>
          <w:p w14:paraId="13283BDE">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直接向海排放污染物的海洋工程建设项目</w:t>
            </w:r>
          </w:p>
        </w:tc>
        <w:tc>
          <w:tcPr>
            <w:tcW w:w="1425" w:type="dxa"/>
            <w:tcBorders>
              <w:tl2br w:val="nil"/>
              <w:tr2bl w:val="nil"/>
            </w:tcBorders>
            <w:vAlign w:val="center"/>
          </w:tcPr>
          <w:p w14:paraId="098D7870">
            <w:pPr>
              <w:autoSpaceDE w:val="0"/>
              <w:autoSpaceDN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不属于海洋工程</w:t>
            </w:r>
          </w:p>
        </w:tc>
        <w:tc>
          <w:tcPr>
            <w:tcW w:w="754" w:type="dxa"/>
            <w:tcBorders>
              <w:tl2br w:val="nil"/>
              <w:tr2bl w:val="nil"/>
            </w:tcBorders>
            <w:vAlign w:val="center"/>
          </w:tcPr>
          <w:p w14:paraId="13520A6D">
            <w:pPr>
              <w:autoSpaceDE w:val="0"/>
              <w:autoSpaceDN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r>
      <w:tr w14:paraId="19064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789" w:type="dxa"/>
            <w:tcBorders>
              <w:tl2br w:val="nil"/>
              <w:tr2bl w:val="nil"/>
            </w:tcBorders>
            <w:vAlign w:val="center"/>
          </w:tcPr>
          <w:p w14:paraId="77BD9E10">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r>
              <w:rPr>
                <w:b/>
                <w:bCs/>
                <w:color w:val="000000" w:themeColor="text1"/>
                <w:szCs w:val="24"/>
                <w14:textFill>
                  <w14:solidFill>
                    <w14:schemeClr w14:val="tx1"/>
                  </w14:solidFill>
                </w14:textFill>
              </w:rPr>
              <w:t>规划情况</w:t>
            </w:r>
          </w:p>
        </w:tc>
        <w:tc>
          <w:tcPr>
            <w:tcW w:w="7310" w:type="dxa"/>
            <w:gridSpan w:val="6"/>
            <w:tcBorders>
              <w:tl2br w:val="nil"/>
              <w:tr2bl w:val="nil"/>
            </w:tcBorders>
            <w:vAlign w:val="center"/>
          </w:tcPr>
          <w:p w14:paraId="4065B610">
            <w:pPr>
              <w:widowControl w:val="0"/>
              <w:autoSpaceDE w:val="0"/>
              <w:autoSpaceDN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无</w:t>
            </w:r>
          </w:p>
        </w:tc>
      </w:tr>
      <w:tr w14:paraId="1C5BD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789" w:type="dxa"/>
            <w:tcBorders>
              <w:tl2br w:val="nil"/>
              <w:tr2bl w:val="nil"/>
            </w:tcBorders>
            <w:vAlign w:val="center"/>
          </w:tcPr>
          <w:p w14:paraId="21CB3DCB">
            <w:pPr>
              <w:widowControl w:val="0"/>
              <w:autoSpaceDE w:val="0"/>
              <w:autoSpaceDN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规划环境影响</w:t>
            </w:r>
          </w:p>
          <w:p w14:paraId="0D0E600D">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r>
              <w:rPr>
                <w:b/>
                <w:bCs/>
                <w:color w:val="000000" w:themeColor="text1"/>
                <w:szCs w:val="24"/>
                <w14:textFill>
                  <w14:solidFill>
                    <w14:schemeClr w14:val="tx1"/>
                  </w14:solidFill>
                </w14:textFill>
              </w:rPr>
              <w:t>评价情况</w:t>
            </w:r>
          </w:p>
        </w:tc>
        <w:tc>
          <w:tcPr>
            <w:tcW w:w="7310" w:type="dxa"/>
            <w:gridSpan w:val="6"/>
            <w:tcBorders>
              <w:tl2br w:val="nil"/>
              <w:tr2bl w:val="nil"/>
            </w:tcBorders>
            <w:vAlign w:val="center"/>
          </w:tcPr>
          <w:p w14:paraId="7B879B40">
            <w:pPr>
              <w:widowControl w:val="0"/>
              <w:autoSpaceDE w:val="0"/>
              <w:autoSpaceDN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无</w:t>
            </w:r>
          </w:p>
        </w:tc>
      </w:tr>
      <w:tr w14:paraId="5DAA3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789" w:type="dxa"/>
            <w:tcBorders>
              <w:tl2br w:val="nil"/>
              <w:tr2bl w:val="nil"/>
            </w:tcBorders>
            <w:vAlign w:val="center"/>
          </w:tcPr>
          <w:p w14:paraId="0BA7CD46">
            <w:pPr>
              <w:widowControl w:val="0"/>
              <w:autoSpaceDE w:val="0"/>
              <w:autoSpaceDN w:val="0"/>
              <w:spacing w:line="240" w:lineRule="auto"/>
              <w:ind w:firstLine="0" w:firstLine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规划及规划环境影响评价符合性分析</w:t>
            </w:r>
          </w:p>
        </w:tc>
        <w:tc>
          <w:tcPr>
            <w:tcW w:w="7310" w:type="dxa"/>
            <w:gridSpan w:val="6"/>
            <w:tcBorders>
              <w:tl2br w:val="nil"/>
              <w:tr2bl w:val="nil"/>
            </w:tcBorders>
            <w:vAlign w:val="center"/>
          </w:tcPr>
          <w:p w14:paraId="3F7A9B72">
            <w:pPr>
              <w:widowControl w:val="0"/>
              <w:autoSpaceDE w:val="0"/>
              <w:autoSpaceDN w:val="0"/>
              <w:spacing w:line="240" w:lineRule="auto"/>
              <w:ind w:firstLine="0" w:firstLineChars="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无</w:t>
            </w:r>
          </w:p>
        </w:tc>
      </w:tr>
      <w:tr w14:paraId="15141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7" w:hRule="atLeast"/>
          <w:jc w:val="center"/>
        </w:trPr>
        <w:tc>
          <w:tcPr>
            <w:tcW w:w="1789" w:type="dxa"/>
            <w:tcBorders>
              <w:tl2br w:val="nil"/>
              <w:tr2bl w:val="nil"/>
            </w:tcBorders>
            <w:vAlign w:val="center"/>
          </w:tcPr>
          <w:p w14:paraId="65966721">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r>
              <w:rPr>
                <w:b/>
                <w:bCs/>
                <w:color w:val="000000" w:themeColor="text1"/>
                <w:kern w:val="0"/>
                <w:szCs w:val="24"/>
                <w14:textFill>
                  <w14:solidFill>
                    <w14:schemeClr w14:val="tx1"/>
                  </w14:solidFill>
                </w14:textFill>
              </w:rPr>
              <w:t>其他符合性</w:t>
            </w:r>
          </w:p>
          <w:p w14:paraId="55FF55FF">
            <w:pPr>
              <w:widowControl w:val="0"/>
              <w:autoSpaceDE w:val="0"/>
              <w:autoSpaceDN w:val="0"/>
              <w:spacing w:line="240" w:lineRule="auto"/>
              <w:ind w:firstLine="0" w:firstLineChars="0"/>
              <w:jc w:val="center"/>
              <w:rPr>
                <w:b/>
                <w:bCs/>
                <w:color w:val="000000" w:themeColor="text1"/>
                <w:kern w:val="0"/>
                <w:szCs w:val="24"/>
                <w14:textFill>
                  <w14:solidFill>
                    <w14:schemeClr w14:val="tx1"/>
                  </w14:solidFill>
                </w14:textFill>
              </w:rPr>
            </w:pPr>
            <w:r>
              <w:rPr>
                <w:b/>
                <w:bCs/>
                <w:color w:val="000000" w:themeColor="text1"/>
                <w:kern w:val="0"/>
                <w:szCs w:val="24"/>
                <w14:textFill>
                  <w14:solidFill>
                    <w14:schemeClr w14:val="tx1"/>
                  </w14:solidFill>
                </w14:textFill>
              </w:rPr>
              <w:t>分析</w:t>
            </w:r>
          </w:p>
        </w:tc>
        <w:tc>
          <w:tcPr>
            <w:tcW w:w="7310" w:type="dxa"/>
            <w:gridSpan w:val="6"/>
            <w:tcBorders>
              <w:tl2br w:val="nil"/>
              <w:tr2bl w:val="nil"/>
            </w:tcBorders>
            <w:vAlign w:val="center"/>
          </w:tcPr>
          <w:p w14:paraId="3F92FEE3">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1.产业政策符合性分析</w:t>
            </w:r>
            <w:bookmarkStart w:id="1" w:name="_Hlk26893452"/>
          </w:p>
          <w:p w14:paraId="05492FD9">
            <w:pPr>
              <w:pStyle w:val="31"/>
              <w:widowControl w:val="0"/>
              <w:snapToGrid/>
              <w:spacing w:after="0"/>
              <w:ind w:firstLine="439" w:firstLineChars="183"/>
              <w:rPr>
                <w:color w:val="000000" w:themeColor="text1"/>
                <w14:textFill>
                  <w14:solidFill>
                    <w14:schemeClr w14:val="tx1"/>
                  </w14:solidFill>
                </w14:textFill>
              </w:rPr>
            </w:pPr>
            <w:r>
              <w:rPr>
                <w:color w:val="000000" w:themeColor="text1"/>
                <w14:textFill>
                  <w14:solidFill>
                    <w14:schemeClr w14:val="tx1"/>
                  </w14:solidFill>
                </w14:textFill>
              </w:rPr>
              <w:t>根据《产业结构调整指导目录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2024年本</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》中的相关规定，本项目属于鼓励类“四十二、环境保护与资源节约综合利用”中“10、工业“三废”循环利用-“三废”综合利用与治理技术、装备和工程”；根据市场准入负面清单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2025年版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，项目不属于禁止准入类和许可准入类类别；根据陕西省“两高”项目重点管理范围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2025年版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，项目不属于“两高”类别，因此本项目符合国家及地方产业政策。</w:t>
            </w:r>
          </w:p>
          <w:bookmarkEnd w:id="1"/>
          <w:p w14:paraId="63BD4217">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2.环境管理政策相符性分析</w:t>
            </w:r>
          </w:p>
          <w:p w14:paraId="6E9D5747">
            <w:pPr>
              <w:widowControl w:val="0"/>
              <w:autoSpaceDE w:val="0"/>
              <w:autoSpaceDN w:val="0"/>
              <w:ind w:firstLine="480"/>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本项目与环境管理政策相符性分析如下：</w:t>
            </w:r>
          </w:p>
          <w:p w14:paraId="252A205A">
            <w:pPr>
              <w:pStyle w:val="312"/>
              <w:widowControl w:val="0"/>
              <w:numPr>
                <w:ilvl w:val="0"/>
                <w:numId w:val="14"/>
              </w:numPr>
              <w:spacing w:line="240" w:lineRule="auto"/>
              <w:ind w:left="-2" w:firstLine="482" w:firstLineChars="0"/>
              <w:rPr>
                <w:b/>
                <w:color w:val="000000" w:themeColor="text1"/>
                <w:szCs w:val="20"/>
                <w14:textFill>
                  <w14:solidFill>
                    <w14:schemeClr w14:val="tx1"/>
                  </w14:solidFill>
                </w14:textFill>
              </w:rPr>
            </w:pPr>
            <w:r>
              <w:rPr>
                <w:b/>
                <w:color w:val="000000" w:themeColor="text1"/>
                <w:szCs w:val="20"/>
                <w:lang w:bidi="ar"/>
                <w14:textFill>
                  <w14:solidFill>
                    <w14:schemeClr w14:val="tx1"/>
                  </w14:solidFill>
                </w14:textFill>
              </w:rPr>
              <w:t xml:space="preserve">      </w:t>
            </w:r>
            <w:r>
              <w:rPr>
                <w:b/>
                <w:color w:val="000000" w:themeColor="text1"/>
                <w:szCs w:val="20"/>
                <w14:textFill>
                  <w14:solidFill>
                    <w14:schemeClr w14:val="tx1"/>
                  </w14:solidFill>
                </w14:textFill>
              </w:rPr>
              <w:t xml:space="preserve">     </w:t>
            </w:r>
            <w:r>
              <w:rPr>
                <w:rFonts w:hint="eastAsia"/>
                <w:b/>
                <w:color w:val="000000" w:themeColor="text1"/>
                <w:szCs w:val="20"/>
                <w14:textFill>
                  <w14:solidFill>
                    <w14:schemeClr w14:val="tx1"/>
                  </w14:solidFill>
                </w14:textFill>
              </w:rPr>
              <w:t xml:space="preserve"> </w:t>
            </w:r>
            <w:r>
              <w:rPr>
                <w:b/>
                <w:color w:val="000000" w:themeColor="text1"/>
                <w:kern w:val="0"/>
                <w:szCs w:val="24"/>
                <w14:textFill>
                  <w14:solidFill>
                    <w14:schemeClr w14:val="tx1"/>
                  </w14:solidFill>
                </w14:textFill>
              </w:rPr>
              <w:t>环境管理政策相符性</w:t>
            </w:r>
          </w:p>
          <w:tbl>
            <w:tblPr>
              <w:tblStyle w:val="82"/>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429"/>
              <w:gridCol w:w="3487"/>
              <w:gridCol w:w="1412"/>
              <w:gridCol w:w="752"/>
            </w:tblGrid>
            <w:tr w14:paraId="3DEE60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2" w:hRule="atLeast"/>
                <w:jc w:val="center"/>
              </w:trPr>
              <w:tc>
                <w:tcPr>
                  <w:tcW w:w="1009" w:type="pct"/>
                  <w:tcMar>
                    <w:left w:w="28" w:type="dxa"/>
                    <w:right w:w="28" w:type="dxa"/>
                  </w:tcMar>
                  <w:vAlign w:val="center"/>
                </w:tcPr>
                <w:p w14:paraId="5C27E35A">
                  <w:pPr>
                    <w:pStyle w:val="144"/>
                    <w:rPr>
                      <w:rFonts w:ascii="Times New Roman" w:hAnsi="Times New Roman"/>
                      <w:color w:val="000000" w:themeColor="text1"/>
                      <w14:textFill>
                        <w14:solidFill>
                          <w14:schemeClr w14:val="tx1"/>
                        </w14:solidFill>
                      </w14:textFill>
                    </w:rPr>
                  </w:pPr>
                  <w:bookmarkStart w:id="2" w:name="_Hlk531161576"/>
                  <w:r>
                    <w:rPr>
                      <w:rFonts w:ascii="Times New Roman" w:hAnsi="Times New Roman"/>
                      <w:color w:val="000000" w:themeColor="text1"/>
                      <w14:textFill>
                        <w14:solidFill>
                          <w14:schemeClr w14:val="tx1"/>
                        </w14:solidFill>
                      </w14:textFill>
                    </w:rPr>
                    <w:t>文件</w:t>
                  </w:r>
                </w:p>
              </w:tc>
              <w:tc>
                <w:tcPr>
                  <w:tcW w:w="2462" w:type="pct"/>
                  <w:tcMar>
                    <w:left w:w="28" w:type="dxa"/>
                    <w:right w:w="28" w:type="dxa"/>
                  </w:tcMar>
                  <w:vAlign w:val="center"/>
                </w:tcPr>
                <w:p w14:paraId="0149D88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环境管理政策要求</w:t>
                  </w:r>
                </w:p>
              </w:tc>
              <w:tc>
                <w:tcPr>
                  <w:tcW w:w="997" w:type="pct"/>
                  <w:tcMar>
                    <w:left w:w="28" w:type="dxa"/>
                    <w:right w:w="28" w:type="dxa"/>
                  </w:tcMar>
                  <w:vAlign w:val="center"/>
                </w:tcPr>
                <w:p w14:paraId="09055F6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本项目情况</w:t>
                  </w:r>
                </w:p>
              </w:tc>
              <w:tc>
                <w:tcPr>
                  <w:tcW w:w="531" w:type="pct"/>
                  <w:tcMar>
                    <w:left w:w="28" w:type="dxa"/>
                    <w:right w:w="28" w:type="dxa"/>
                  </w:tcMar>
                  <w:vAlign w:val="center"/>
                </w:tcPr>
                <w:p w14:paraId="2E2AE05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符合性</w:t>
                  </w:r>
                </w:p>
              </w:tc>
            </w:tr>
            <w:tr w14:paraId="10143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827" w:hRule="atLeast"/>
                <w:jc w:val="center"/>
              </w:trPr>
              <w:tc>
                <w:tcPr>
                  <w:tcW w:w="1009" w:type="pct"/>
                  <w:vMerge w:val="restart"/>
                  <w:tcMar>
                    <w:left w:w="28" w:type="dxa"/>
                    <w:right w:w="28" w:type="dxa"/>
                  </w:tcMar>
                  <w:vAlign w:val="center"/>
                </w:tcPr>
                <w:p w14:paraId="7CFC21EF">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关于“十四五”大宗固体废弃物综合利用的指导意见（发改环资[2021]381号）</w:t>
                  </w:r>
                </w:p>
              </w:tc>
              <w:tc>
                <w:tcPr>
                  <w:tcW w:w="2462" w:type="pct"/>
                  <w:tcBorders>
                    <w:bottom w:val="single" w:color="auto" w:sz="4" w:space="0"/>
                  </w:tcBorders>
                  <w:tcMar>
                    <w:left w:w="28" w:type="dxa"/>
                    <w:right w:w="28" w:type="dxa"/>
                  </w:tcMar>
                  <w:vAlign w:val="center"/>
                </w:tcPr>
                <w:p w14:paraId="6FAEC243">
                  <w:pPr>
                    <w:autoSpaceDE w:val="0"/>
                    <w:autoSpaceDN w:val="0"/>
                    <w:spacing w:line="240" w:lineRule="auto"/>
                    <w:ind w:firstLine="0" w:firstLineChars="0"/>
                    <w:outlineLvl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煤矸石和粉煤灰。持续提高煤矸石和粉煤灰综合利用水平，推进煤矸石和粉煤灰在工程建设、塌陷区治理、矿井充填以及盐碱地、沙漠化土地生态修复等领域的利用，有序引导利用煤矸石、粉煤灰生产新型墙体材料、装饰装修材料等绿色建材，在风险可控前提下深入推动农业领域应用和有价组分提取，加强大掺量和高附加值产品应用推广</w:t>
                  </w:r>
                </w:p>
              </w:tc>
              <w:tc>
                <w:tcPr>
                  <w:tcW w:w="997" w:type="pct"/>
                  <w:vMerge w:val="restart"/>
                  <w:tcMar>
                    <w:left w:w="28" w:type="dxa"/>
                    <w:right w:w="28" w:type="dxa"/>
                  </w:tcMar>
                  <w:vAlign w:val="center"/>
                </w:tcPr>
                <w:p w14:paraId="1E5F68AC">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项目产生的固体废物煤矸石和煤泥均用于本项目制砖</w:t>
                  </w:r>
                  <w:r>
                    <w:rPr>
                      <w:rFonts w:hint="eastAsia" w:ascii="Times New Roman" w:hAnsi="Times New Roman"/>
                      <w:color w:val="000000" w:themeColor="text1"/>
                      <w:lang w:val="en-US" w:eastAsia="zh-CN"/>
                      <w14:textFill>
                        <w14:solidFill>
                          <w14:schemeClr w14:val="tx1"/>
                        </w14:solidFill>
                      </w14:textFill>
                    </w:rPr>
                    <w:t>或制取机制砂</w:t>
                  </w:r>
                  <w:r>
                    <w:rPr>
                      <w:rFonts w:ascii="Times New Roman" w:hAnsi="Times New Roman"/>
                      <w:color w:val="000000" w:themeColor="text1"/>
                      <w14:textFill>
                        <w14:solidFill>
                          <w14:schemeClr w14:val="tx1"/>
                        </w14:solidFill>
                      </w14:textFill>
                    </w:rPr>
                    <w:t>，固体废弃物利用达到百分之百</w:t>
                  </w:r>
                  <w:r>
                    <w:rPr>
                      <w:rFonts w:ascii="Times New Roman" w:hAnsi="Times New Roman"/>
                      <w:color w:val="000000" w:themeColor="text1"/>
                      <w:szCs w:val="21"/>
                      <w14:textFill>
                        <w14:solidFill>
                          <w14:schemeClr w14:val="tx1"/>
                        </w14:solidFill>
                      </w14:textFill>
                    </w:rPr>
                    <w:t>，属于固体废物的综合利用，拓展了固废资源化利用途径，有利于提高固体废物综合利用率，对不断提高工业循环经济有积极作用</w:t>
                  </w:r>
                </w:p>
              </w:tc>
              <w:tc>
                <w:tcPr>
                  <w:tcW w:w="531" w:type="pct"/>
                  <w:vMerge w:val="restart"/>
                  <w:tcMar>
                    <w:left w:w="28" w:type="dxa"/>
                    <w:right w:w="28" w:type="dxa"/>
                  </w:tcMar>
                  <w:vAlign w:val="center"/>
                </w:tcPr>
                <w:p w14:paraId="4D3F4A5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427A6A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0" w:hRule="atLeast"/>
                <w:jc w:val="center"/>
              </w:trPr>
              <w:tc>
                <w:tcPr>
                  <w:tcW w:w="1009" w:type="pct"/>
                  <w:vMerge w:val="continue"/>
                  <w:tcMar>
                    <w:left w:w="28" w:type="dxa"/>
                    <w:right w:w="28" w:type="dxa"/>
                  </w:tcMar>
                  <w:vAlign w:val="center"/>
                </w:tcPr>
                <w:p w14:paraId="738A48C6">
                  <w:pPr>
                    <w:pStyle w:val="144"/>
                    <w:jc w:val="left"/>
                    <w:rPr>
                      <w:rFonts w:ascii="Times New Roman" w:hAnsi="Times New Roman"/>
                      <w:color w:val="000000" w:themeColor="text1"/>
                      <w14:textFill>
                        <w14:solidFill>
                          <w14:schemeClr w14:val="tx1"/>
                        </w14:solidFill>
                      </w14:textFill>
                    </w:rPr>
                  </w:pPr>
                </w:p>
              </w:tc>
              <w:tc>
                <w:tcPr>
                  <w:tcW w:w="2462" w:type="pct"/>
                  <w:tcBorders>
                    <w:top w:val="single" w:color="auto" w:sz="4" w:space="0"/>
                  </w:tcBorders>
                  <w:tcMar>
                    <w:left w:w="28" w:type="dxa"/>
                    <w:right w:w="28" w:type="dxa"/>
                  </w:tcMar>
                  <w:vAlign w:val="center"/>
                </w:tcPr>
                <w:p w14:paraId="1B16CC1E">
                  <w:pPr>
                    <w:autoSpaceDE w:val="0"/>
                    <w:autoSpaceDN w:val="0"/>
                    <w:spacing w:line="240" w:lineRule="auto"/>
                    <w:ind w:firstLine="0" w:firstLineChars="0"/>
                    <w:outlineLvl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副产石膏：拓宽磷石膏利用途径，继续推广磷石膏在生产粉煤灰和新型建筑材料等领域的利用，在确保环境安全的前提下，探索磷石膏在土壤改良、井下充填、路基材料等领域的应用。支持利用脱硫石膏、柠檬酸石膏制备绿色建材、石膏晶须等新产品新材料，扩大工业副产石膏高值化利用规模。积极探索钛石膏、氟石膏等复杂难用工业副产石膏的资源化利用途径</w:t>
                  </w:r>
                </w:p>
              </w:tc>
              <w:tc>
                <w:tcPr>
                  <w:tcW w:w="997" w:type="pct"/>
                  <w:vMerge w:val="continue"/>
                  <w:tcMar>
                    <w:left w:w="28" w:type="dxa"/>
                    <w:right w:w="28" w:type="dxa"/>
                  </w:tcMar>
                  <w:vAlign w:val="center"/>
                </w:tcPr>
                <w:p w14:paraId="54A15BDC">
                  <w:pPr>
                    <w:pStyle w:val="144"/>
                    <w:rPr>
                      <w:rFonts w:ascii="Times New Roman" w:hAnsi="Times New Roman"/>
                      <w:color w:val="000000" w:themeColor="text1"/>
                      <w14:textFill>
                        <w14:solidFill>
                          <w14:schemeClr w14:val="tx1"/>
                        </w14:solidFill>
                      </w14:textFill>
                    </w:rPr>
                  </w:pPr>
                </w:p>
              </w:tc>
              <w:tc>
                <w:tcPr>
                  <w:tcW w:w="531" w:type="pct"/>
                  <w:vMerge w:val="continue"/>
                  <w:tcMar>
                    <w:left w:w="28" w:type="dxa"/>
                    <w:right w:w="28" w:type="dxa"/>
                  </w:tcMar>
                  <w:vAlign w:val="center"/>
                </w:tcPr>
                <w:p w14:paraId="4D4DF345">
                  <w:pPr>
                    <w:pStyle w:val="144"/>
                    <w:rPr>
                      <w:rFonts w:ascii="Times New Roman" w:hAnsi="Times New Roman"/>
                      <w:color w:val="000000" w:themeColor="text1"/>
                      <w14:textFill>
                        <w14:solidFill>
                          <w14:schemeClr w14:val="tx1"/>
                        </w14:solidFill>
                      </w14:textFill>
                    </w:rPr>
                  </w:pPr>
                </w:p>
              </w:tc>
            </w:tr>
            <w:tr w14:paraId="57A73B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251" w:hRule="atLeast"/>
                <w:jc w:val="center"/>
              </w:trPr>
              <w:tc>
                <w:tcPr>
                  <w:tcW w:w="1009" w:type="pct"/>
                  <w:tcMar>
                    <w:left w:w="28" w:type="dxa"/>
                    <w:right w:w="28" w:type="dxa"/>
                  </w:tcMar>
                  <w:vAlign w:val="center"/>
                </w:tcPr>
                <w:p w14:paraId="6D5727F8">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《陕西省固体废物污染防治专项整治行动方案》和《榆林市固体废物污染防治专项整治行动方案》</w:t>
                  </w:r>
                </w:p>
              </w:tc>
              <w:tc>
                <w:tcPr>
                  <w:tcW w:w="2462" w:type="pct"/>
                  <w:tcMar>
                    <w:left w:w="28" w:type="dxa"/>
                    <w:right w:w="28" w:type="dxa"/>
                  </w:tcMar>
                  <w:vAlign w:val="center"/>
                </w:tcPr>
                <w:p w14:paraId="43A5597E">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二）工作目标。工业固体废物综合利用率达到73%以上。（四）全面排查整治工业固体废物。摸底调查全省尾矿、煤矸石、工业副产石膏、粉煤灰、赤泥、冶炼渣、电石渣、铬渣、砷渣以及脱硫、脱硝、除尘产生固废废物的堆存场所、完善防扬散、防流失、防渗漏等设施，制定整治方案推进实施。开展企业固体固体废物申报登记排查，对省内产生工业固体废物、危险废物的单位和依法从事危险废物收集、贮存、利用、处置</w:t>
                  </w:r>
                </w:p>
              </w:tc>
              <w:tc>
                <w:tcPr>
                  <w:tcW w:w="997" w:type="pct"/>
                  <w:tcMar>
                    <w:left w:w="28" w:type="dxa"/>
                    <w:right w:w="28" w:type="dxa"/>
                  </w:tcMar>
                  <w:vAlign w:val="center"/>
                </w:tcPr>
                <w:p w14:paraId="39670F1D">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项目产生的固体废物煤矸石和煤泥均用于本项目制砖，固体废弃物利用达到百分之百。所有产品及原料采用全封闭储棚储存，地面已全部硬化</w:t>
                  </w:r>
                </w:p>
              </w:tc>
              <w:tc>
                <w:tcPr>
                  <w:tcW w:w="531" w:type="pct"/>
                  <w:tcMar>
                    <w:left w:w="28" w:type="dxa"/>
                    <w:right w:w="28" w:type="dxa"/>
                  </w:tcMar>
                  <w:vAlign w:val="center"/>
                </w:tcPr>
                <w:p w14:paraId="41BBAB4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73CB7A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473" w:hRule="atLeast"/>
                <w:jc w:val="center"/>
              </w:trPr>
              <w:tc>
                <w:tcPr>
                  <w:tcW w:w="1009" w:type="pct"/>
                  <w:vMerge w:val="restart"/>
                  <w:tcMar>
                    <w:left w:w="28" w:type="dxa"/>
                    <w:right w:w="28" w:type="dxa"/>
                  </w:tcMar>
                  <w:vAlign w:val="center"/>
                </w:tcPr>
                <w:p w14:paraId="459BF29C">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《陕西省新型墙体材料发展应用条例》</w:t>
                  </w:r>
                </w:p>
              </w:tc>
              <w:tc>
                <w:tcPr>
                  <w:tcW w:w="2462" w:type="pct"/>
                  <w:tcBorders>
                    <w:bottom w:val="single" w:color="auto" w:sz="4" w:space="0"/>
                  </w:tcBorders>
                  <w:tcMar>
                    <w:left w:w="28" w:type="dxa"/>
                    <w:right w:w="28" w:type="dxa"/>
                  </w:tcMar>
                  <w:vAlign w:val="center"/>
                </w:tcPr>
                <w:p w14:paraId="0AB7367F">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企业应当充分利用煤矸石、粉煤灰、尾矿渣、建筑固体废弃物、植物秸秆等原料，生产多孔砖、空心砖、建筑砌块、轻质墙板等新型墙体材料</w:t>
                  </w:r>
                </w:p>
              </w:tc>
              <w:tc>
                <w:tcPr>
                  <w:tcW w:w="997" w:type="pct"/>
                  <w:tcBorders>
                    <w:bottom w:val="single" w:color="auto" w:sz="4" w:space="0"/>
                  </w:tcBorders>
                  <w:tcMar>
                    <w:left w:w="28" w:type="dxa"/>
                    <w:right w:w="28" w:type="dxa"/>
                  </w:tcMar>
                  <w:vAlign w:val="center"/>
                </w:tcPr>
                <w:p w14:paraId="31B2683A">
                  <w:pPr>
                    <w:pStyle w:val="144"/>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项目产生的固体废物煤矸石和煤泥均用于本项目制砖</w:t>
                  </w:r>
                </w:p>
              </w:tc>
              <w:tc>
                <w:tcPr>
                  <w:tcW w:w="531" w:type="pct"/>
                  <w:tcBorders>
                    <w:bottom w:val="single" w:color="auto" w:sz="4" w:space="0"/>
                  </w:tcBorders>
                  <w:tcMar>
                    <w:left w:w="28" w:type="dxa"/>
                    <w:right w:w="28" w:type="dxa"/>
                  </w:tcMar>
                  <w:vAlign w:val="center"/>
                </w:tcPr>
                <w:p w14:paraId="2455347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1AF602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7" w:hRule="atLeast"/>
                <w:jc w:val="center"/>
              </w:trPr>
              <w:tc>
                <w:tcPr>
                  <w:tcW w:w="1009" w:type="pct"/>
                  <w:vMerge w:val="continue"/>
                  <w:tcMar>
                    <w:left w:w="28" w:type="dxa"/>
                    <w:right w:w="28" w:type="dxa"/>
                  </w:tcMar>
                  <w:vAlign w:val="center"/>
                </w:tcPr>
                <w:p w14:paraId="6033BB34">
                  <w:pPr>
                    <w:pStyle w:val="144"/>
                    <w:jc w:val="left"/>
                    <w:rPr>
                      <w:rFonts w:ascii="Times New Roman" w:hAnsi="Times New Roman"/>
                      <w:color w:val="000000" w:themeColor="text1"/>
                      <w14:textFill>
                        <w14:solidFill>
                          <w14:schemeClr w14:val="tx1"/>
                        </w14:solidFill>
                      </w14:textFill>
                    </w:rPr>
                  </w:pPr>
                </w:p>
              </w:tc>
              <w:tc>
                <w:tcPr>
                  <w:tcW w:w="2462" w:type="pct"/>
                  <w:tcBorders>
                    <w:top w:val="single" w:color="auto" w:sz="4" w:space="0"/>
                  </w:tcBorders>
                  <w:tcMar>
                    <w:left w:w="28" w:type="dxa"/>
                    <w:right w:w="28" w:type="dxa"/>
                  </w:tcMar>
                  <w:vAlign w:val="center"/>
                </w:tcPr>
                <w:p w14:paraId="3BA1AFE7">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禁止新建、扩建粘士实心砖生产企业</w:t>
                  </w:r>
                </w:p>
              </w:tc>
              <w:tc>
                <w:tcPr>
                  <w:tcW w:w="997" w:type="pct"/>
                  <w:tcBorders>
                    <w:top w:val="single" w:color="auto" w:sz="4" w:space="0"/>
                  </w:tcBorders>
                  <w:tcMar>
                    <w:left w:w="28" w:type="dxa"/>
                    <w:right w:w="28" w:type="dxa"/>
                  </w:tcMar>
                  <w:vAlign w:val="center"/>
                </w:tcPr>
                <w:p w14:paraId="44E60DFB">
                  <w:pPr>
                    <w:pStyle w:val="144"/>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w:t>项目不使用粘土</w:t>
                  </w:r>
                </w:p>
              </w:tc>
              <w:tc>
                <w:tcPr>
                  <w:tcW w:w="531" w:type="pct"/>
                  <w:tcBorders>
                    <w:top w:val="single" w:color="auto" w:sz="4" w:space="0"/>
                  </w:tcBorders>
                  <w:tcMar>
                    <w:left w:w="28" w:type="dxa"/>
                    <w:right w:w="28" w:type="dxa"/>
                  </w:tcMar>
                  <w:vAlign w:val="center"/>
                </w:tcPr>
                <w:p w14:paraId="48B3209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6952AC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331" w:hRule="atLeast"/>
                <w:jc w:val="center"/>
              </w:trPr>
              <w:tc>
                <w:tcPr>
                  <w:tcW w:w="1009" w:type="pct"/>
                  <w:tcMar>
                    <w:left w:w="28" w:type="dxa"/>
                    <w:right w:w="28" w:type="dxa"/>
                  </w:tcMar>
                  <w:vAlign w:val="center"/>
                </w:tcPr>
                <w:p w14:paraId="6ACA7A1B">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《榆林市环境保护局关于进一步加强工业固体废物利用处置项目建设管理的通知》（榆政环发[2018]236号）</w:t>
                  </w:r>
                </w:p>
              </w:tc>
              <w:tc>
                <w:tcPr>
                  <w:tcW w:w="2462" w:type="pct"/>
                  <w:tcMar>
                    <w:left w:w="28" w:type="dxa"/>
                    <w:right w:w="28" w:type="dxa"/>
                  </w:tcMar>
                  <w:vAlign w:val="center"/>
                </w:tcPr>
                <w:p w14:paraId="74BB51F2">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提高固废环保意识。严格固体废物“减量化、资源化、无害化”原则，加快固体废物综合利用或处置项目的建设</w:t>
                  </w:r>
                </w:p>
              </w:tc>
              <w:tc>
                <w:tcPr>
                  <w:tcW w:w="997" w:type="pct"/>
                  <w:tcMar>
                    <w:left w:w="28" w:type="dxa"/>
                    <w:right w:w="28" w:type="dxa"/>
                  </w:tcMar>
                  <w:vAlign w:val="center"/>
                </w:tcPr>
                <w:p w14:paraId="51439FBB">
                  <w:pPr>
                    <w:pStyle w:val="144"/>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项目属于</w:t>
                  </w:r>
                  <w:r>
                    <w:rPr>
                      <w:rFonts w:ascii="Times New Roman" w:hAnsi="Times New Roman"/>
                      <w:color w:val="000000" w:themeColor="text1"/>
                      <w14:textFill>
                        <w14:solidFill>
                          <w14:schemeClr w14:val="tx1"/>
                        </w14:solidFill>
                      </w14:textFill>
                    </w:rPr>
                    <w:t>固体废物综合利用</w:t>
                  </w:r>
                </w:p>
              </w:tc>
              <w:tc>
                <w:tcPr>
                  <w:tcW w:w="531" w:type="pct"/>
                  <w:tcMar>
                    <w:left w:w="28" w:type="dxa"/>
                    <w:right w:w="28" w:type="dxa"/>
                  </w:tcMar>
                  <w:vAlign w:val="center"/>
                </w:tcPr>
                <w:p w14:paraId="2A53BBA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135BE4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52" w:hRule="atLeast"/>
                <w:jc w:val="center"/>
              </w:trPr>
              <w:tc>
                <w:tcPr>
                  <w:tcW w:w="1009" w:type="pct"/>
                  <w:tcMar>
                    <w:left w:w="28" w:type="dxa"/>
                    <w:right w:w="28" w:type="dxa"/>
                  </w:tcMar>
                  <w:vAlign w:val="center"/>
                </w:tcPr>
                <w:p w14:paraId="23B6DC09">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《榆林市固体废物污染防治</w:t>
                  </w:r>
                </w:p>
                <w:p w14:paraId="39241CC9">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专项整治行动方案》(榆政环发(2019)11号)</w:t>
                  </w:r>
                </w:p>
              </w:tc>
              <w:tc>
                <w:tcPr>
                  <w:tcW w:w="2462" w:type="pct"/>
                  <w:tcBorders>
                    <w:bottom w:val="single" w:color="auto" w:sz="4" w:space="0"/>
                  </w:tcBorders>
                  <w:tcMar>
                    <w:left w:w="28" w:type="dxa"/>
                    <w:right w:w="28" w:type="dxa"/>
                  </w:tcMar>
                  <w:vAlign w:val="center"/>
                </w:tcPr>
                <w:p w14:paraId="39712ADB">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落实产废企业污染防治主体责任，固体废物产生企业要对固体废物处置全过程负责，细化管理台账，落实申报登记制度，如实申报固体废物利用处置最终去向，实行申报登记信息承诺制</w:t>
                  </w:r>
                </w:p>
              </w:tc>
              <w:tc>
                <w:tcPr>
                  <w:tcW w:w="997" w:type="pct"/>
                  <w:tcBorders>
                    <w:bottom w:val="single" w:color="auto" w:sz="4" w:space="0"/>
                  </w:tcBorders>
                  <w:tcMar>
                    <w:left w:w="28" w:type="dxa"/>
                    <w:right w:w="28" w:type="dxa"/>
                  </w:tcMar>
                  <w:vAlign w:val="center"/>
                </w:tcPr>
                <w:p w14:paraId="4585D33F">
                  <w:pPr>
                    <w:pStyle w:val="144"/>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评价要求企业对固体废物处置全过程负责，细化管理台账，落实申报登记制度，如实申报固体废物利用处置最终去向，实行申报登记信息承诺制</w:t>
                  </w:r>
                </w:p>
              </w:tc>
              <w:tc>
                <w:tcPr>
                  <w:tcW w:w="531" w:type="pct"/>
                  <w:tcBorders>
                    <w:bottom w:val="single" w:color="auto" w:sz="4" w:space="0"/>
                  </w:tcBorders>
                  <w:tcMar>
                    <w:left w:w="28" w:type="dxa"/>
                    <w:right w:w="28" w:type="dxa"/>
                  </w:tcMar>
                  <w:vAlign w:val="center"/>
                </w:tcPr>
                <w:p w14:paraId="3A0600D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5363DA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19" w:hRule="atLeast"/>
                <w:jc w:val="center"/>
              </w:trPr>
              <w:tc>
                <w:tcPr>
                  <w:tcW w:w="1009" w:type="pct"/>
                  <w:vMerge w:val="restart"/>
                  <w:tcMar>
                    <w:left w:w="28" w:type="dxa"/>
                    <w:right w:w="28" w:type="dxa"/>
                  </w:tcMar>
                  <w:vAlign w:val="center"/>
                </w:tcPr>
                <w:p w14:paraId="474B37D4">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2"/>
                      <w14:textFill>
                        <w14:solidFill>
                          <w14:schemeClr w14:val="tx1"/>
                        </w14:solidFill>
                      </w14:textFill>
                    </w:rPr>
                    <w:t>榆林市支持大宗工业固体废物综合利用管理办法（试行）（榆政办发（2023）9号）</w:t>
                  </w:r>
                </w:p>
              </w:tc>
              <w:tc>
                <w:tcPr>
                  <w:tcW w:w="2462" w:type="pct"/>
                  <w:tcBorders>
                    <w:bottom w:val="single" w:color="auto" w:sz="4" w:space="0"/>
                  </w:tcBorders>
                  <w:tcMar>
                    <w:left w:w="28" w:type="dxa"/>
                    <w:right w:w="28" w:type="dxa"/>
                  </w:tcMar>
                  <w:vAlign w:val="center"/>
                </w:tcPr>
                <w:p w14:paraId="2BA98D31">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本办法适用于鼓励和支持全市范围内产废单位自建、联建或委托第三方企业建设的大宗工业固体废物综合利用项目及相关技术研发创新应用活动。</w:t>
                  </w:r>
                </w:p>
                <w:p w14:paraId="229A6E17">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重点支持方向包括以下六个方面：（一）制造新型墙材。生产蒸压砖、蒸养砖、高强度免浸泡砖、双免砖、渗水砖、路缘石、路侧石、树穴石、陶瓷纤维、耐火材料、建筑陶瓷、烧结陶粒、轻型隔墙板、石膏板、喷涂石膏、装配式建材等新型墙材。（二）……（六）生态治理应用。用于矿井充填、采空区和塌陷区治理、露天矿坑回填、盐碱地、沙漠化土地生态修复等</w:t>
                  </w:r>
                </w:p>
              </w:tc>
              <w:tc>
                <w:tcPr>
                  <w:tcW w:w="997" w:type="pct"/>
                  <w:tcBorders>
                    <w:bottom w:val="single" w:color="auto" w:sz="4" w:space="0"/>
                  </w:tcBorders>
                  <w:tcMar>
                    <w:left w:w="28" w:type="dxa"/>
                    <w:right w:w="28" w:type="dxa"/>
                  </w:tcMar>
                  <w:vAlign w:val="center"/>
                </w:tcPr>
                <w:p w14:paraId="197E214E">
                  <w:pPr>
                    <w:pStyle w:val="144"/>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2"/>
                      <w:szCs w:val="21"/>
                      <w14:textFill>
                        <w14:solidFill>
                          <w14:schemeClr w14:val="tx1"/>
                        </w14:solidFill>
                      </w14:textFill>
                    </w:rPr>
                    <w:t>项目属于</w:t>
                  </w:r>
                  <w:r>
                    <w:rPr>
                      <w:rFonts w:ascii="Times New Roman" w:hAnsi="Times New Roman"/>
                      <w:color w:val="000000" w:themeColor="text1"/>
                      <w:szCs w:val="21"/>
                      <w14:textFill>
                        <w14:solidFill>
                          <w14:schemeClr w14:val="tx1"/>
                        </w14:solidFill>
                      </w14:textFill>
                    </w:rPr>
                    <w:t>第三方企业建设的大宗工业固体废物综合利用项目，属于重点支持类新型墙材中</w:t>
                  </w:r>
                  <w:r>
                    <w:rPr>
                      <w:rFonts w:ascii="Times New Roman" w:hAnsi="Times New Roman"/>
                      <w:color w:val="000000" w:themeColor="text1"/>
                      <w14:textFill>
                        <w14:solidFill>
                          <w14:schemeClr w14:val="tx1"/>
                        </w14:solidFill>
                      </w14:textFill>
                    </w:rPr>
                    <w:t>路缘石</w:t>
                  </w:r>
                  <w:r>
                    <w:rPr>
                      <w:rFonts w:ascii="Times New Roman" w:hAnsi="Times New Roman"/>
                      <w:color w:val="000000" w:themeColor="text1"/>
                      <w:szCs w:val="21"/>
                      <w14:textFill>
                        <w14:solidFill>
                          <w14:schemeClr w14:val="tx1"/>
                        </w14:solidFill>
                      </w14:textFill>
                    </w:rPr>
                    <w:t>制造</w:t>
                  </w:r>
                </w:p>
              </w:tc>
              <w:tc>
                <w:tcPr>
                  <w:tcW w:w="531" w:type="pct"/>
                  <w:tcBorders>
                    <w:bottom w:val="single" w:color="auto" w:sz="4" w:space="0"/>
                  </w:tcBorders>
                  <w:tcMar>
                    <w:left w:w="28" w:type="dxa"/>
                    <w:right w:w="28" w:type="dxa"/>
                  </w:tcMar>
                  <w:vAlign w:val="center"/>
                </w:tcPr>
                <w:p w14:paraId="16D0629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4ADA6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051" w:hRule="atLeast"/>
                <w:jc w:val="center"/>
              </w:trPr>
              <w:tc>
                <w:tcPr>
                  <w:tcW w:w="1009" w:type="pct"/>
                  <w:vMerge w:val="continue"/>
                  <w:tcMar>
                    <w:left w:w="28" w:type="dxa"/>
                    <w:right w:w="28" w:type="dxa"/>
                  </w:tcMar>
                  <w:vAlign w:val="center"/>
                </w:tcPr>
                <w:p w14:paraId="38B40D90">
                  <w:pPr>
                    <w:pStyle w:val="144"/>
                    <w:jc w:val="left"/>
                    <w:rPr>
                      <w:rFonts w:ascii="Times New Roman" w:hAnsi="Times New Roman"/>
                      <w:color w:val="000000" w:themeColor="text1"/>
                      <w:kern w:val="2"/>
                      <w14:textFill>
                        <w14:solidFill>
                          <w14:schemeClr w14:val="tx1"/>
                        </w14:solidFill>
                      </w14:textFill>
                    </w:rPr>
                  </w:pPr>
                </w:p>
              </w:tc>
              <w:tc>
                <w:tcPr>
                  <w:tcW w:w="2462" w:type="pct"/>
                  <w:tcBorders>
                    <w:top w:val="single" w:color="auto" w:sz="4" w:space="0"/>
                    <w:bottom w:val="single" w:color="auto" w:sz="4" w:space="0"/>
                  </w:tcBorders>
                  <w:tcMar>
                    <w:left w:w="28" w:type="dxa"/>
                    <w:right w:w="28" w:type="dxa"/>
                  </w:tcMar>
                  <w:vAlign w:val="center"/>
                </w:tcPr>
                <w:p w14:paraId="6E792487">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建设项目中一般工业固体废物防治污染的设施，应当与主体工程同时设计、同时施工、同时投产使用。防治污染的设施应当符合经批准的环境影响评价文件的要求，不得擅自拆除或者闲置。</w:t>
                  </w:r>
                </w:p>
              </w:tc>
              <w:tc>
                <w:tcPr>
                  <w:tcW w:w="997" w:type="pct"/>
                  <w:tcBorders>
                    <w:top w:val="single" w:color="auto" w:sz="4" w:space="0"/>
                    <w:bottom w:val="single" w:color="auto" w:sz="4" w:space="0"/>
                  </w:tcBorders>
                  <w:tcMar>
                    <w:left w:w="28" w:type="dxa"/>
                    <w:right w:w="28" w:type="dxa"/>
                  </w:tcMar>
                  <w:vAlign w:val="center"/>
                </w:tcPr>
                <w:p w14:paraId="387B395E">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项目污染防治措施应与主体工程同时设计、同时施工、同时投产使用</w:t>
                  </w:r>
                </w:p>
              </w:tc>
              <w:tc>
                <w:tcPr>
                  <w:tcW w:w="531" w:type="pct"/>
                  <w:tcBorders>
                    <w:top w:val="single" w:color="auto" w:sz="4" w:space="0"/>
                    <w:bottom w:val="single" w:color="auto" w:sz="4" w:space="0"/>
                  </w:tcBorders>
                  <w:tcMar>
                    <w:left w:w="28" w:type="dxa"/>
                    <w:right w:w="28" w:type="dxa"/>
                  </w:tcMar>
                  <w:vAlign w:val="center"/>
                </w:tcPr>
                <w:p w14:paraId="6A549B6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2D7553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1" w:hRule="atLeast"/>
                <w:jc w:val="center"/>
              </w:trPr>
              <w:tc>
                <w:tcPr>
                  <w:tcW w:w="1009" w:type="pct"/>
                  <w:vMerge w:val="restart"/>
                  <w:tcMar>
                    <w:left w:w="28" w:type="dxa"/>
                    <w:right w:w="28" w:type="dxa"/>
                  </w:tcMar>
                  <w:vAlign w:val="center"/>
                </w:tcPr>
                <w:p w14:paraId="36A6EE84">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《榆林市工业固体废物污染防治管理办法(试行)》(榆政</w:t>
                  </w:r>
                </w:p>
                <w:p w14:paraId="3D190297">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办发(2021)19号)</w:t>
                  </w:r>
                </w:p>
              </w:tc>
              <w:tc>
                <w:tcPr>
                  <w:tcW w:w="2462" w:type="pct"/>
                  <w:tcBorders>
                    <w:bottom w:val="single" w:color="auto" w:sz="4" w:space="0"/>
                  </w:tcBorders>
                  <w:tcMar>
                    <w:left w:w="28" w:type="dxa"/>
                    <w:right w:w="28" w:type="dxa"/>
                  </w:tcMar>
                  <w:vAlign w:val="center"/>
                </w:tcPr>
                <w:p w14:paraId="03851D05">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工业固体废物污染防治坚持减量化、无害化和资源化原则，鼓励对产生的固体废物实施资源化综合利用，最大程度减少贮存、填埋、焚烧处置量</w:t>
                  </w:r>
                </w:p>
              </w:tc>
              <w:tc>
                <w:tcPr>
                  <w:tcW w:w="997" w:type="pct"/>
                  <w:tcBorders>
                    <w:top w:val="single" w:color="auto" w:sz="4" w:space="0"/>
                    <w:bottom w:val="single" w:color="auto" w:sz="4" w:space="0"/>
                  </w:tcBorders>
                  <w:tcMar>
                    <w:left w:w="28" w:type="dxa"/>
                    <w:right w:w="28" w:type="dxa"/>
                  </w:tcMar>
                  <w:vAlign w:val="center"/>
                </w:tcPr>
                <w:p w14:paraId="24B70B34">
                  <w:pPr>
                    <w:pStyle w:val="144"/>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项目属于固体废物资源化综合利用项目，有利于减少固废贮存、填埋、焚烧处置量</w:t>
                  </w:r>
                </w:p>
              </w:tc>
              <w:tc>
                <w:tcPr>
                  <w:tcW w:w="531" w:type="pct"/>
                  <w:tcBorders>
                    <w:top w:val="single" w:color="auto" w:sz="4" w:space="0"/>
                    <w:bottom w:val="single" w:color="auto" w:sz="4" w:space="0"/>
                  </w:tcBorders>
                  <w:tcMar>
                    <w:left w:w="28" w:type="dxa"/>
                    <w:right w:w="28" w:type="dxa"/>
                  </w:tcMar>
                  <w:vAlign w:val="center"/>
                </w:tcPr>
                <w:p w14:paraId="1D35A12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567D70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1" w:hRule="atLeast"/>
                <w:jc w:val="center"/>
              </w:trPr>
              <w:tc>
                <w:tcPr>
                  <w:tcW w:w="1009" w:type="pct"/>
                  <w:vMerge w:val="continue"/>
                  <w:tcMar>
                    <w:left w:w="28" w:type="dxa"/>
                    <w:right w:w="28" w:type="dxa"/>
                  </w:tcMar>
                  <w:vAlign w:val="center"/>
                </w:tcPr>
                <w:p w14:paraId="08FE196B">
                  <w:pPr>
                    <w:pStyle w:val="144"/>
                    <w:jc w:val="left"/>
                    <w:rPr>
                      <w:rFonts w:ascii="Times New Roman" w:hAnsi="Times New Roman"/>
                      <w:color w:val="000000" w:themeColor="text1"/>
                      <w14:textFill>
                        <w14:solidFill>
                          <w14:schemeClr w14:val="tx1"/>
                        </w14:solidFill>
                      </w14:textFill>
                    </w:rPr>
                  </w:pPr>
                </w:p>
              </w:tc>
              <w:tc>
                <w:tcPr>
                  <w:tcW w:w="2462" w:type="pct"/>
                  <w:tcBorders>
                    <w:bottom w:val="single" w:color="auto" w:sz="4" w:space="0"/>
                  </w:tcBorders>
                  <w:tcMar>
                    <w:left w:w="28" w:type="dxa"/>
                    <w:right w:w="28" w:type="dxa"/>
                  </w:tcMar>
                  <w:vAlign w:val="center"/>
                </w:tcPr>
                <w:p w14:paraId="1721DF5C">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产生、收集、贮存、运输、利用、处置的单位应当采取措施，落实工业固体废物全过程污染防治要求，并对造成的环境污染依法承担责任</w:t>
                  </w:r>
                </w:p>
              </w:tc>
              <w:tc>
                <w:tcPr>
                  <w:tcW w:w="997" w:type="pct"/>
                  <w:tcBorders>
                    <w:bottom w:val="single" w:color="auto" w:sz="4" w:space="0"/>
                  </w:tcBorders>
                  <w:tcMar>
                    <w:left w:w="28" w:type="dxa"/>
                    <w:right w:w="28" w:type="dxa"/>
                  </w:tcMar>
                  <w:vAlign w:val="center"/>
                </w:tcPr>
                <w:p w14:paraId="09829CD3">
                  <w:pPr>
                    <w:pStyle w:val="144"/>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建设单位对固废的贮存、运输、利用、处置采取措施，落实相关污染防治要求，并对造成的环境污染依法承担责任</w:t>
                  </w:r>
                </w:p>
              </w:tc>
              <w:tc>
                <w:tcPr>
                  <w:tcW w:w="531" w:type="pct"/>
                  <w:tcBorders>
                    <w:bottom w:val="single" w:color="auto" w:sz="4" w:space="0"/>
                  </w:tcBorders>
                  <w:tcMar>
                    <w:left w:w="28" w:type="dxa"/>
                    <w:right w:w="28" w:type="dxa"/>
                  </w:tcMar>
                  <w:vAlign w:val="center"/>
                </w:tcPr>
                <w:p w14:paraId="72C6FA4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646038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1" w:hRule="atLeast"/>
                <w:jc w:val="center"/>
              </w:trPr>
              <w:tc>
                <w:tcPr>
                  <w:tcW w:w="1009" w:type="pct"/>
                  <w:vMerge w:val="continue"/>
                  <w:tcMar>
                    <w:left w:w="28" w:type="dxa"/>
                    <w:right w:w="28" w:type="dxa"/>
                  </w:tcMar>
                  <w:vAlign w:val="center"/>
                </w:tcPr>
                <w:p w14:paraId="25485970">
                  <w:pPr>
                    <w:pStyle w:val="144"/>
                    <w:jc w:val="left"/>
                    <w:rPr>
                      <w:rFonts w:ascii="Times New Roman" w:hAnsi="Times New Roman"/>
                      <w:color w:val="000000" w:themeColor="text1"/>
                      <w14:textFill>
                        <w14:solidFill>
                          <w14:schemeClr w14:val="tx1"/>
                        </w14:solidFill>
                      </w14:textFill>
                    </w:rPr>
                  </w:pPr>
                </w:p>
              </w:tc>
              <w:tc>
                <w:tcPr>
                  <w:tcW w:w="2462" w:type="pct"/>
                  <w:tcBorders>
                    <w:bottom w:val="single" w:color="auto" w:sz="4" w:space="0"/>
                  </w:tcBorders>
                  <w:tcMar>
                    <w:left w:w="28" w:type="dxa"/>
                    <w:right w:w="28" w:type="dxa"/>
                  </w:tcMar>
                  <w:vAlign w:val="center"/>
                </w:tcPr>
                <w:p w14:paraId="639BDFC6">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废单位应制定年度一般工业固体废物管理计划，包括各类一般工业固体废物的产生量、贮存量、转移量、转移后接收企业名称、处理处置或综合利用方式，以及年度综合利用率等信息，实现工业固体废物可追溯、可查询</w:t>
                  </w:r>
                </w:p>
              </w:tc>
              <w:tc>
                <w:tcPr>
                  <w:tcW w:w="997" w:type="pct"/>
                  <w:tcBorders>
                    <w:bottom w:val="single" w:color="auto" w:sz="4" w:space="0"/>
                  </w:tcBorders>
                  <w:tcMar>
                    <w:left w:w="28" w:type="dxa"/>
                    <w:right w:w="28" w:type="dxa"/>
                  </w:tcMar>
                  <w:vAlign w:val="center"/>
                </w:tcPr>
                <w:p w14:paraId="6DE490B5">
                  <w:pPr>
                    <w:pStyle w:val="144"/>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评价要求建设单位按要求制定年度一般工业固体废物管理计划</w:t>
                  </w:r>
                </w:p>
              </w:tc>
              <w:tc>
                <w:tcPr>
                  <w:tcW w:w="531" w:type="pct"/>
                  <w:tcBorders>
                    <w:bottom w:val="single" w:color="auto" w:sz="4" w:space="0"/>
                  </w:tcBorders>
                  <w:tcMar>
                    <w:left w:w="28" w:type="dxa"/>
                    <w:right w:w="28" w:type="dxa"/>
                  </w:tcMar>
                  <w:vAlign w:val="center"/>
                </w:tcPr>
                <w:p w14:paraId="7490718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6E8581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679" w:hRule="atLeast"/>
                <w:jc w:val="center"/>
              </w:trPr>
              <w:tc>
                <w:tcPr>
                  <w:tcW w:w="1009" w:type="pct"/>
                  <w:vMerge w:val="continue"/>
                  <w:tcMar>
                    <w:left w:w="28" w:type="dxa"/>
                    <w:right w:w="28" w:type="dxa"/>
                  </w:tcMar>
                  <w:vAlign w:val="center"/>
                </w:tcPr>
                <w:p w14:paraId="5A760504">
                  <w:pPr>
                    <w:pStyle w:val="144"/>
                    <w:jc w:val="left"/>
                    <w:rPr>
                      <w:rFonts w:ascii="Times New Roman" w:hAnsi="Times New Roman"/>
                      <w:color w:val="000000" w:themeColor="text1"/>
                      <w14:textFill>
                        <w14:solidFill>
                          <w14:schemeClr w14:val="tx1"/>
                        </w14:solidFill>
                      </w14:textFill>
                    </w:rPr>
                  </w:pPr>
                </w:p>
              </w:tc>
              <w:tc>
                <w:tcPr>
                  <w:tcW w:w="2462" w:type="pct"/>
                  <w:tcBorders>
                    <w:top w:val="single" w:color="auto" w:sz="4" w:space="0"/>
                  </w:tcBorders>
                  <w:tcMar>
                    <w:left w:w="28" w:type="dxa"/>
                    <w:right w:w="28" w:type="dxa"/>
                  </w:tcMar>
                  <w:vAlign w:val="center"/>
                </w:tcPr>
                <w:p w14:paraId="7CAB4783">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产废单位和第三方利用或处置单位应当建立一般工业固体废物管理台账，如实记录产生、收集、贮存、运输、利用和处置情况，并附相关合同、财务支出、核查资料等证明材料</w:t>
                  </w:r>
                </w:p>
              </w:tc>
              <w:tc>
                <w:tcPr>
                  <w:tcW w:w="997" w:type="pct"/>
                  <w:tcBorders>
                    <w:top w:val="single" w:color="auto" w:sz="4" w:space="0"/>
                  </w:tcBorders>
                  <w:tcMar>
                    <w:left w:w="28" w:type="dxa"/>
                    <w:right w:w="28" w:type="dxa"/>
                  </w:tcMar>
                  <w:vAlign w:val="center"/>
                </w:tcPr>
                <w:p w14:paraId="51E35D5B">
                  <w:pPr>
                    <w:pStyle w:val="144"/>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评价要求建设单位按要求建立一般工业固体废物管理台账</w:t>
                  </w:r>
                </w:p>
              </w:tc>
              <w:tc>
                <w:tcPr>
                  <w:tcW w:w="531" w:type="pct"/>
                  <w:tcBorders>
                    <w:top w:val="single" w:color="auto" w:sz="4" w:space="0"/>
                  </w:tcBorders>
                  <w:tcMar>
                    <w:left w:w="28" w:type="dxa"/>
                    <w:right w:w="28" w:type="dxa"/>
                  </w:tcMar>
                  <w:vAlign w:val="center"/>
                </w:tcPr>
                <w:p w14:paraId="1A81542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1EE704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679" w:hRule="atLeast"/>
                <w:jc w:val="center"/>
              </w:trPr>
              <w:tc>
                <w:tcPr>
                  <w:tcW w:w="1009" w:type="pct"/>
                  <w:tcMar>
                    <w:left w:w="28" w:type="dxa"/>
                    <w:right w:w="28" w:type="dxa"/>
                  </w:tcMar>
                  <w:vAlign w:val="center"/>
                </w:tcPr>
                <w:p w14:paraId="12CBD3B0">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榆林市“十四五”工业固体废物污染防治规划</w:t>
                  </w:r>
                  <w:r>
                    <w:rPr>
                      <w:rFonts w:ascii="Times New Roman" w:hAnsi="Times New Roman"/>
                      <w:color w:val="000000" w:themeColor="text1"/>
                      <w:kern w:val="2"/>
                      <w14:textFill>
                        <w14:solidFill>
                          <w14:schemeClr w14:val="tx1"/>
                        </w14:solidFill>
                      </w14:textFill>
                    </w:rPr>
                    <w:t>（榆政环发[2022]12号）</w:t>
                  </w:r>
                </w:p>
              </w:tc>
              <w:tc>
                <w:tcPr>
                  <w:tcW w:w="2462" w:type="pct"/>
                  <w:tcBorders>
                    <w:top w:val="single" w:color="auto" w:sz="4" w:space="0"/>
                  </w:tcBorders>
                  <w:tcMar>
                    <w:left w:w="28" w:type="dxa"/>
                    <w:right w:w="28" w:type="dxa"/>
                  </w:tcMar>
                  <w:vAlign w:val="center"/>
                </w:tcPr>
                <w:p w14:paraId="3084CFB2">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坚持减量化、资源化、无害化原则。鼓励和支持开展清洁生产，推广先进的减量化生产工艺，从源头，上优先减少煤矸石、粉煤灰等固体废物的产生量。坚持对已产生的固体</w:t>
                  </w:r>
                </w:p>
                <w:p w14:paraId="68DEA50C">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物进行有效收集和规范贮存，优先开展循环利用，转化为产品或可供再利用的二次原料，加大资源化利用率。坚持对已产生但又无法或暂时无法进行综合利用的固体废物，进行对环境无害化处理，降低固体废物的危害性，并最大限度降低固体废物的填埋量</w:t>
                  </w:r>
                </w:p>
              </w:tc>
              <w:tc>
                <w:tcPr>
                  <w:tcW w:w="997" w:type="pct"/>
                  <w:tcBorders>
                    <w:top w:val="single" w:color="auto" w:sz="4" w:space="0"/>
                  </w:tcBorders>
                  <w:tcMar>
                    <w:left w:w="28" w:type="dxa"/>
                    <w:right w:w="28" w:type="dxa"/>
                  </w:tcMar>
                  <w:vAlign w:val="center"/>
                </w:tcPr>
                <w:p w14:paraId="406EA955">
                  <w:pPr>
                    <w:pStyle w:val="144"/>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2"/>
                      <w:szCs w:val="21"/>
                      <w14:textFill>
                        <w14:solidFill>
                          <w14:schemeClr w14:val="tx1"/>
                        </w14:solidFill>
                      </w14:textFill>
                    </w:rPr>
                    <w:t>本项目对一般固废</w:t>
                  </w:r>
                  <w:r>
                    <w:rPr>
                      <w:rFonts w:ascii="Times New Roman" w:hAnsi="Times New Roman"/>
                      <w:color w:val="000000" w:themeColor="text1"/>
                      <w14:textFill>
                        <w14:solidFill>
                          <w14:schemeClr w14:val="tx1"/>
                        </w14:solidFill>
                      </w14:textFill>
                    </w:rPr>
                    <w:t>煤矸石和煤泥</w:t>
                  </w:r>
                  <w:r>
                    <w:rPr>
                      <w:rFonts w:ascii="Times New Roman" w:hAnsi="Times New Roman"/>
                      <w:color w:val="000000" w:themeColor="text1"/>
                      <w:kern w:val="2"/>
                      <w:szCs w:val="21"/>
                      <w14:textFill>
                        <w14:solidFill>
                          <w14:schemeClr w14:val="tx1"/>
                        </w14:solidFill>
                      </w14:textFill>
                    </w:rPr>
                    <w:t>等进行有效收集和规范贮存，综合利用制作免烧砖，属于固体废物的综合利用，加大了资源化利用率，有利于降低固体废物的填埋量</w:t>
                  </w:r>
                </w:p>
              </w:tc>
              <w:tc>
                <w:tcPr>
                  <w:tcW w:w="531" w:type="pct"/>
                  <w:tcBorders>
                    <w:top w:val="single" w:color="auto" w:sz="4" w:space="0"/>
                  </w:tcBorders>
                  <w:tcMar>
                    <w:left w:w="28" w:type="dxa"/>
                    <w:right w:w="28" w:type="dxa"/>
                  </w:tcMar>
                  <w:vAlign w:val="center"/>
                </w:tcPr>
                <w:p w14:paraId="7062F1E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039DA0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647" w:hRule="atLeast"/>
                <w:jc w:val="center"/>
              </w:trPr>
              <w:tc>
                <w:tcPr>
                  <w:tcW w:w="1009" w:type="pct"/>
                  <w:tcMar>
                    <w:left w:w="28" w:type="dxa"/>
                    <w:right w:w="28" w:type="dxa"/>
                  </w:tcMar>
                  <w:vAlign w:val="center"/>
                </w:tcPr>
                <w:p w14:paraId="1FA2D8BE">
                  <w:pPr>
                    <w:spacing w:line="240" w:lineRule="auto"/>
                    <w:ind w:firstLine="0" w:firstLineChars="0"/>
                    <w:rPr>
                      <w:color w:val="000000" w:themeColor="text1"/>
                      <w14:textFill>
                        <w14:solidFill>
                          <w14:schemeClr w14:val="tx1"/>
                        </w14:solidFill>
                      </w14:textFill>
                    </w:rPr>
                  </w:pPr>
                  <w:r>
                    <w:rPr>
                      <w:color w:val="000000" w:themeColor="text1"/>
                      <w:kern w:val="0"/>
                      <w:sz w:val="21"/>
                      <w:szCs w:val="24"/>
                      <w14:textFill>
                        <w14:solidFill>
                          <w14:schemeClr w14:val="tx1"/>
                        </w14:solidFill>
                      </w14:textFill>
                    </w:rPr>
                    <w:t>《榆林市2025年生态环境保护铁腕治污攻坚行动方案》（榆办字[2025]4号）；《榆阳区2025年生态环境保护铁腕治污攻坚行动方案》（榆区办字[2025]25号）</w:t>
                  </w:r>
                </w:p>
              </w:tc>
              <w:tc>
                <w:tcPr>
                  <w:tcW w:w="2462" w:type="pct"/>
                  <w:tcMar>
                    <w:left w:w="28" w:type="dxa"/>
                    <w:right w:w="28" w:type="dxa"/>
                  </w:tcMar>
                  <w:vAlign w:val="center"/>
                </w:tcPr>
                <w:p w14:paraId="4561BB81">
                  <w:pPr>
                    <w:spacing w:line="240" w:lineRule="auto"/>
                    <w:ind w:firstLine="0" w:firstLineChars="0"/>
                    <w:rPr>
                      <w:color w:val="000000" w:themeColor="text1"/>
                      <w14:textFill>
                        <w14:solidFill>
                          <w14:schemeClr w14:val="tx1"/>
                        </w14:solidFill>
                      </w14:textFill>
                    </w:rPr>
                  </w:pPr>
                  <w:r>
                    <w:rPr>
                      <w:color w:val="000000" w:themeColor="text1"/>
                      <w:kern w:val="0"/>
                      <w:sz w:val="21"/>
                      <w:szCs w:val="24"/>
                      <w14:textFill>
                        <w14:solidFill>
                          <w14:schemeClr w14:val="tx1"/>
                        </w14:solidFill>
                      </w14:textFill>
                    </w:rPr>
                    <w:t>工业固体废物环境管理提升行动。全面落实《榆林市工业固体废物综合利用三年行动方案</w:t>
                  </w:r>
                  <w:r>
                    <w:rPr>
                      <w:rFonts w:hint="eastAsia"/>
                      <w:color w:val="000000" w:themeColor="text1"/>
                      <w:kern w:val="0"/>
                      <w:sz w:val="21"/>
                      <w:szCs w:val="24"/>
                      <w14:textFill>
                        <w14:solidFill>
                          <w14:schemeClr w14:val="tx1"/>
                        </w14:solidFill>
                      </w14:textFill>
                    </w:rPr>
                    <w:t>（</w:t>
                  </w:r>
                  <w:r>
                    <w:rPr>
                      <w:color w:val="000000" w:themeColor="text1"/>
                      <w:kern w:val="0"/>
                      <w:sz w:val="21"/>
                      <w:szCs w:val="24"/>
                      <w14:textFill>
                        <w14:solidFill>
                          <w14:schemeClr w14:val="tx1"/>
                        </w14:solidFill>
                      </w14:textFill>
                    </w:rPr>
                    <w:t>2023-2025年</w:t>
                  </w:r>
                  <w:r>
                    <w:rPr>
                      <w:rFonts w:hint="eastAsia"/>
                      <w:color w:val="000000" w:themeColor="text1"/>
                      <w:kern w:val="0"/>
                      <w:sz w:val="21"/>
                      <w:szCs w:val="24"/>
                      <w14:textFill>
                        <w14:solidFill>
                          <w14:schemeClr w14:val="tx1"/>
                        </w14:solidFill>
                      </w14:textFill>
                    </w:rPr>
                    <w:t>）</w:t>
                  </w:r>
                  <w:r>
                    <w:rPr>
                      <w:color w:val="000000" w:themeColor="text1"/>
                      <w:kern w:val="0"/>
                      <w:sz w:val="21"/>
                      <w:szCs w:val="24"/>
                      <w14:textFill>
                        <w14:solidFill>
                          <w14:schemeClr w14:val="tx1"/>
                        </w14:solidFill>
                      </w14:textFill>
                    </w:rPr>
                    <w:t>》</w:t>
                  </w:r>
                  <w:r>
                    <w:rPr>
                      <w:rFonts w:hint="eastAsia"/>
                      <w:color w:val="000000" w:themeColor="text1"/>
                      <w:kern w:val="0"/>
                      <w:sz w:val="21"/>
                      <w:szCs w:val="24"/>
                      <w14:textFill>
                        <w14:solidFill>
                          <w14:schemeClr w14:val="tx1"/>
                        </w14:solidFill>
                      </w14:textFill>
                    </w:rPr>
                    <w:t>（</w:t>
                  </w:r>
                  <w:r>
                    <w:rPr>
                      <w:color w:val="000000" w:themeColor="text1"/>
                      <w:kern w:val="0"/>
                      <w:sz w:val="21"/>
                      <w:szCs w:val="24"/>
                      <w14:textFill>
                        <w14:solidFill>
                          <w14:schemeClr w14:val="tx1"/>
                        </w14:solidFill>
                      </w14:textFill>
                    </w:rPr>
                    <w:t>榆政办法〔2023〕177号</w:t>
                  </w:r>
                  <w:r>
                    <w:rPr>
                      <w:rFonts w:hint="eastAsia"/>
                      <w:color w:val="000000" w:themeColor="text1"/>
                      <w:kern w:val="0"/>
                      <w:sz w:val="21"/>
                      <w:szCs w:val="24"/>
                      <w14:textFill>
                        <w14:solidFill>
                          <w14:schemeClr w14:val="tx1"/>
                        </w14:solidFill>
                      </w14:textFill>
                    </w:rPr>
                    <w:t>）</w:t>
                  </w:r>
                  <w:r>
                    <w:rPr>
                      <w:color w:val="000000" w:themeColor="text1"/>
                      <w:kern w:val="0"/>
                      <w:sz w:val="21"/>
                      <w:szCs w:val="24"/>
                      <w14:textFill>
                        <w14:solidFill>
                          <w14:schemeClr w14:val="tx1"/>
                        </w14:solidFill>
                      </w14:textFill>
                    </w:rPr>
                    <w:t>年度任务。确保全区新增工业固废综合利用率不低于60%。</w:t>
                  </w:r>
                </w:p>
              </w:tc>
              <w:tc>
                <w:tcPr>
                  <w:tcW w:w="997" w:type="pct"/>
                  <w:tcMar>
                    <w:left w:w="28" w:type="dxa"/>
                    <w:right w:w="28" w:type="dxa"/>
                  </w:tcMar>
                  <w:vAlign w:val="center"/>
                </w:tcPr>
                <w:p w14:paraId="51630C78">
                  <w:pPr>
                    <w:spacing w:line="240" w:lineRule="auto"/>
                    <w:ind w:firstLine="0" w:firstLineChars="0"/>
                    <w:rPr>
                      <w:color w:val="000000" w:themeColor="text1"/>
                      <w14:textFill>
                        <w14:solidFill>
                          <w14:schemeClr w14:val="tx1"/>
                        </w14:solidFill>
                      </w14:textFill>
                    </w:rPr>
                  </w:pPr>
                  <w:r>
                    <w:rPr>
                      <w:color w:val="000000" w:themeColor="text1"/>
                      <w:kern w:val="0"/>
                      <w:sz w:val="21"/>
                      <w:szCs w:val="24"/>
                      <w14:textFill>
                        <w14:solidFill>
                          <w14:schemeClr w14:val="tx1"/>
                        </w14:solidFill>
                      </w14:textFill>
                    </w:rPr>
                    <w:t>本项目为固废综合利用项目，项目实施后可促进工业固体废物综合利用</w:t>
                  </w:r>
                </w:p>
              </w:tc>
              <w:tc>
                <w:tcPr>
                  <w:tcW w:w="531" w:type="pct"/>
                  <w:tcMar>
                    <w:left w:w="28" w:type="dxa"/>
                    <w:right w:w="28" w:type="dxa"/>
                  </w:tcMar>
                  <w:vAlign w:val="center"/>
                </w:tcPr>
                <w:p w14:paraId="5FE231C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5B26CC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55" w:hRule="atLeast"/>
                <w:jc w:val="center"/>
              </w:trPr>
              <w:tc>
                <w:tcPr>
                  <w:tcW w:w="1009" w:type="pct"/>
                  <w:vMerge w:val="restart"/>
                  <w:tcMar>
                    <w:left w:w="28" w:type="dxa"/>
                    <w:right w:w="28" w:type="dxa"/>
                  </w:tcMar>
                  <w:vAlign w:val="center"/>
                </w:tcPr>
                <w:p w14:paraId="511D617B">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《榆林市生态环境局关于全面推动企业扬尘在线监测及智能降尘系统建设工作通知》</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榆政环发〔2021〕73号）</w:t>
                  </w:r>
                </w:p>
              </w:tc>
              <w:tc>
                <w:tcPr>
                  <w:tcW w:w="2462" w:type="pct"/>
                  <w:tcMar>
                    <w:left w:w="28" w:type="dxa"/>
                    <w:right w:w="28" w:type="dxa"/>
                  </w:tcMar>
                  <w:vAlign w:val="center"/>
                </w:tcPr>
                <w:p w14:paraId="6F317BC8">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全面建成企业厂界扬尘在线监测体系：全市范围内涉及扬尘污染的企业，重点包括煤炭开采、储存、洗选、加工企业，含有粉煤灰、废渣等物料堆场的工业企业和其它扬尘污染严重的工业企业6月底前全面建成企业厂界扬尘在线监测设施。原则上至少在厂界四角或东西南北建设4台扬尘在线监控设施的数量，保证监测全覆盖。企业扬尘在线监测数据通过环保数采仪接入市大气综合管控平台，接入数据包括点位基本信息和环境温度、温度、风向、风速以及PM</w:t>
                  </w:r>
                  <w:r>
                    <w:rPr>
                      <w:rFonts w:ascii="Times New Roman" w:hAnsi="Times New Roman"/>
                      <w:color w:val="000000" w:themeColor="text1"/>
                      <w:vertAlign w:val="subscript"/>
                      <w14:textFill>
                        <w14:solidFill>
                          <w14:schemeClr w14:val="tx1"/>
                        </w14:solidFill>
                      </w14:textFill>
                    </w:rPr>
                    <w:t>10</w:t>
                  </w:r>
                  <w:r>
                    <w:rPr>
                      <w:rFonts w:ascii="Times New Roman" w:hAnsi="Times New Roman"/>
                      <w:color w:val="000000" w:themeColor="text1"/>
                      <w14:textFill>
                        <w14:solidFill>
                          <w14:schemeClr w14:val="tx1"/>
                        </w14:solidFill>
                      </w14:textFill>
                    </w:rPr>
                    <w:t>、PM</w:t>
                  </w:r>
                  <w:r>
                    <w:rPr>
                      <w:rFonts w:ascii="Times New Roman" w:hAnsi="Times New Roman"/>
                      <w:color w:val="000000" w:themeColor="text1"/>
                      <w:vertAlign w:val="subscript"/>
                      <w14:textFill>
                        <w14:solidFill>
                          <w14:schemeClr w14:val="tx1"/>
                        </w14:solidFill>
                      </w14:textFill>
                    </w:rPr>
                    <w:t>2.5</w:t>
                  </w:r>
                  <w:r>
                    <w:rPr>
                      <w:rFonts w:ascii="Times New Roman" w:hAnsi="Times New Roman"/>
                      <w:color w:val="000000" w:themeColor="text1"/>
                      <w14:textFill>
                        <w14:solidFill>
                          <w14:schemeClr w14:val="tx1"/>
                        </w14:solidFill>
                      </w14:textFill>
                    </w:rPr>
                    <w:t>、TSP浓度等</w:t>
                  </w:r>
                </w:p>
              </w:tc>
              <w:tc>
                <w:tcPr>
                  <w:tcW w:w="997" w:type="pct"/>
                  <w:vMerge w:val="restart"/>
                  <w:tcMar>
                    <w:left w:w="28" w:type="dxa"/>
                    <w:right w:w="28" w:type="dxa"/>
                  </w:tcMar>
                  <w:vAlign w:val="center"/>
                </w:tcPr>
                <w:p w14:paraId="5866882A">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企业大厂界已安装4台扬尘在线监测设备，并配套设置降尘设备，由专人负责，全面加强扬尘管控水平</w:t>
                  </w:r>
                </w:p>
              </w:tc>
              <w:tc>
                <w:tcPr>
                  <w:tcW w:w="531" w:type="pct"/>
                  <w:vMerge w:val="restart"/>
                  <w:tcMar>
                    <w:left w:w="28" w:type="dxa"/>
                    <w:right w:w="28" w:type="dxa"/>
                  </w:tcMar>
                  <w:vAlign w:val="center"/>
                </w:tcPr>
                <w:p w14:paraId="70828B4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55109E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009" w:type="pct"/>
                  <w:vMerge w:val="continue"/>
                  <w:tcMar>
                    <w:left w:w="28" w:type="dxa"/>
                    <w:right w:w="28" w:type="dxa"/>
                  </w:tcMar>
                  <w:vAlign w:val="center"/>
                </w:tcPr>
                <w:p w14:paraId="7A8DDD46">
                  <w:pPr>
                    <w:pStyle w:val="144"/>
                    <w:rPr>
                      <w:rFonts w:ascii="Times New Roman" w:hAnsi="Times New Roman"/>
                      <w:color w:val="000000" w:themeColor="text1"/>
                      <w14:textFill>
                        <w14:solidFill>
                          <w14:schemeClr w14:val="tx1"/>
                        </w14:solidFill>
                      </w14:textFill>
                    </w:rPr>
                  </w:pPr>
                </w:p>
              </w:tc>
              <w:tc>
                <w:tcPr>
                  <w:tcW w:w="2462" w:type="pct"/>
                  <w:tcMar>
                    <w:left w:w="28" w:type="dxa"/>
                    <w:right w:w="28" w:type="dxa"/>
                  </w:tcMar>
                  <w:vAlign w:val="center"/>
                </w:tcPr>
                <w:p w14:paraId="2F6EBFF7">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全力推动配套智能降尘设备建设：各涉及扬尘污染的企业必须与9月31日前，按照《榆林市环境保护局关于建设工业企业智能降尘系统的通知》（榆政环发[2019]118号）通知要求，完成与厂界在线监控配套的智能降尘设备建设工作，确保企业厂界扬尘超标后，配套降尘设备可自动启动。在企业扬尘在线监控中，超标风险较低的企业可不建设配套降尘设备，但应全面加强扬尘管控</w:t>
                  </w:r>
                </w:p>
              </w:tc>
              <w:tc>
                <w:tcPr>
                  <w:tcW w:w="997" w:type="pct"/>
                  <w:vMerge w:val="continue"/>
                  <w:tcMar>
                    <w:left w:w="28" w:type="dxa"/>
                    <w:right w:w="28" w:type="dxa"/>
                  </w:tcMar>
                  <w:vAlign w:val="center"/>
                </w:tcPr>
                <w:p w14:paraId="46C7322F">
                  <w:pPr>
                    <w:pStyle w:val="144"/>
                    <w:rPr>
                      <w:rFonts w:ascii="Times New Roman" w:hAnsi="Times New Roman"/>
                      <w:color w:val="000000" w:themeColor="text1"/>
                      <w14:textFill>
                        <w14:solidFill>
                          <w14:schemeClr w14:val="tx1"/>
                        </w14:solidFill>
                      </w14:textFill>
                    </w:rPr>
                  </w:pPr>
                </w:p>
              </w:tc>
              <w:tc>
                <w:tcPr>
                  <w:tcW w:w="531" w:type="pct"/>
                  <w:vMerge w:val="continue"/>
                  <w:tcMar>
                    <w:left w:w="28" w:type="dxa"/>
                    <w:right w:w="28" w:type="dxa"/>
                  </w:tcMar>
                  <w:vAlign w:val="center"/>
                </w:tcPr>
                <w:p w14:paraId="62DD0B8A">
                  <w:pPr>
                    <w:pStyle w:val="144"/>
                    <w:rPr>
                      <w:rFonts w:ascii="Times New Roman" w:hAnsi="Times New Roman"/>
                      <w:color w:val="000000" w:themeColor="text1"/>
                      <w14:textFill>
                        <w14:solidFill>
                          <w14:schemeClr w14:val="tx1"/>
                        </w14:solidFill>
                      </w14:textFill>
                    </w:rPr>
                  </w:pPr>
                </w:p>
              </w:tc>
            </w:tr>
            <w:tr w14:paraId="1D3ADE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05" w:hRule="atLeast"/>
                <w:jc w:val="center"/>
              </w:trPr>
              <w:tc>
                <w:tcPr>
                  <w:tcW w:w="1009" w:type="pct"/>
                  <w:vMerge w:val="restart"/>
                  <w:tcMar>
                    <w:left w:w="28" w:type="dxa"/>
                    <w:right w:w="28" w:type="dxa"/>
                  </w:tcMar>
                  <w:vAlign w:val="center"/>
                </w:tcPr>
                <w:p w14:paraId="799D6784">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榆林市大气污染治理专项行动方案（2023-2027年）</w:t>
                  </w:r>
                </w:p>
              </w:tc>
              <w:tc>
                <w:tcPr>
                  <w:tcW w:w="2462" w:type="pct"/>
                  <w:tcBorders>
                    <w:bottom w:val="single" w:color="auto" w:sz="4" w:space="0"/>
                  </w:tcBorders>
                  <w:tcMar>
                    <w:left w:w="28" w:type="dxa"/>
                    <w:right w:w="28" w:type="dxa"/>
                  </w:tcMar>
                  <w:vAlign w:val="center"/>
                </w:tcPr>
                <w:p w14:paraId="26993D0C">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落实《榆林市扬尘污染防治条例》,强化涉煤企业等扬尘污染管控</w:t>
                  </w:r>
                </w:p>
                <w:p w14:paraId="5FC7C635">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1.推动煤矿、煤炭洗选加工生产企业等完成扬尘在线监测安装、常态化监管；</w:t>
                  </w:r>
                </w:p>
                <w:p w14:paraId="0E0BB8B9">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2.2023年启动汽车轮胎干式除尘设备研发，2024年进入测试阶段，煤矿企业安装率达到30%，2025年底前煤矿企业安装率达到80%，2027年底前所有涉煤企业安装率达到100%；</w:t>
                  </w:r>
                </w:p>
                <w:p w14:paraId="72BA4009">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3.履行监管职责，督促指导相关县市区、园区管委会做好涉煤企业扬尘污染防治工作</w:t>
                  </w:r>
                </w:p>
              </w:tc>
              <w:tc>
                <w:tcPr>
                  <w:tcW w:w="997" w:type="pct"/>
                  <w:tcBorders>
                    <w:bottom w:val="single" w:color="auto" w:sz="4" w:space="0"/>
                  </w:tcBorders>
                  <w:tcMar>
                    <w:left w:w="28" w:type="dxa"/>
                    <w:right w:w="28" w:type="dxa"/>
                  </w:tcMar>
                  <w:vAlign w:val="center"/>
                </w:tcPr>
                <w:p w14:paraId="6E378743">
                  <w:pPr>
                    <w:spacing w:line="240" w:lineRule="auto"/>
                    <w:ind w:firstLine="0" w:firstLineChars="0"/>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企业大厂界已按要求安装扬尘在线监测设备，后期按要求安装汽车轮胎干式除尘设备</w:t>
                  </w:r>
                </w:p>
              </w:tc>
              <w:tc>
                <w:tcPr>
                  <w:tcW w:w="531" w:type="pct"/>
                  <w:tcBorders>
                    <w:bottom w:val="single" w:color="auto" w:sz="4" w:space="0"/>
                  </w:tcBorders>
                  <w:tcMar>
                    <w:left w:w="28" w:type="dxa"/>
                    <w:right w:w="28" w:type="dxa"/>
                  </w:tcMar>
                  <w:vAlign w:val="center"/>
                </w:tcPr>
                <w:p w14:paraId="634D080E">
                  <w:pPr>
                    <w:ind w:firstLine="0" w:firstLineChars="0"/>
                    <w:jc w:val="center"/>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符合</w:t>
                  </w:r>
                </w:p>
              </w:tc>
            </w:tr>
            <w:tr w14:paraId="2127A3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7" w:hRule="atLeast"/>
                <w:jc w:val="center"/>
              </w:trPr>
              <w:tc>
                <w:tcPr>
                  <w:tcW w:w="1009" w:type="pct"/>
                  <w:vMerge w:val="continue"/>
                  <w:tcBorders>
                    <w:bottom w:val="single" w:color="auto" w:sz="4" w:space="0"/>
                  </w:tcBorders>
                  <w:tcMar>
                    <w:left w:w="28" w:type="dxa"/>
                    <w:right w:w="28" w:type="dxa"/>
                  </w:tcMar>
                  <w:vAlign w:val="center"/>
                </w:tcPr>
                <w:p w14:paraId="7677818F">
                  <w:pPr>
                    <w:spacing w:line="240" w:lineRule="auto"/>
                    <w:ind w:firstLine="0" w:firstLineChars="0"/>
                    <w:jc w:val="left"/>
                    <w:rPr>
                      <w:color w:val="000000" w:themeColor="text1"/>
                      <w:kern w:val="0"/>
                      <w:sz w:val="21"/>
                      <w:szCs w:val="24"/>
                      <w14:textFill>
                        <w14:solidFill>
                          <w14:schemeClr w14:val="tx1"/>
                        </w14:solidFill>
                      </w14:textFill>
                    </w:rPr>
                  </w:pPr>
                </w:p>
              </w:tc>
              <w:tc>
                <w:tcPr>
                  <w:tcW w:w="2462" w:type="pct"/>
                  <w:tcBorders>
                    <w:top w:val="single" w:color="auto" w:sz="4" w:space="0"/>
                    <w:bottom w:val="single" w:color="auto" w:sz="4" w:space="0"/>
                  </w:tcBorders>
                  <w:tcMar>
                    <w:left w:w="28" w:type="dxa"/>
                    <w:right w:w="28" w:type="dxa"/>
                  </w:tcMar>
                  <w:vAlign w:val="center"/>
                </w:tcPr>
                <w:p w14:paraId="61B244B5">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2025年底前，电力等行业以及年大宗货物运输量在100万吨以上的企业、物流园区的清洁运输比例提高到30%，其中榆林象道物流园区、靖边海则滩多式联运区域物流中心力争达到35%；2027年底前清洁运输比例提高到70%以上</w:t>
                  </w:r>
                </w:p>
              </w:tc>
              <w:tc>
                <w:tcPr>
                  <w:tcW w:w="997" w:type="pct"/>
                  <w:vMerge w:val="restart"/>
                  <w:tcBorders>
                    <w:top w:val="single" w:color="auto" w:sz="4" w:space="0"/>
                  </w:tcBorders>
                  <w:tcMar>
                    <w:left w:w="28" w:type="dxa"/>
                    <w:right w:w="28" w:type="dxa"/>
                  </w:tcMar>
                  <w:vAlign w:val="center"/>
                </w:tcPr>
                <w:p w14:paraId="0F02B40A">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项目车辆运输为公路运输，选用新能源和国六排放标准货车，以提高全市清洁运输比例</w:t>
                  </w:r>
                </w:p>
              </w:tc>
              <w:tc>
                <w:tcPr>
                  <w:tcW w:w="531" w:type="pct"/>
                  <w:vMerge w:val="restart"/>
                  <w:tcBorders>
                    <w:top w:val="single" w:color="auto" w:sz="4" w:space="0"/>
                  </w:tcBorders>
                  <w:tcMar>
                    <w:left w:w="28" w:type="dxa"/>
                    <w:right w:w="28" w:type="dxa"/>
                  </w:tcMar>
                  <w:vAlign w:val="center"/>
                </w:tcPr>
                <w:p w14:paraId="75C1A6C4">
                  <w:pPr>
                    <w:spacing w:line="240" w:lineRule="auto"/>
                    <w:ind w:firstLine="0" w:firstLineChars="0"/>
                    <w:jc w:val="center"/>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符合</w:t>
                  </w:r>
                </w:p>
              </w:tc>
            </w:tr>
            <w:tr w14:paraId="4AA221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16" w:hRule="atLeast"/>
                <w:jc w:val="center"/>
              </w:trPr>
              <w:tc>
                <w:tcPr>
                  <w:tcW w:w="1009" w:type="pct"/>
                  <w:vMerge w:val="continue"/>
                  <w:tcBorders>
                    <w:bottom w:val="single" w:color="auto" w:sz="4" w:space="0"/>
                  </w:tcBorders>
                  <w:tcMar>
                    <w:left w:w="28" w:type="dxa"/>
                    <w:right w:w="28" w:type="dxa"/>
                  </w:tcMar>
                  <w:vAlign w:val="center"/>
                </w:tcPr>
                <w:p w14:paraId="08C45116">
                  <w:pPr>
                    <w:spacing w:line="240" w:lineRule="auto"/>
                    <w:ind w:firstLine="0" w:firstLineChars="0"/>
                    <w:jc w:val="left"/>
                    <w:rPr>
                      <w:color w:val="000000" w:themeColor="text1"/>
                      <w:kern w:val="0"/>
                      <w:sz w:val="21"/>
                      <w:szCs w:val="24"/>
                      <w14:textFill>
                        <w14:solidFill>
                          <w14:schemeClr w14:val="tx1"/>
                        </w14:solidFill>
                      </w14:textFill>
                    </w:rPr>
                  </w:pPr>
                </w:p>
              </w:tc>
              <w:tc>
                <w:tcPr>
                  <w:tcW w:w="2462" w:type="pct"/>
                  <w:tcBorders>
                    <w:top w:val="single" w:color="auto" w:sz="4" w:space="0"/>
                    <w:bottom w:val="single" w:color="auto" w:sz="4" w:space="0"/>
                  </w:tcBorders>
                  <w:tcMar>
                    <w:left w:w="28" w:type="dxa"/>
                    <w:right w:w="28" w:type="dxa"/>
                  </w:tcMar>
                  <w:vAlign w:val="center"/>
                </w:tcPr>
                <w:p w14:paraId="6E676965">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强化新能源车辆推广。2025年底前淘汰国三及以下排放标准柴油货车，推进淘汰国一及以下排放标准非道路移动机械；2025年新能源和国六排放标准货车保有量占比40%左右</w:t>
                  </w:r>
                </w:p>
              </w:tc>
              <w:tc>
                <w:tcPr>
                  <w:tcW w:w="997" w:type="pct"/>
                  <w:vMerge w:val="continue"/>
                  <w:tcBorders>
                    <w:bottom w:val="single" w:color="auto" w:sz="4" w:space="0"/>
                  </w:tcBorders>
                  <w:tcMar>
                    <w:left w:w="28" w:type="dxa"/>
                    <w:right w:w="28" w:type="dxa"/>
                  </w:tcMar>
                  <w:vAlign w:val="center"/>
                </w:tcPr>
                <w:p w14:paraId="10432E92">
                  <w:pPr>
                    <w:spacing w:line="240" w:lineRule="auto"/>
                    <w:ind w:firstLine="0" w:firstLineChars="0"/>
                    <w:rPr>
                      <w:color w:val="000000" w:themeColor="text1"/>
                      <w:kern w:val="0"/>
                      <w:sz w:val="21"/>
                      <w:szCs w:val="24"/>
                      <w14:textFill>
                        <w14:solidFill>
                          <w14:schemeClr w14:val="tx1"/>
                        </w14:solidFill>
                      </w14:textFill>
                    </w:rPr>
                  </w:pPr>
                </w:p>
              </w:tc>
              <w:tc>
                <w:tcPr>
                  <w:tcW w:w="531" w:type="pct"/>
                  <w:vMerge w:val="continue"/>
                  <w:tcBorders>
                    <w:bottom w:val="single" w:color="auto" w:sz="4" w:space="0"/>
                  </w:tcBorders>
                  <w:tcMar>
                    <w:left w:w="28" w:type="dxa"/>
                    <w:right w:w="28" w:type="dxa"/>
                  </w:tcMar>
                  <w:vAlign w:val="center"/>
                </w:tcPr>
                <w:p w14:paraId="7C5E59A6">
                  <w:pPr>
                    <w:spacing w:line="240" w:lineRule="auto"/>
                    <w:ind w:firstLine="0" w:firstLineChars="0"/>
                    <w:jc w:val="center"/>
                    <w:rPr>
                      <w:color w:val="000000" w:themeColor="text1"/>
                      <w:kern w:val="0"/>
                      <w:sz w:val="21"/>
                      <w:szCs w:val="24"/>
                      <w14:textFill>
                        <w14:solidFill>
                          <w14:schemeClr w14:val="tx1"/>
                        </w14:solidFill>
                      </w14:textFill>
                    </w:rPr>
                  </w:pPr>
                </w:p>
              </w:tc>
            </w:tr>
            <w:tr w14:paraId="72872E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22" w:hRule="atLeast"/>
                <w:jc w:val="center"/>
              </w:trPr>
              <w:tc>
                <w:tcPr>
                  <w:tcW w:w="1009" w:type="pct"/>
                  <w:tcBorders>
                    <w:top w:val="single" w:color="auto" w:sz="4" w:space="0"/>
                  </w:tcBorders>
                  <w:tcMar>
                    <w:left w:w="28" w:type="dxa"/>
                    <w:right w:w="28" w:type="dxa"/>
                  </w:tcMar>
                  <w:vAlign w:val="center"/>
                </w:tcPr>
                <w:p w14:paraId="48EC106E">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榆林市人民政府关于禁止使用高排放非道路移动机械的通告</w:t>
                  </w:r>
                  <w:r>
                    <w:rPr>
                      <w:rFonts w:hint="eastAsia"/>
                      <w:color w:val="000000" w:themeColor="text1"/>
                      <w:kern w:val="0"/>
                      <w:sz w:val="21"/>
                      <w:szCs w:val="24"/>
                      <w:lang w:eastAsia="zh-CN"/>
                      <w14:textFill>
                        <w14:solidFill>
                          <w14:schemeClr w14:val="tx1"/>
                        </w14:solidFill>
                      </w14:textFill>
                    </w:rPr>
                    <w:t>（</w:t>
                  </w:r>
                  <w:r>
                    <w:rPr>
                      <w:color w:val="000000" w:themeColor="text1"/>
                      <w:kern w:val="0"/>
                      <w:sz w:val="21"/>
                      <w:szCs w:val="24"/>
                      <w14:textFill>
                        <w14:solidFill>
                          <w14:schemeClr w14:val="tx1"/>
                        </w14:solidFill>
                      </w14:textFill>
                    </w:rPr>
                    <w:t>2020年4月30日</w:t>
                  </w:r>
                  <w:r>
                    <w:rPr>
                      <w:rFonts w:hint="eastAsia"/>
                      <w:color w:val="000000" w:themeColor="text1"/>
                      <w:kern w:val="0"/>
                      <w:sz w:val="21"/>
                      <w:szCs w:val="24"/>
                      <w:lang w:eastAsia="zh-CN"/>
                      <w14:textFill>
                        <w14:solidFill>
                          <w14:schemeClr w14:val="tx1"/>
                        </w14:solidFill>
                      </w14:textFill>
                    </w:rPr>
                    <w:t>）</w:t>
                  </w:r>
                </w:p>
              </w:tc>
              <w:tc>
                <w:tcPr>
                  <w:tcW w:w="2462" w:type="pct"/>
                  <w:tcBorders>
                    <w:top w:val="single" w:color="auto" w:sz="4" w:space="0"/>
                  </w:tcBorders>
                  <w:tcMar>
                    <w:left w:w="28" w:type="dxa"/>
                    <w:right w:w="28" w:type="dxa"/>
                  </w:tcMar>
                  <w:vAlign w:val="center"/>
                </w:tcPr>
                <w:p w14:paraId="233F1924">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自2020年5月15日起，在全市行政区域内禁止使用高排放非道路移动机械，禁止使用未编码登记挂牌及环保检测不达标的非道路移动机械</w:t>
                  </w:r>
                </w:p>
              </w:tc>
              <w:tc>
                <w:tcPr>
                  <w:tcW w:w="997" w:type="pct"/>
                  <w:tcBorders>
                    <w:top w:val="single" w:color="auto" w:sz="4" w:space="0"/>
                  </w:tcBorders>
                  <w:tcMar>
                    <w:left w:w="28" w:type="dxa"/>
                    <w:right w:w="28" w:type="dxa"/>
                  </w:tcMar>
                  <w:vAlign w:val="center"/>
                </w:tcPr>
                <w:p w14:paraId="46B43100">
                  <w:pPr>
                    <w:spacing w:line="240" w:lineRule="auto"/>
                    <w:ind w:firstLine="0" w:firstLineChars="0"/>
                    <w:jc w:val="left"/>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本项目按要求使用符合环保要求的非道路移动机械</w:t>
                  </w:r>
                </w:p>
              </w:tc>
              <w:tc>
                <w:tcPr>
                  <w:tcW w:w="531" w:type="pct"/>
                  <w:tcBorders>
                    <w:top w:val="single" w:color="auto" w:sz="4" w:space="0"/>
                  </w:tcBorders>
                  <w:tcMar>
                    <w:left w:w="28" w:type="dxa"/>
                    <w:right w:w="28" w:type="dxa"/>
                  </w:tcMar>
                  <w:vAlign w:val="center"/>
                </w:tcPr>
                <w:p w14:paraId="09C8AC50">
                  <w:pPr>
                    <w:spacing w:line="240" w:lineRule="auto"/>
                    <w:ind w:firstLine="0" w:firstLineChars="0"/>
                    <w:jc w:val="center"/>
                    <w:rPr>
                      <w:color w:val="000000" w:themeColor="text1"/>
                      <w:kern w:val="0"/>
                      <w:sz w:val="21"/>
                      <w:szCs w:val="24"/>
                      <w14:textFill>
                        <w14:solidFill>
                          <w14:schemeClr w14:val="tx1"/>
                        </w14:solidFill>
                      </w14:textFill>
                    </w:rPr>
                  </w:pPr>
                  <w:r>
                    <w:rPr>
                      <w:color w:val="000000" w:themeColor="text1"/>
                      <w:kern w:val="0"/>
                      <w:sz w:val="21"/>
                      <w:szCs w:val="24"/>
                      <w14:textFill>
                        <w14:solidFill>
                          <w14:schemeClr w14:val="tx1"/>
                        </w14:solidFill>
                      </w14:textFill>
                    </w:rPr>
                    <w:t>符合</w:t>
                  </w:r>
                </w:p>
              </w:tc>
            </w:tr>
            <w:bookmarkEnd w:id="2"/>
          </w:tbl>
          <w:p w14:paraId="470978B3">
            <w:pPr>
              <w:pStyle w:val="19"/>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3.“三线一单”符合性分析</w:t>
            </w:r>
          </w:p>
          <w:p w14:paraId="516854C0">
            <w:pPr>
              <w:ind w:firstLine="480"/>
              <w:rPr>
                <w:color w:val="000000" w:themeColor="text1"/>
                <w14:textFill>
                  <w14:solidFill>
                    <w14:schemeClr w14:val="tx1"/>
                  </w14:solidFill>
                </w14:textFill>
              </w:rPr>
            </w:pPr>
            <w:r>
              <w:rPr>
                <w:color w:val="000000" w:themeColor="text1"/>
                <w:lang w:val="zh-CN"/>
                <w14:textFill>
                  <w14:solidFill>
                    <w14:schemeClr w14:val="tx1"/>
                  </w14:solidFill>
                </w14:textFill>
              </w:rPr>
              <w:t>根据《陕西省“三线一单“生态环境分区管控应用技术指南：环境影响评价（试行）》（陕环办发[2022]76号），建设项目环评文件涉及“三线一单”生态环境分区管控符合性分析采取“一图一表一说明”的表达方式，对照分析结果，论证建设的符合性。</w:t>
            </w:r>
          </w:p>
          <w:p w14:paraId="2A882EE8">
            <w:pPr>
              <w:ind w:firstLine="480"/>
              <w:rPr>
                <w:color w:val="000000" w:themeColor="text1"/>
                <w14:textFill>
                  <w14:solidFill>
                    <w14:schemeClr w14:val="tx1"/>
                  </w14:solidFill>
                </w14:textFill>
              </w:rPr>
            </w:pPr>
            <w:r>
              <w:rPr>
                <w:color w:val="000000" w:themeColor="text1"/>
                <w14:textFill>
                  <w14:solidFill>
                    <w14:schemeClr w14:val="tx1"/>
                  </w14:solidFill>
                </w14:textFill>
              </w:rPr>
              <w:t>（1）一图</w:t>
            </w:r>
          </w:p>
          <w:p w14:paraId="457C3600">
            <w:pPr>
              <w:ind w:firstLine="480"/>
              <w:rPr>
                <w:color w:val="000000" w:themeColor="text1"/>
                <w14:textFill>
                  <w14:solidFill>
                    <w14:schemeClr w14:val="tx1"/>
                  </w14:solidFill>
                </w14:textFill>
              </w:rPr>
            </w:pPr>
            <w:r>
              <w:rPr>
                <w:color w:val="000000" w:themeColor="text1"/>
                <w:lang w:val="zh-CN"/>
                <w14:textFill>
                  <w14:solidFill>
                    <w14:schemeClr w14:val="tx1"/>
                  </w14:solidFill>
                </w14:textFill>
              </w:rPr>
              <w:t>根据《关于印发榆林市“三线一单”生态环境分区管控方案的通知》（榆政发〔2021〕17号），项目位于</w:t>
            </w:r>
            <w:r>
              <w:rPr>
                <w:color w:val="000000" w:themeColor="text1"/>
                <w14:textFill>
                  <w14:solidFill>
                    <w14:schemeClr w14:val="tx1"/>
                  </w14:solidFill>
                </w14:textFill>
              </w:rPr>
              <w:t>榆林市榆阳区金鸡滩镇白舍牛滩村陕西汇荣禾能源环保科技有限公司现有厂区内，用地属于重点管控</w:t>
            </w:r>
            <w:r>
              <w:rPr>
                <w:color w:val="000000" w:themeColor="text1"/>
                <w:lang w:val="zh-CN"/>
                <w14:textFill>
                  <w14:solidFill>
                    <w14:schemeClr w14:val="tx1"/>
                  </w14:solidFill>
                </w14:textFill>
              </w:rPr>
              <w:t>单元</w:t>
            </w:r>
            <w:r>
              <w:rPr>
                <w:color w:val="000000" w:themeColor="text1"/>
                <w14:textFill>
                  <w14:solidFill>
                    <w14:schemeClr w14:val="tx1"/>
                  </w14:solidFill>
                </w14:textFill>
              </w:rPr>
              <w:t>。</w:t>
            </w:r>
            <w:r>
              <w:rPr>
                <w:color w:val="000000" w:themeColor="text1"/>
                <w:lang w:val="zh-CN"/>
                <w14:textFill>
                  <w14:solidFill>
                    <w14:schemeClr w14:val="tx1"/>
                  </w14:solidFill>
                </w14:textFill>
              </w:rPr>
              <w:t>本项目采取相应的污染物防治及生态恢复措施后，对周围环境影响较小，</w:t>
            </w:r>
            <w:r>
              <w:rPr>
                <w:color w:val="000000" w:themeColor="text1"/>
                <w14:textFill>
                  <w14:solidFill>
                    <w14:schemeClr w14:val="tx1"/>
                  </w14:solidFill>
                </w14:textFill>
              </w:rPr>
              <w:t>项目与环境管控单元对照分析图见附件陕西省“三线一单”生态环境管控单元对照分析报告。</w:t>
            </w:r>
          </w:p>
          <w:p w14:paraId="49306EEC">
            <w:pPr>
              <w:widowControl w:val="0"/>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（2）一表</w:t>
            </w:r>
          </w:p>
          <w:p w14:paraId="621C342A">
            <w:pPr>
              <w:widowControl w:val="0"/>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项目与《榆林市“三线一单”生态环境分区管控方案》符合性分析见下表。</w:t>
            </w:r>
          </w:p>
          <w:p w14:paraId="6F0A26B1">
            <w:pPr>
              <w:widowControl w:val="0"/>
              <w:ind w:firstLine="480"/>
              <w:rPr>
                <w:color w:val="000000" w:themeColor="text1"/>
                <w:lang w:bidi="ar"/>
                <w14:textFill>
                  <w14:solidFill>
                    <w14:schemeClr w14:val="tx1"/>
                  </w14:solidFill>
                </w14:textFill>
              </w:rPr>
            </w:pPr>
          </w:p>
          <w:p w14:paraId="1C918C0B">
            <w:pPr>
              <w:pStyle w:val="31"/>
              <w:rPr>
                <w:color w:val="000000" w:themeColor="text1"/>
                <w:lang w:bidi="ar"/>
                <w14:textFill>
                  <w14:solidFill>
                    <w14:schemeClr w14:val="tx1"/>
                  </w14:solidFill>
                </w14:textFill>
              </w:rPr>
            </w:pPr>
          </w:p>
          <w:p w14:paraId="0634D579">
            <w:pPr>
              <w:rPr>
                <w:color w:val="000000" w:themeColor="text1"/>
                <w14:textFill>
                  <w14:solidFill>
                    <w14:schemeClr w14:val="tx1"/>
                  </w14:solidFill>
                </w14:textFill>
              </w:rPr>
            </w:pPr>
          </w:p>
          <w:p w14:paraId="37A65DEF">
            <w:pPr>
              <w:rPr>
                <w:color w:val="000000" w:themeColor="text1"/>
                <w:lang w:bidi="ar"/>
                <w14:textFill>
                  <w14:solidFill>
                    <w14:schemeClr w14:val="tx1"/>
                  </w14:solidFill>
                </w14:textFill>
              </w:rPr>
            </w:pPr>
          </w:p>
          <w:p w14:paraId="70AF2885">
            <w:pPr>
              <w:pStyle w:val="31"/>
              <w:rPr>
                <w:color w:val="000000" w:themeColor="text1"/>
                <w14:textFill>
                  <w14:solidFill>
                    <w14:schemeClr w14:val="tx1"/>
                  </w14:solidFill>
                </w14:textFill>
              </w:rPr>
            </w:pPr>
          </w:p>
          <w:p w14:paraId="737B42AB">
            <w:pPr>
              <w:pStyle w:val="312"/>
              <w:widowControl w:val="0"/>
              <w:numPr>
                <w:ilvl w:val="0"/>
                <w:numId w:val="14"/>
              </w:numPr>
              <w:snapToGrid/>
              <w:spacing w:line="240" w:lineRule="auto"/>
              <w:ind w:left="0" w:firstLine="482"/>
              <w:jc w:val="left"/>
              <w:rPr>
                <w:b/>
                <w:color w:val="000000" w:themeColor="text1"/>
                <w:szCs w:val="20"/>
                <w:lang w:bidi="ar"/>
                <w14:textFill>
                  <w14:solidFill>
                    <w14:schemeClr w14:val="tx1"/>
                  </w14:solidFill>
                </w14:textFill>
              </w:rPr>
            </w:pPr>
            <w:r>
              <w:rPr>
                <w:b/>
                <w:color w:val="000000" w:themeColor="text1"/>
                <w:szCs w:val="20"/>
                <w:lang w:bidi="ar"/>
                <w14:textFill>
                  <w14:solidFill>
                    <w14:schemeClr w14:val="tx1"/>
                  </w14:solidFill>
                </w14:textFill>
              </w:rPr>
              <w:t xml:space="preserve">    </w:t>
            </w:r>
            <w:r>
              <w:rPr>
                <w:rFonts w:hint="eastAsia"/>
                <w:b/>
                <w:color w:val="000000" w:themeColor="text1"/>
                <w:szCs w:val="20"/>
                <w:lang w:bidi="ar"/>
                <w14:textFill>
                  <w14:solidFill>
                    <w14:schemeClr w14:val="tx1"/>
                  </w14:solidFill>
                </w14:textFill>
              </w:rPr>
              <w:t xml:space="preserve">   </w:t>
            </w:r>
            <w:r>
              <w:rPr>
                <w:b/>
                <w:bCs/>
                <w:color w:val="000000" w:themeColor="text1"/>
                <w:kern w:val="0"/>
                <w:szCs w:val="24"/>
                <w14:textFill>
                  <w14:solidFill>
                    <w14:schemeClr w14:val="tx1"/>
                  </w14:solidFill>
                </w14:textFill>
              </w:rPr>
              <w:t xml:space="preserve"> 项目与管控方案符合性分析</w:t>
            </w:r>
          </w:p>
          <w:tbl>
            <w:tblPr>
              <w:tblStyle w:val="8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697"/>
              <w:gridCol w:w="1061"/>
              <w:gridCol w:w="2540"/>
              <w:gridCol w:w="1371"/>
              <w:gridCol w:w="703"/>
            </w:tblGrid>
            <w:tr w14:paraId="4841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500" w:type="pct"/>
                  <w:vAlign w:val="center"/>
                </w:tcPr>
                <w:p w14:paraId="5AB9896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环境管控单元</w:t>
                  </w:r>
                </w:p>
              </w:tc>
              <w:tc>
                <w:tcPr>
                  <w:tcW w:w="492" w:type="pct"/>
                  <w:vAlign w:val="center"/>
                </w:tcPr>
                <w:p w14:paraId="1AD8912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单元要素属性</w:t>
                  </w:r>
                </w:p>
              </w:tc>
              <w:tc>
                <w:tcPr>
                  <w:tcW w:w="749" w:type="pct"/>
                  <w:vAlign w:val="center"/>
                </w:tcPr>
                <w:p w14:paraId="014463A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管控要求分类</w:t>
                  </w:r>
                </w:p>
              </w:tc>
              <w:tc>
                <w:tcPr>
                  <w:tcW w:w="1793" w:type="pct"/>
                  <w:vAlign w:val="center"/>
                </w:tcPr>
                <w:p w14:paraId="37AEB34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管控要求</w:t>
                  </w:r>
                </w:p>
              </w:tc>
              <w:tc>
                <w:tcPr>
                  <w:tcW w:w="968" w:type="pct"/>
                  <w:vAlign w:val="center"/>
                </w:tcPr>
                <w:p w14:paraId="4420E04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本项目情况</w:t>
                  </w:r>
                </w:p>
              </w:tc>
              <w:tc>
                <w:tcPr>
                  <w:tcW w:w="496" w:type="pct"/>
                  <w:vAlign w:val="center"/>
                </w:tcPr>
                <w:p w14:paraId="3C4899D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符合性</w:t>
                  </w:r>
                </w:p>
              </w:tc>
            </w:tr>
            <w:tr w14:paraId="4C0E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500" w:type="pct"/>
                  <w:vMerge w:val="restart"/>
                  <w:vAlign w:val="center"/>
                </w:tcPr>
                <w:p w14:paraId="259CD405">
                  <w:pPr>
                    <w:spacing w:line="240" w:lineRule="auto"/>
                    <w:ind w:firstLine="0" w:firstLineChars="0"/>
                    <w:rPr>
                      <w:color w:val="000000" w:themeColor="text1"/>
                      <w14:textFill>
                        <w14:solidFill>
                          <w14:schemeClr w14:val="tx1"/>
                        </w14:solidFill>
                      </w14:textFill>
                    </w:rPr>
                  </w:pPr>
                  <w:r>
                    <w:rPr>
                      <w:bCs/>
                      <w:color w:val="000000" w:themeColor="text1"/>
                      <w:kern w:val="0"/>
                      <w:sz w:val="21"/>
                      <w:szCs w:val="21"/>
                      <w14:textFill>
                        <w14:solidFill>
                          <w14:schemeClr w14:val="tx1"/>
                        </w14:solidFill>
                      </w14:textFill>
                    </w:rPr>
                    <w:t>陕西省榆林市榆阳区重点管控单元</w:t>
                  </w:r>
                </w:p>
              </w:tc>
              <w:tc>
                <w:tcPr>
                  <w:tcW w:w="492" w:type="pct"/>
                  <w:vMerge w:val="restart"/>
                  <w:vAlign w:val="center"/>
                </w:tcPr>
                <w:p w14:paraId="0C7E9844">
                  <w:pPr>
                    <w:spacing w:line="240" w:lineRule="auto"/>
                    <w:ind w:firstLine="0" w:firstLineChars="0"/>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水环境工业污染重点管控区</w:t>
                  </w:r>
                </w:p>
              </w:tc>
              <w:tc>
                <w:tcPr>
                  <w:tcW w:w="749" w:type="pct"/>
                  <w:vAlign w:val="center"/>
                </w:tcPr>
                <w:p w14:paraId="6FA41103">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空间布局约束</w:t>
                  </w:r>
                </w:p>
              </w:tc>
              <w:tc>
                <w:tcPr>
                  <w:tcW w:w="1793" w:type="pct"/>
                  <w:vAlign w:val="center"/>
                </w:tcPr>
                <w:p w14:paraId="042D95A8">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1.充分考虑水环境承载能力和水资源开发利用效率，合理确定产业发展布局、结构和规模</w:t>
                  </w:r>
                </w:p>
              </w:tc>
              <w:tc>
                <w:tcPr>
                  <w:tcW w:w="968" w:type="pct"/>
                  <w:vAlign w:val="center"/>
                </w:tcPr>
                <w:p w14:paraId="63D3015B">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项目生活用水来自自备井，生产用水来自金鸡滩镇煤矿疏干水，加设三通闸阀增加支管就近取水</w:t>
                  </w:r>
                </w:p>
              </w:tc>
              <w:tc>
                <w:tcPr>
                  <w:tcW w:w="496" w:type="pct"/>
                  <w:vAlign w:val="center"/>
                </w:tcPr>
                <w:p w14:paraId="30E7EA29">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符合</w:t>
                  </w:r>
                </w:p>
              </w:tc>
            </w:tr>
            <w:tr w14:paraId="180A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500" w:type="pct"/>
                  <w:vMerge w:val="continue"/>
                  <w:vAlign w:val="center"/>
                </w:tcPr>
                <w:p w14:paraId="720732BB">
                  <w:pPr>
                    <w:pStyle w:val="144"/>
                    <w:jc w:val="left"/>
                    <w:rPr>
                      <w:rFonts w:ascii="Times New Roman" w:hAnsi="Times New Roman"/>
                      <w:bCs/>
                      <w:color w:val="000000" w:themeColor="text1"/>
                      <w:szCs w:val="21"/>
                      <w14:textFill>
                        <w14:solidFill>
                          <w14:schemeClr w14:val="tx1"/>
                        </w14:solidFill>
                      </w14:textFill>
                    </w:rPr>
                  </w:pPr>
                </w:p>
              </w:tc>
              <w:tc>
                <w:tcPr>
                  <w:tcW w:w="492" w:type="pct"/>
                  <w:vMerge w:val="continue"/>
                  <w:vAlign w:val="center"/>
                </w:tcPr>
                <w:p w14:paraId="19322918">
                  <w:pPr>
                    <w:spacing w:line="240" w:lineRule="auto"/>
                    <w:ind w:firstLine="0" w:firstLineChars="0"/>
                    <w:jc w:val="center"/>
                    <w:rPr>
                      <w:bCs/>
                      <w:color w:val="000000" w:themeColor="text1"/>
                      <w:kern w:val="0"/>
                      <w:sz w:val="21"/>
                      <w:szCs w:val="21"/>
                      <w14:textFill>
                        <w14:solidFill>
                          <w14:schemeClr w14:val="tx1"/>
                        </w14:solidFill>
                      </w14:textFill>
                    </w:rPr>
                  </w:pPr>
                </w:p>
              </w:tc>
              <w:tc>
                <w:tcPr>
                  <w:tcW w:w="749" w:type="pct"/>
                  <w:vAlign w:val="center"/>
                </w:tcPr>
                <w:p w14:paraId="345F4C9F">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污染物排放管控</w:t>
                  </w:r>
                </w:p>
              </w:tc>
              <w:tc>
                <w:tcPr>
                  <w:tcW w:w="1793" w:type="pct"/>
                  <w:vAlign w:val="center"/>
                </w:tcPr>
                <w:p w14:paraId="470B2D81">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1.所有排污单位必须依法实现全面达标排放。集聚区内工业废水必须进行经预处理达到集中处理要求，方可进入污水集中处理设施。2.建设项目所在水环境单元或断面存在污染物超标的，相应污染因子实行等量或减量置换。3.严控高含盐废水排放。</w:t>
                  </w:r>
                </w:p>
              </w:tc>
              <w:tc>
                <w:tcPr>
                  <w:tcW w:w="968" w:type="pct"/>
                  <w:vAlign w:val="center"/>
                </w:tcPr>
                <w:p w14:paraId="12DD7B1E">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项目污废水处理后全部综合利用</w:t>
                  </w:r>
                </w:p>
              </w:tc>
              <w:tc>
                <w:tcPr>
                  <w:tcW w:w="496" w:type="pct"/>
                  <w:vAlign w:val="center"/>
                </w:tcPr>
                <w:p w14:paraId="55C8EBCA">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符合</w:t>
                  </w:r>
                </w:p>
              </w:tc>
            </w:tr>
            <w:tr w14:paraId="0939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trPr>
              <w:tc>
                <w:tcPr>
                  <w:tcW w:w="500" w:type="pct"/>
                  <w:vMerge w:val="continue"/>
                  <w:vAlign w:val="center"/>
                </w:tcPr>
                <w:p w14:paraId="65CCE00D">
                  <w:pPr>
                    <w:pStyle w:val="144"/>
                    <w:jc w:val="left"/>
                    <w:rPr>
                      <w:rFonts w:ascii="Times New Roman" w:hAnsi="Times New Roman"/>
                      <w:bCs/>
                      <w:color w:val="000000" w:themeColor="text1"/>
                      <w:szCs w:val="21"/>
                      <w14:textFill>
                        <w14:solidFill>
                          <w14:schemeClr w14:val="tx1"/>
                        </w14:solidFill>
                      </w14:textFill>
                    </w:rPr>
                  </w:pPr>
                </w:p>
              </w:tc>
              <w:tc>
                <w:tcPr>
                  <w:tcW w:w="492" w:type="pct"/>
                  <w:vMerge w:val="continue"/>
                  <w:vAlign w:val="center"/>
                </w:tcPr>
                <w:p w14:paraId="7FBC2EA8">
                  <w:pPr>
                    <w:spacing w:line="240" w:lineRule="auto"/>
                    <w:ind w:firstLine="0" w:firstLineChars="0"/>
                    <w:jc w:val="center"/>
                    <w:rPr>
                      <w:bCs/>
                      <w:color w:val="000000" w:themeColor="text1"/>
                      <w:kern w:val="0"/>
                      <w:sz w:val="21"/>
                      <w:szCs w:val="21"/>
                      <w14:textFill>
                        <w14:solidFill>
                          <w14:schemeClr w14:val="tx1"/>
                        </w14:solidFill>
                      </w14:textFill>
                    </w:rPr>
                  </w:pPr>
                </w:p>
              </w:tc>
              <w:tc>
                <w:tcPr>
                  <w:tcW w:w="749" w:type="pct"/>
                  <w:vAlign w:val="center"/>
                </w:tcPr>
                <w:p w14:paraId="7156DE5C">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环境风险防控</w:t>
                  </w:r>
                </w:p>
              </w:tc>
              <w:tc>
                <w:tcPr>
                  <w:tcW w:w="1793" w:type="pct"/>
                  <w:vAlign w:val="center"/>
                </w:tcPr>
                <w:p w14:paraId="2C9D6F07">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1.深入开展重点企业环境风险评估，摸清危险废物产生、贮存、利用和处置情况，推动突发环境事件应急预案编制与修编，严格新(改、扩)建生产有毒有害化学品项目的审批，强化工业园区环境风险管控。2.加强涉水涉重企业和危险化学品输运等环境风险源的系统治理，降低突发环境事故发生水平</w:t>
                  </w:r>
                </w:p>
              </w:tc>
              <w:tc>
                <w:tcPr>
                  <w:tcW w:w="968" w:type="pct"/>
                  <w:vAlign w:val="center"/>
                </w:tcPr>
                <w:p w14:paraId="2EB91FE8">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项目不属于涉水涉重</w:t>
                  </w:r>
                  <w:r>
                    <w:rPr>
                      <w:rFonts w:hint="eastAsia"/>
                      <w:bCs/>
                      <w:color w:val="000000" w:themeColor="text1"/>
                      <w:kern w:val="0"/>
                      <w:sz w:val="21"/>
                      <w:szCs w:val="21"/>
                      <w:lang w:val="en-US" w:eastAsia="zh-CN"/>
                      <w14:textFill>
                        <w14:solidFill>
                          <w14:schemeClr w14:val="tx1"/>
                        </w14:solidFill>
                      </w14:textFill>
                    </w:rPr>
                    <w:t>点</w:t>
                  </w:r>
                  <w:r>
                    <w:rPr>
                      <w:bCs/>
                      <w:color w:val="000000" w:themeColor="text1"/>
                      <w:kern w:val="0"/>
                      <w:sz w:val="21"/>
                      <w:szCs w:val="21"/>
                      <w14:textFill>
                        <w14:solidFill>
                          <w14:schemeClr w14:val="tx1"/>
                        </w14:solidFill>
                      </w14:textFill>
                    </w:rPr>
                    <w:t>企业，不涉及危险化学品</w:t>
                  </w:r>
                </w:p>
              </w:tc>
              <w:tc>
                <w:tcPr>
                  <w:tcW w:w="496" w:type="pct"/>
                  <w:vAlign w:val="center"/>
                </w:tcPr>
                <w:p w14:paraId="0F09E23F">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符合</w:t>
                  </w:r>
                </w:p>
              </w:tc>
            </w:tr>
            <w:tr w14:paraId="320C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pct"/>
                  <w:vMerge w:val="continue"/>
                  <w:vAlign w:val="center"/>
                </w:tcPr>
                <w:p w14:paraId="770B6592">
                  <w:pPr>
                    <w:pStyle w:val="144"/>
                    <w:jc w:val="left"/>
                    <w:rPr>
                      <w:rFonts w:ascii="Times New Roman" w:hAnsi="Times New Roman"/>
                      <w:bCs/>
                      <w:color w:val="000000" w:themeColor="text1"/>
                      <w:szCs w:val="21"/>
                      <w14:textFill>
                        <w14:solidFill>
                          <w14:schemeClr w14:val="tx1"/>
                        </w14:solidFill>
                      </w14:textFill>
                    </w:rPr>
                  </w:pPr>
                </w:p>
              </w:tc>
              <w:tc>
                <w:tcPr>
                  <w:tcW w:w="492" w:type="pct"/>
                  <w:vMerge w:val="continue"/>
                  <w:vAlign w:val="center"/>
                </w:tcPr>
                <w:p w14:paraId="0B448C40">
                  <w:pPr>
                    <w:spacing w:line="240" w:lineRule="auto"/>
                    <w:ind w:firstLine="0" w:firstLineChars="0"/>
                    <w:jc w:val="center"/>
                    <w:rPr>
                      <w:bCs/>
                      <w:color w:val="000000" w:themeColor="text1"/>
                      <w:kern w:val="0"/>
                      <w:sz w:val="21"/>
                      <w:szCs w:val="21"/>
                      <w14:textFill>
                        <w14:solidFill>
                          <w14:schemeClr w14:val="tx1"/>
                        </w14:solidFill>
                      </w14:textFill>
                    </w:rPr>
                  </w:pPr>
                </w:p>
              </w:tc>
              <w:tc>
                <w:tcPr>
                  <w:tcW w:w="749" w:type="pct"/>
                  <w:vAlign w:val="center"/>
                </w:tcPr>
                <w:p w14:paraId="5FC5309D">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资源开发效率要求</w:t>
                  </w:r>
                </w:p>
              </w:tc>
              <w:tc>
                <w:tcPr>
                  <w:tcW w:w="1793" w:type="pct"/>
                  <w:vAlign w:val="center"/>
                </w:tcPr>
                <w:p w14:paraId="2AE6EE2C">
                  <w:pPr>
                    <w:spacing w:line="240" w:lineRule="auto"/>
                    <w:ind w:firstLine="0" w:firstLineChars="0"/>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1.提高工业用水重复利用率，因地制宜推进区域再生水循环利用</w:t>
                  </w:r>
                </w:p>
              </w:tc>
              <w:tc>
                <w:tcPr>
                  <w:tcW w:w="968" w:type="pct"/>
                  <w:vAlign w:val="center"/>
                </w:tcPr>
                <w:p w14:paraId="784BE07A">
                  <w:pPr>
                    <w:spacing w:line="240" w:lineRule="auto"/>
                    <w:ind w:firstLine="0" w:firstLineChars="0"/>
                    <w:jc w:val="left"/>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项目污废水处理后全部综合利用</w:t>
                  </w:r>
                </w:p>
              </w:tc>
              <w:tc>
                <w:tcPr>
                  <w:tcW w:w="496" w:type="pct"/>
                  <w:vAlign w:val="center"/>
                </w:tcPr>
                <w:p w14:paraId="11EFA800">
                  <w:pPr>
                    <w:spacing w:line="240" w:lineRule="auto"/>
                    <w:ind w:firstLine="0" w:firstLineChars="0"/>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符合</w:t>
                  </w:r>
                </w:p>
              </w:tc>
            </w:tr>
          </w:tbl>
          <w:p w14:paraId="3077E6DA">
            <w:pPr>
              <w:widowControl w:val="0"/>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（3）一说明</w:t>
            </w:r>
          </w:p>
          <w:p w14:paraId="02E004CD">
            <w:pPr>
              <w:widowControl w:val="0"/>
              <w:autoSpaceDE w:val="0"/>
              <w:autoSpaceDN w:val="0"/>
              <w:ind w:firstLine="480"/>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本项目与榆林市“三线一单”的符合性分析如下：</w:t>
            </w:r>
          </w:p>
          <w:p w14:paraId="6724EA83">
            <w:pPr>
              <w:widowControl w:val="0"/>
              <w:autoSpaceDE w:val="0"/>
              <w:autoSpaceDN w:val="0"/>
              <w:ind w:firstLine="480"/>
              <w:rPr>
                <w:color w:val="000000" w:themeColor="text1"/>
                <w:kern w:val="0"/>
                <w:szCs w:val="24"/>
                <w14:textFill>
                  <w14:solidFill>
                    <w14:schemeClr w14:val="tx1"/>
                  </w14:solidFill>
                </w14:textFill>
              </w:rPr>
            </w:pPr>
          </w:p>
          <w:p w14:paraId="0E458CB8">
            <w:pPr>
              <w:widowControl w:val="0"/>
              <w:autoSpaceDE w:val="0"/>
              <w:autoSpaceDN w:val="0"/>
              <w:ind w:firstLine="480"/>
              <w:rPr>
                <w:color w:val="000000" w:themeColor="text1"/>
                <w:kern w:val="0"/>
                <w:szCs w:val="24"/>
                <w14:textFill>
                  <w14:solidFill>
                    <w14:schemeClr w14:val="tx1"/>
                  </w14:solidFill>
                </w14:textFill>
              </w:rPr>
            </w:pPr>
          </w:p>
          <w:p w14:paraId="1D343341">
            <w:pPr>
              <w:widowControl w:val="0"/>
              <w:autoSpaceDE w:val="0"/>
              <w:autoSpaceDN w:val="0"/>
              <w:ind w:firstLine="480"/>
              <w:rPr>
                <w:color w:val="000000" w:themeColor="text1"/>
                <w:kern w:val="0"/>
                <w:szCs w:val="24"/>
                <w14:textFill>
                  <w14:solidFill>
                    <w14:schemeClr w14:val="tx1"/>
                  </w14:solidFill>
                </w14:textFill>
              </w:rPr>
            </w:pPr>
          </w:p>
          <w:p w14:paraId="769F183B">
            <w:pPr>
              <w:widowControl w:val="0"/>
              <w:autoSpaceDE w:val="0"/>
              <w:autoSpaceDN w:val="0"/>
              <w:ind w:firstLine="480"/>
              <w:rPr>
                <w:color w:val="000000" w:themeColor="text1"/>
                <w:kern w:val="0"/>
                <w:szCs w:val="24"/>
                <w14:textFill>
                  <w14:solidFill>
                    <w14:schemeClr w14:val="tx1"/>
                  </w14:solidFill>
                </w14:textFill>
              </w:rPr>
            </w:pPr>
          </w:p>
          <w:p w14:paraId="5071848C">
            <w:pPr>
              <w:widowControl w:val="0"/>
              <w:autoSpaceDE w:val="0"/>
              <w:autoSpaceDN w:val="0"/>
              <w:ind w:firstLine="480"/>
              <w:rPr>
                <w:color w:val="000000" w:themeColor="text1"/>
                <w:kern w:val="0"/>
                <w:szCs w:val="24"/>
                <w14:textFill>
                  <w14:solidFill>
                    <w14:schemeClr w14:val="tx1"/>
                  </w14:solidFill>
                </w14:textFill>
              </w:rPr>
            </w:pPr>
          </w:p>
          <w:p w14:paraId="2DF6C51A">
            <w:pPr>
              <w:widowControl w:val="0"/>
              <w:autoSpaceDE w:val="0"/>
              <w:autoSpaceDN w:val="0"/>
              <w:ind w:firstLine="480"/>
              <w:rPr>
                <w:color w:val="000000" w:themeColor="text1"/>
                <w:kern w:val="0"/>
                <w:szCs w:val="24"/>
                <w14:textFill>
                  <w14:solidFill>
                    <w14:schemeClr w14:val="tx1"/>
                  </w14:solidFill>
                </w14:textFill>
              </w:rPr>
            </w:pPr>
          </w:p>
          <w:p w14:paraId="6EF452E7">
            <w:pPr>
              <w:pStyle w:val="312"/>
              <w:widowControl w:val="0"/>
              <w:numPr>
                <w:ilvl w:val="0"/>
                <w:numId w:val="14"/>
              </w:numPr>
              <w:snapToGrid/>
              <w:spacing w:line="240" w:lineRule="auto"/>
              <w:ind w:left="0" w:firstLine="482"/>
              <w:jc w:val="left"/>
              <w:rPr>
                <w:b/>
                <w:color w:val="000000" w:themeColor="text1"/>
                <w:szCs w:val="20"/>
                <w:lang w:bidi="ar"/>
                <w14:textFill>
                  <w14:solidFill>
                    <w14:schemeClr w14:val="tx1"/>
                  </w14:solidFill>
                </w14:textFill>
              </w:rPr>
            </w:pPr>
            <w:r>
              <w:rPr>
                <w:b/>
                <w:color w:val="000000" w:themeColor="text1"/>
                <w:szCs w:val="20"/>
                <w:lang w:bidi="ar"/>
                <w14:textFill>
                  <w14:solidFill>
                    <w14:schemeClr w14:val="tx1"/>
                  </w14:solidFill>
                </w14:textFill>
              </w:rPr>
              <w:t xml:space="preserve">  </w:t>
            </w:r>
            <w:r>
              <w:rPr>
                <w:rFonts w:hint="eastAsia"/>
                <w:b/>
                <w:color w:val="000000" w:themeColor="text1"/>
                <w:szCs w:val="20"/>
                <w:lang w:bidi="ar"/>
                <w14:textFill>
                  <w14:solidFill>
                    <w14:schemeClr w14:val="tx1"/>
                  </w14:solidFill>
                </w14:textFill>
              </w:rPr>
              <w:t xml:space="preserve">       </w:t>
            </w:r>
            <w:r>
              <w:rPr>
                <w:b/>
                <w:color w:val="000000" w:themeColor="text1"/>
                <w:szCs w:val="20"/>
                <w:lang w:bidi="ar"/>
                <w14:textFill>
                  <w14:solidFill>
                    <w14:schemeClr w14:val="tx1"/>
                  </w14:solidFill>
                </w14:textFill>
              </w:rPr>
              <w:t>“三线一单”符合性分析表</w:t>
            </w:r>
          </w:p>
          <w:tbl>
            <w:tblPr>
              <w:tblStyle w:val="82"/>
              <w:tblW w:w="7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5000"/>
              <w:gridCol w:w="899"/>
            </w:tblGrid>
            <w:tr w14:paraId="5DFB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14:paraId="2E1D6DA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三线一单</w:t>
                  </w:r>
                </w:p>
              </w:tc>
              <w:tc>
                <w:tcPr>
                  <w:tcW w:w="5000" w:type="dxa"/>
                  <w:vAlign w:val="center"/>
                </w:tcPr>
                <w:p w14:paraId="3A04F57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本项目情况</w:t>
                  </w:r>
                </w:p>
              </w:tc>
              <w:tc>
                <w:tcPr>
                  <w:tcW w:w="899" w:type="dxa"/>
                  <w:vAlign w:val="center"/>
                </w:tcPr>
                <w:p w14:paraId="6B48ABF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符合性</w:t>
                  </w:r>
                </w:p>
              </w:tc>
            </w:tr>
            <w:tr w14:paraId="6CE4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123" w:type="dxa"/>
                  <w:vAlign w:val="center"/>
                </w:tcPr>
                <w:p w14:paraId="04655A9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生态保护红线</w:t>
                  </w:r>
                </w:p>
              </w:tc>
              <w:tc>
                <w:tcPr>
                  <w:tcW w:w="5000" w:type="dxa"/>
                  <w:vAlign w:val="center"/>
                </w:tcPr>
                <w:p w14:paraId="3F512C05">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本项目位于公司现有厂区内，不新增占地，公司现有场地为建设用地，不涉及生态保护红线</w:t>
                  </w:r>
                </w:p>
              </w:tc>
              <w:tc>
                <w:tcPr>
                  <w:tcW w:w="899" w:type="dxa"/>
                  <w:vAlign w:val="center"/>
                </w:tcPr>
                <w:p w14:paraId="28129B8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7A16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123" w:type="dxa"/>
                  <w:vAlign w:val="center"/>
                </w:tcPr>
                <w:p w14:paraId="0EB5594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环境质量底线</w:t>
                  </w:r>
                </w:p>
              </w:tc>
              <w:tc>
                <w:tcPr>
                  <w:tcW w:w="5000" w:type="dxa"/>
                  <w:vAlign w:val="center"/>
                </w:tcPr>
                <w:p w14:paraId="5E2DD7C5">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项</w:t>
                  </w:r>
                  <w:r>
                    <w:rPr>
                      <w:rFonts w:ascii="Times New Roman" w:hAnsi="Times New Roman"/>
                      <w:snapToGrid w:val="0"/>
                      <w:color w:val="000000" w:themeColor="text1"/>
                      <w:szCs w:val="21"/>
                      <w14:textFill>
                        <w14:solidFill>
                          <w14:schemeClr w14:val="tx1"/>
                        </w14:solidFill>
                      </w14:textFill>
                    </w:rPr>
                    <w:t>目拟采取先进的工艺和有效的环保措施，废气可做到达标排放，不会改变区域大气环境质量；废水综合利用不外排，不会改变</w:t>
                  </w:r>
                  <w:r>
                    <w:rPr>
                      <w:rFonts w:ascii="Times New Roman" w:hAnsi="Times New Roman"/>
                      <w:color w:val="000000" w:themeColor="text1"/>
                      <w:kern w:val="21"/>
                      <w:szCs w:val="21"/>
                      <w14:textFill>
                        <w14:solidFill>
                          <w14:schemeClr w14:val="tx1"/>
                        </w14:solidFill>
                      </w14:textFill>
                    </w:rPr>
                    <w:t>区域水环境功能。项目建设符合当地环境质量底线要求</w:t>
                  </w:r>
                </w:p>
              </w:tc>
              <w:tc>
                <w:tcPr>
                  <w:tcW w:w="899" w:type="dxa"/>
                  <w:vAlign w:val="center"/>
                </w:tcPr>
                <w:p w14:paraId="1FBB938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4452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23" w:type="dxa"/>
                  <w:vAlign w:val="center"/>
                </w:tcPr>
                <w:p w14:paraId="532301E7">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资源上线</w:t>
                  </w:r>
                </w:p>
              </w:tc>
              <w:tc>
                <w:tcPr>
                  <w:tcW w:w="5000" w:type="dxa"/>
                  <w:vAlign w:val="center"/>
                </w:tcPr>
                <w:p w14:paraId="010CD390">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21"/>
                      <w:szCs w:val="21"/>
                      <w14:textFill>
                        <w14:solidFill>
                          <w14:schemeClr w14:val="tx1"/>
                        </w14:solidFill>
                      </w14:textFill>
                    </w:rPr>
                    <w:t>项目主要能源消耗为水、电，能源消耗合理，不触及资源利用上线</w:t>
                  </w:r>
                </w:p>
              </w:tc>
              <w:tc>
                <w:tcPr>
                  <w:tcW w:w="899" w:type="dxa"/>
                  <w:vAlign w:val="center"/>
                </w:tcPr>
                <w:p w14:paraId="641CEA3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1B0B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123" w:type="dxa"/>
                  <w:vAlign w:val="center"/>
                </w:tcPr>
                <w:p w14:paraId="20C5FB9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负面清单</w:t>
                  </w:r>
                </w:p>
              </w:tc>
              <w:tc>
                <w:tcPr>
                  <w:tcW w:w="5000" w:type="dxa"/>
                  <w:vAlign w:val="center"/>
                </w:tcPr>
                <w:p w14:paraId="66526563">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项目建设符合国家产业政策，满足全省、陕北地区、榆林市生态环境总体准入清单中空间布局约束相关要求</w:t>
                  </w:r>
                </w:p>
              </w:tc>
              <w:tc>
                <w:tcPr>
                  <w:tcW w:w="899" w:type="dxa"/>
                  <w:vAlign w:val="center"/>
                </w:tcPr>
                <w:p w14:paraId="02087F6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bl>
          <w:p w14:paraId="1DCB6803">
            <w:pPr>
              <w:ind w:firstLine="482"/>
              <w:rPr>
                <w:b/>
                <w:color w:val="000000" w:themeColor="text1"/>
                <w:szCs w:val="20"/>
                <w:lang w:bidi="ar"/>
                <w14:textFill>
                  <w14:solidFill>
                    <w14:schemeClr w14:val="tx1"/>
                  </w14:solidFill>
                </w14:textFill>
              </w:rPr>
            </w:pPr>
            <w:r>
              <w:rPr>
                <w:b/>
                <w:bCs/>
                <w:color w:val="000000" w:themeColor="text1"/>
                <w14:textFill>
                  <w14:solidFill>
                    <w14:schemeClr w14:val="tx1"/>
                  </w14:solidFill>
                </w14:textFill>
              </w:rPr>
              <w:t>4.</w:t>
            </w:r>
            <w:r>
              <w:rPr>
                <w:b/>
                <w:color w:val="000000" w:themeColor="text1"/>
                <w:szCs w:val="20"/>
                <w:lang w:bidi="ar"/>
                <w14:textFill>
                  <w14:solidFill>
                    <w14:schemeClr w14:val="tx1"/>
                  </w14:solidFill>
                </w14:textFill>
              </w:rPr>
              <w:t>选址合理性</w:t>
            </w:r>
          </w:p>
          <w:p w14:paraId="1F61F95C">
            <w:pPr>
              <w:widowControl w:val="0"/>
              <w:ind w:firstLine="480"/>
              <w:rPr>
                <w:color w:val="000000" w:themeColor="text1"/>
                <w:kern w:val="0"/>
                <w14:textFill>
                  <w14:solidFill>
                    <w14:schemeClr w14:val="tx1"/>
                  </w14:solidFill>
                </w14:textFill>
              </w:rPr>
            </w:pPr>
            <w:r>
              <w:rPr>
                <w:color w:val="000000" w:themeColor="text1"/>
                <w14:textFill>
                  <w14:solidFill>
                    <w14:schemeClr w14:val="tx1"/>
                  </w14:solidFill>
                </w14:textFill>
              </w:rPr>
              <w:t>本项目在原有厂区内建设，不涉及新增用地，项目</w:t>
            </w:r>
            <w:r>
              <w:rPr>
                <w:color w:val="000000" w:themeColor="text1"/>
                <w:lang w:bidi="ar"/>
                <w14:textFill>
                  <w14:solidFill>
                    <w14:schemeClr w14:val="tx1"/>
                  </w14:solidFill>
                </w14:textFill>
              </w:rPr>
              <w:t>与榆林市投资项目选址“一张图”控制线检测结果符合性分析见下表。</w:t>
            </w:r>
          </w:p>
          <w:p w14:paraId="0CA7EFBA">
            <w:pPr>
              <w:pStyle w:val="312"/>
              <w:numPr>
                <w:ilvl w:val="0"/>
                <w:numId w:val="14"/>
              </w:numPr>
              <w:spacing w:line="240" w:lineRule="auto"/>
              <w:ind w:left="-2" w:firstLine="482" w:firstLineChars="0"/>
              <w:jc w:val="left"/>
              <w:rPr>
                <w:b/>
                <w:color w:val="000000" w:themeColor="text1"/>
                <w:szCs w:val="20"/>
                <w14:textFill>
                  <w14:solidFill>
                    <w14:schemeClr w14:val="tx1"/>
                  </w14:solidFill>
                </w14:textFill>
              </w:rPr>
            </w:pPr>
            <w:r>
              <w:rPr>
                <w:b/>
                <w:color w:val="000000" w:themeColor="text1"/>
                <w:szCs w:val="20"/>
                <w14:textFill>
                  <w14:solidFill>
                    <w14:schemeClr w14:val="tx1"/>
                  </w14:solidFill>
                </w14:textFill>
              </w:rPr>
              <w:t xml:space="preserve"> 项目与榆林市“多规合一”控制线检测符合性分析</w:t>
            </w:r>
          </w:p>
          <w:tbl>
            <w:tblPr>
              <w:tblStyle w:val="8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2597"/>
              <w:gridCol w:w="2585"/>
            </w:tblGrid>
            <w:tr w14:paraId="074B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340" w:type="pct"/>
                  <w:vAlign w:val="center"/>
                </w:tcPr>
                <w:p w14:paraId="21A479F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控制线名称</w:t>
                  </w:r>
                </w:p>
              </w:tc>
              <w:tc>
                <w:tcPr>
                  <w:tcW w:w="1834" w:type="pct"/>
                  <w:vAlign w:val="center"/>
                </w:tcPr>
                <w:p w14:paraId="3DE849A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检测结果</w:t>
                  </w:r>
                </w:p>
              </w:tc>
              <w:tc>
                <w:tcPr>
                  <w:tcW w:w="1825" w:type="pct"/>
                  <w:vAlign w:val="center"/>
                </w:tcPr>
                <w:p w14:paraId="135D8F3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备注</w:t>
                  </w:r>
                </w:p>
              </w:tc>
            </w:tr>
            <w:tr w14:paraId="4833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40" w:type="pct"/>
                  <w:vAlign w:val="center"/>
                </w:tcPr>
                <w:p w14:paraId="073A3AA7">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榆阳机场电磁环境保护区</w:t>
                  </w:r>
                </w:p>
              </w:tc>
              <w:tc>
                <w:tcPr>
                  <w:tcW w:w="1834" w:type="pct"/>
                  <w:vAlign w:val="center"/>
                </w:tcPr>
                <w:p w14:paraId="5FE8C33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不涉及</w:t>
                  </w:r>
                </w:p>
              </w:tc>
              <w:tc>
                <w:tcPr>
                  <w:tcW w:w="1825" w:type="pct"/>
                  <w:vAlign w:val="center"/>
                </w:tcPr>
                <w:p w14:paraId="7F96688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0A99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1340" w:type="pct"/>
                  <w:vAlign w:val="center"/>
                </w:tcPr>
                <w:p w14:paraId="0B3BD85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机场净空区域分析</w:t>
                  </w:r>
                </w:p>
              </w:tc>
              <w:tc>
                <w:tcPr>
                  <w:tcW w:w="1834" w:type="pct"/>
                  <w:vAlign w:val="center"/>
                </w:tcPr>
                <w:p w14:paraId="11E77EBD">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项目位于榆阳机场二区净空审核范围内</w:t>
                  </w:r>
                </w:p>
              </w:tc>
              <w:tc>
                <w:tcPr>
                  <w:tcW w:w="1825" w:type="pct"/>
                  <w:vAlign w:val="center"/>
                </w:tcPr>
                <w:p w14:paraId="78F5D92C">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区域参考高度为1450m，地面高程最高点为1235m，建筑物最高为16m，建筑物高程1251m，未超过参考高度，不需要进行净空审核</w:t>
                  </w:r>
                </w:p>
              </w:tc>
            </w:tr>
            <w:tr w14:paraId="331F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0" w:type="pct"/>
                  <w:vAlign w:val="center"/>
                </w:tcPr>
                <w:p w14:paraId="3780A455">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矿业权现状2025分析</w:t>
                  </w:r>
                </w:p>
              </w:tc>
              <w:tc>
                <w:tcPr>
                  <w:tcW w:w="1834" w:type="pct"/>
                  <w:vAlign w:val="center"/>
                </w:tcPr>
                <w:p w14:paraId="5D2D1390">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涉及陕西未来能源化工有限公司榆阳区金鸡滩煤矿</w:t>
                  </w:r>
                </w:p>
              </w:tc>
              <w:tc>
                <w:tcPr>
                  <w:tcW w:w="1825" w:type="pct"/>
                  <w:vAlign w:val="center"/>
                </w:tcPr>
                <w:p w14:paraId="25546E7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已对接</w:t>
                  </w:r>
                </w:p>
              </w:tc>
            </w:tr>
            <w:tr w14:paraId="397D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40" w:type="pct"/>
                  <w:vAlign w:val="center"/>
                </w:tcPr>
                <w:p w14:paraId="4BFA028A">
                  <w:pPr>
                    <w:pStyle w:val="144"/>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长城文物保护线分析</w:t>
                  </w:r>
                </w:p>
              </w:tc>
              <w:tc>
                <w:tcPr>
                  <w:tcW w:w="1834" w:type="pct"/>
                  <w:vAlign w:val="center"/>
                </w:tcPr>
                <w:p w14:paraId="514041E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不涉及</w:t>
                  </w:r>
                </w:p>
              </w:tc>
              <w:tc>
                <w:tcPr>
                  <w:tcW w:w="1825" w:type="pct"/>
                  <w:vAlign w:val="center"/>
                </w:tcPr>
                <w:p w14:paraId="292CDF4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07FC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340" w:type="pct"/>
                  <w:vAlign w:val="center"/>
                </w:tcPr>
                <w:p w14:paraId="28E7BD4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生态保护红线分析</w:t>
                  </w:r>
                </w:p>
              </w:tc>
              <w:tc>
                <w:tcPr>
                  <w:tcW w:w="1834" w:type="pct"/>
                  <w:vAlign w:val="center"/>
                </w:tcPr>
                <w:p w14:paraId="5D54829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不涉及</w:t>
                  </w:r>
                </w:p>
              </w:tc>
              <w:tc>
                <w:tcPr>
                  <w:tcW w:w="1825" w:type="pct"/>
                  <w:vAlign w:val="center"/>
                </w:tcPr>
                <w:p w14:paraId="0E23A19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3248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340" w:type="pct"/>
                  <w:vAlign w:val="center"/>
                </w:tcPr>
                <w:p w14:paraId="6B01C0E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永久基本农田分析</w:t>
                  </w:r>
                </w:p>
              </w:tc>
              <w:tc>
                <w:tcPr>
                  <w:tcW w:w="1834" w:type="pct"/>
                  <w:vAlign w:val="center"/>
                </w:tcPr>
                <w:p w14:paraId="3D52743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不涉及</w:t>
                  </w:r>
                </w:p>
              </w:tc>
              <w:tc>
                <w:tcPr>
                  <w:tcW w:w="1825" w:type="pct"/>
                  <w:vAlign w:val="center"/>
                </w:tcPr>
                <w:p w14:paraId="1F4196E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14:paraId="1528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40" w:type="pct"/>
                  <w:vAlign w:val="center"/>
                </w:tcPr>
                <w:p w14:paraId="135B89C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土地利用现状分析</w:t>
                  </w:r>
                </w:p>
              </w:tc>
              <w:tc>
                <w:tcPr>
                  <w:tcW w:w="1834" w:type="pct"/>
                  <w:vAlign w:val="center"/>
                </w:tcPr>
                <w:p w14:paraId="39C26D4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工业用地</w:t>
                  </w:r>
                </w:p>
              </w:tc>
              <w:tc>
                <w:tcPr>
                  <w:tcW w:w="1825" w:type="pct"/>
                  <w:vAlign w:val="center"/>
                </w:tcPr>
                <w:p w14:paraId="72E6A3D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bl>
          <w:p w14:paraId="48773BB9">
            <w:pPr>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项目位</w:t>
            </w:r>
            <w:r>
              <w:rPr>
                <w:color w:val="000000" w:themeColor="text1"/>
                <w:szCs w:val="20"/>
                <w:lang w:bidi="ar"/>
                <w14:textFill>
                  <w14:solidFill>
                    <w14:schemeClr w14:val="tx1"/>
                  </w14:solidFill>
                </w14:textFill>
              </w:rPr>
              <w:t>于</w:t>
            </w:r>
            <w:r>
              <w:rPr>
                <w:color w:val="000000" w:themeColor="text1"/>
                <w14:textFill>
                  <w14:solidFill>
                    <w14:schemeClr w14:val="tx1"/>
                  </w14:solidFill>
                </w14:textFill>
              </w:rPr>
              <w:t>陕西汇荣禾能源环保科技有限公司现有厂区内，不新增用地，项目符合生态红线、文物保护线等多项规划的要求，项目用地为建设用地，已办理相关土地手续。项目占地涉及陕西未来能源化工有限公司榆阳区金鸡滩煤矿矿区，2022年3月6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公司己与陕西未来能源化工有限公司金鸡滩煤矿签订了压覆资源协议（见附件），项目位于金鸡滩煤矿井田范围内，所在区域的内煤层已采完，二层煤目前不在采煤规划范围内，在金鸡滩煤矿开采地下煤炭的生产及地面长周期缓慢下沉过程中将出现地面裂缝、地面塌陷、滑坡、崩塌、地面沉降、地震、地形地貌变化等因素致使本企业生产和生活设施如建设新型墙体材料生产厂房、设施、设备、办公楼、职工宿舍、等建筑物、构筑物倒塌，并且诱发重大安全事故造成人员伤亡、重大财产损失等一切责任及损失，但不限于上述事故或损失，金鸡滩煤矿概不负责。项目建设符合榆林市投资项目选址“一张图”控制线检测报告要求。</w:t>
            </w:r>
          </w:p>
          <w:p w14:paraId="213B05DF">
            <w:pPr>
              <w:ind w:firstLine="480"/>
              <w:rPr>
                <w:color w:val="000000" w:themeColor="text1"/>
                <w14:textFill>
                  <w14:solidFill>
                    <w14:schemeClr w14:val="tx1"/>
                  </w14:solidFill>
                </w14:textFill>
              </w:rPr>
            </w:pPr>
            <w:r>
              <w:rPr>
                <w:color w:val="000000" w:themeColor="text1"/>
                <w14:textFill>
                  <w14:solidFill>
                    <w14:schemeClr w14:val="tx1"/>
                  </w14:solidFill>
                </w14:textFill>
              </w:rPr>
              <w:t>项目周边无自然保护区、风景名胜区、世界文化遗产和自然遗产地、饮用水源保护区及文物保护单位等敏感目标，交通便利，有利于物流的运输。在严格实施环评提出的污染防治措施后，污染物可实现达标排放，对环境影响较小，从环境保护方面及环境影响方面分析，本项目选址合理。</w:t>
            </w:r>
          </w:p>
          <w:p w14:paraId="705CF16F">
            <w:pPr>
              <w:pStyle w:val="31"/>
              <w:ind w:firstLine="480"/>
              <w:rPr>
                <w:color w:val="000000" w:themeColor="text1"/>
                <w14:textFill>
                  <w14:solidFill>
                    <w14:schemeClr w14:val="tx1"/>
                  </w14:solidFill>
                </w14:textFill>
              </w:rPr>
            </w:pPr>
          </w:p>
          <w:p w14:paraId="38A71CB8">
            <w:pPr>
              <w:ind w:firstLine="480"/>
              <w:rPr>
                <w:color w:val="000000" w:themeColor="text1"/>
                <w14:textFill>
                  <w14:solidFill>
                    <w14:schemeClr w14:val="tx1"/>
                  </w14:solidFill>
                </w14:textFill>
              </w:rPr>
            </w:pPr>
          </w:p>
          <w:p w14:paraId="7E05A02C">
            <w:pPr>
              <w:pStyle w:val="31"/>
              <w:ind w:firstLine="480"/>
              <w:rPr>
                <w:color w:val="000000" w:themeColor="text1"/>
                <w14:textFill>
                  <w14:solidFill>
                    <w14:schemeClr w14:val="tx1"/>
                  </w14:solidFill>
                </w14:textFill>
              </w:rPr>
            </w:pPr>
          </w:p>
          <w:p w14:paraId="38DEB650">
            <w:pPr>
              <w:ind w:firstLine="480"/>
              <w:rPr>
                <w:color w:val="000000" w:themeColor="text1"/>
                <w14:textFill>
                  <w14:solidFill>
                    <w14:schemeClr w14:val="tx1"/>
                  </w14:solidFill>
                </w14:textFill>
              </w:rPr>
            </w:pPr>
          </w:p>
          <w:p w14:paraId="5304FE7E">
            <w:pPr>
              <w:pStyle w:val="31"/>
              <w:ind w:firstLine="480"/>
              <w:rPr>
                <w:color w:val="000000" w:themeColor="text1"/>
                <w14:textFill>
                  <w14:solidFill>
                    <w14:schemeClr w14:val="tx1"/>
                  </w14:solidFill>
                </w14:textFill>
              </w:rPr>
            </w:pPr>
          </w:p>
          <w:p w14:paraId="01A4030A">
            <w:pPr>
              <w:ind w:firstLine="480"/>
              <w:rPr>
                <w:color w:val="000000" w:themeColor="text1"/>
                <w14:textFill>
                  <w14:solidFill>
                    <w14:schemeClr w14:val="tx1"/>
                  </w14:solidFill>
                </w14:textFill>
              </w:rPr>
            </w:pPr>
          </w:p>
          <w:p w14:paraId="0C155341">
            <w:pPr>
              <w:pStyle w:val="31"/>
              <w:ind w:firstLine="480"/>
              <w:rPr>
                <w:color w:val="000000" w:themeColor="text1"/>
                <w14:textFill>
                  <w14:solidFill>
                    <w14:schemeClr w14:val="tx1"/>
                  </w14:solidFill>
                </w14:textFill>
              </w:rPr>
            </w:pPr>
          </w:p>
          <w:p w14:paraId="29279612">
            <w:pPr>
              <w:ind w:firstLine="480"/>
              <w:rPr>
                <w:color w:val="000000" w:themeColor="text1"/>
                <w14:textFill>
                  <w14:solidFill>
                    <w14:schemeClr w14:val="tx1"/>
                  </w14:solidFill>
                </w14:textFill>
              </w:rPr>
            </w:pPr>
          </w:p>
          <w:p w14:paraId="6EB4EB05">
            <w:pPr>
              <w:pStyle w:val="31"/>
              <w:ind w:firstLine="480"/>
              <w:rPr>
                <w:color w:val="000000" w:themeColor="text1"/>
                <w14:textFill>
                  <w14:solidFill>
                    <w14:schemeClr w14:val="tx1"/>
                  </w14:solidFill>
                </w14:textFill>
              </w:rPr>
            </w:pPr>
          </w:p>
          <w:p w14:paraId="2DA90309">
            <w:pPr>
              <w:ind w:firstLine="480"/>
              <w:rPr>
                <w:color w:val="000000" w:themeColor="text1"/>
                <w14:textFill>
                  <w14:solidFill>
                    <w14:schemeClr w14:val="tx1"/>
                  </w14:solidFill>
                </w14:textFill>
              </w:rPr>
            </w:pPr>
          </w:p>
          <w:p w14:paraId="47E634D4">
            <w:pPr>
              <w:pStyle w:val="31"/>
              <w:ind w:firstLine="480"/>
              <w:rPr>
                <w:color w:val="000000" w:themeColor="text1"/>
                <w14:textFill>
                  <w14:solidFill>
                    <w14:schemeClr w14:val="tx1"/>
                  </w14:solidFill>
                </w14:textFill>
              </w:rPr>
            </w:pPr>
          </w:p>
          <w:p w14:paraId="65858A92">
            <w:pPr>
              <w:ind w:firstLine="480"/>
              <w:rPr>
                <w:color w:val="000000" w:themeColor="text1"/>
                <w14:textFill>
                  <w14:solidFill>
                    <w14:schemeClr w14:val="tx1"/>
                  </w14:solidFill>
                </w14:textFill>
              </w:rPr>
            </w:pPr>
          </w:p>
          <w:p w14:paraId="4F21EFE9">
            <w:pPr>
              <w:pStyle w:val="31"/>
              <w:ind w:firstLine="480"/>
              <w:rPr>
                <w:color w:val="000000" w:themeColor="text1"/>
                <w14:textFill>
                  <w14:solidFill>
                    <w14:schemeClr w14:val="tx1"/>
                  </w14:solidFill>
                </w14:textFill>
              </w:rPr>
            </w:pPr>
          </w:p>
          <w:p w14:paraId="63FD948F">
            <w:pPr>
              <w:ind w:firstLine="480"/>
              <w:rPr>
                <w:color w:val="000000" w:themeColor="text1"/>
                <w14:textFill>
                  <w14:solidFill>
                    <w14:schemeClr w14:val="tx1"/>
                  </w14:solidFill>
                </w14:textFill>
              </w:rPr>
            </w:pPr>
          </w:p>
          <w:p w14:paraId="123926C4">
            <w:pPr>
              <w:pStyle w:val="31"/>
              <w:ind w:firstLine="480"/>
              <w:rPr>
                <w:color w:val="000000" w:themeColor="text1"/>
                <w14:textFill>
                  <w14:solidFill>
                    <w14:schemeClr w14:val="tx1"/>
                  </w14:solidFill>
                </w14:textFill>
              </w:rPr>
            </w:pPr>
          </w:p>
          <w:p w14:paraId="3590E780">
            <w:pPr>
              <w:ind w:firstLine="480"/>
              <w:rPr>
                <w:color w:val="000000" w:themeColor="text1"/>
                <w14:textFill>
                  <w14:solidFill>
                    <w14:schemeClr w14:val="tx1"/>
                  </w14:solidFill>
                </w14:textFill>
              </w:rPr>
            </w:pPr>
          </w:p>
          <w:p w14:paraId="130DD91E">
            <w:pPr>
              <w:pStyle w:val="31"/>
              <w:ind w:firstLine="480"/>
              <w:rPr>
                <w:color w:val="000000" w:themeColor="text1"/>
                <w14:textFill>
                  <w14:solidFill>
                    <w14:schemeClr w14:val="tx1"/>
                  </w14:solidFill>
                </w14:textFill>
              </w:rPr>
            </w:pPr>
          </w:p>
          <w:p w14:paraId="154F0F8B">
            <w:pPr>
              <w:pStyle w:val="143"/>
              <w:ind w:firstLine="0" w:firstLineChars="0"/>
              <w:rPr>
                <w:color w:val="000000" w:themeColor="text1"/>
                <w14:textFill>
                  <w14:solidFill>
                    <w14:schemeClr w14:val="tx1"/>
                  </w14:solidFill>
                </w14:textFill>
              </w:rPr>
            </w:pPr>
          </w:p>
        </w:tc>
      </w:tr>
    </w:tbl>
    <w:p w14:paraId="3DEE4D55">
      <w:pPr>
        <w:pStyle w:val="312"/>
        <w:keepNext/>
        <w:keepLines/>
        <w:pageBreakBefore/>
        <w:numPr>
          <w:ilvl w:val="0"/>
          <w:numId w:val="13"/>
        </w:numPr>
        <w:spacing w:line="240" w:lineRule="auto"/>
        <w:ind w:firstLineChars="0"/>
        <w:jc w:val="center"/>
        <w:outlineLvl w:val="0"/>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建设项目工程分析</w:t>
      </w:r>
    </w:p>
    <w:tbl>
      <w:tblPr>
        <w:tblStyle w:val="82"/>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7"/>
        <w:gridCol w:w="8699"/>
      </w:tblGrid>
      <w:tr w14:paraId="6DCFE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64" w:type="dxa"/>
            <w:vAlign w:val="center"/>
          </w:tcPr>
          <w:p w14:paraId="7A198693">
            <w:pPr>
              <w:ind w:firstLine="0" w:firstLineChars="0"/>
              <w:jc w:val="center"/>
              <w:rPr>
                <w:rFonts w:hint="eastAsia" w:asciiTheme="minorEastAsia" w:hAnsiTheme="minorEastAsia" w:eastAsiaTheme="minorEastAsia" w:cstheme="minorEastAsia"/>
                <w:b/>
                <w:bCs/>
                <w:color w:val="000000" w:themeColor="text1"/>
                <w:kern w:val="0"/>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Cs w:val="24"/>
                <w14:textFill>
                  <w14:solidFill>
                    <w14:schemeClr w14:val="tx1"/>
                  </w14:solidFill>
                </w14:textFill>
              </w:rPr>
              <w:t>建设内容</w:t>
            </w:r>
          </w:p>
        </w:tc>
        <w:tc>
          <w:tcPr>
            <w:tcW w:w="8522" w:type="dxa"/>
          </w:tcPr>
          <w:p w14:paraId="404CA74B">
            <w:pPr>
              <w:ind w:firstLine="482"/>
              <w:rPr>
                <w:rFonts w:eastAsiaTheme="minorEastAsia"/>
                <w:b/>
                <w:bCs/>
                <w:color w:val="000000" w:themeColor="text1"/>
                <w14:textFill>
                  <w14:solidFill>
                    <w14:schemeClr w14:val="tx1"/>
                  </w14:solidFill>
                </w14:textFill>
              </w:rPr>
            </w:pPr>
            <w:r>
              <w:rPr>
                <w:rFonts w:eastAsiaTheme="minorEastAsia"/>
                <w:b/>
                <w:bCs/>
                <w:color w:val="000000" w:themeColor="text1"/>
                <w14:textFill>
                  <w14:solidFill>
                    <w14:schemeClr w14:val="tx1"/>
                  </w14:solidFill>
                </w14:textFill>
              </w:rPr>
              <w:t>1.项目由来</w:t>
            </w:r>
          </w:p>
          <w:p w14:paraId="7540D753">
            <w:pPr>
              <w:widowControl w:val="0"/>
              <w:ind w:firstLine="480"/>
              <w:rPr>
                <w:rFonts w:hint="eastAsia" w:eastAsiaTheme="minorEastAsia"/>
                <w:color w:val="000000" w:themeColor="text1"/>
                <w:lang w:eastAsia="zh-CN"/>
                <w14:textFill>
                  <w14:solidFill>
                    <w14:schemeClr w14:val="tx1"/>
                  </w14:solidFill>
                </w14:textFill>
              </w:rPr>
            </w:pPr>
            <w:r>
              <w:rPr>
                <w:rFonts w:eastAsiaTheme="minorEastAsia"/>
                <w:color w:val="000000" w:themeColor="text1"/>
                <w14:textFill>
                  <w14:solidFill>
                    <w14:schemeClr w14:val="tx1"/>
                  </w14:solidFill>
                </w14:textFill>
              </w:rPr>
              <w:t>陕西汇荣禾能源环保科技有限公司成立于2021年05月10日</w:t>
            </w:r>
            <w:r>
              <w:rPr>
                <w:rFonts w:hint="eastAsia" w:eastAsiaTheme="minorEastAsia"/>
                <w:color w:val="000000" w:themeColor="text1"/>
                <w:lang w:eastAsia="zh-CN"/>
                <w14:textFill>
                  <w14:solidFill>
                    <w14:schemeClr w14:val="tx1"/>
                  </w14:solidFill>
                </w14:textFill>
              </w:rPr>
              <w:t>，</w:t>
            </w:r>
            <w:r>
              <w:rPr>
                <w:rFonts w:hint="eastAsia" w:eastAsiaTheme="minorEastAsia"/>
                <w:color w:val="000000" w:themeColor="text1"/>
                <w:lang w:val="en-US" w:eastAsia="zh-CN"/>
                <w14:textFill>
                  <w14:solidFill>
                    <w14:schemeClr w14:val="tx1"/>
                  </w14:solidFill>
                </w14:textFill>
              </w:rPr>
              <w:t>是一家固废处理企业</w:t>
            </w:r>
            <w:r>
              <w:rPr>
                <w:rFonts w:eastAsiaTheme="minorEastAsia"/>
                <w:color w:val="000000" w:themeColor="text1"/>
                <w14:textFill>
                  <w14:solidFill>
                    <w14:schemeClr w14:val="tx1"/>
                  </w14:solidFill>
                </w14:textFill>
              </w:rPr>
              <w:t>，2021年6月25日</w:t>
            </w:r>
            <w:r>
              <w:rPr>
                <w:rFonts w:hint="eastAsia" w:eastAsiaTheme="minorEastAsia"/>
                <w:color w:val="000000" w:themeColor="text1"/>
                <w:lang w:val="en-US" w:eastAsia="zh-CN"/>
                <w14:textFill>
                  <w14:solidFill>
                    <w14:schemeClr w14:val="tx1"/>
                  </w14:solidFill>
                </w14:textFill>
              </w:rPr>
              <w:t>公司取得了</w:t>
            </w:r>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14:textFill>
                  <w14:solidFill>
                    <w14:schemeClr w14:val="tx1"/>
                  </w14:solidFill>
                </w14:textFill>
              </w:rPr>
              <w:t>新建300万吨/年矿物固度煤矸石综合处置再利用项目</w:t>
            </w:r>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14:textFill>
                  <w14:solidFill>
                    <w14:schemeClr w14:val="tx1"/>
                  </w14:solidFill>
                </w14:textFill>
              </w:rPr>
              <w:t>备案确认书</w:t>
            </w:r>
            <w:r>
              <w:rPr>
                <w:rFonts w:hint="eastAsia" w:eastAsiaTheme="minorEastAsia"/>
                <w:color w:val="000000" w:themeColor="text1"/>
                <w:lang w:eastAsia="zh-CN"/>
                <w14:textFill>
                  <w14:solidFill>
                    <w14:schemeClr w14:val="tx1"/>
                  </w14:solidFill>
                </w14:textFill>
              </w:rPr>
              <w:t>，</w:t>
            </w:r>
            <w:r>
              <w:rPr>
                <w:rFonts w:hint="eastAsia" w:eastAsiaTheme="minorEastAsia"/>
                <w:color w:val="000000" w:themeColor="text1"/>
                <w:lang w:val="en-US" w:eastAsia="zh-CN"/>
                <w14:textFill>
                  <w14:solidFill>
                    <w14:schemeClr w14:val="tx1"/>
                  </w14:solidFill>
                </w14:textFill>
              </w:rPr>
              <w:t>拟建设</w:t>
            </w:r>
            <w:r>
              <w:rPr>
                <w:rFonts w:eastAsiaTheme="minorEastAsia"/>
                <w:color w:val="000000" w:themeColor="text1"/>
                <w14:textFill>
                  <w14:solidFill>
                    <w14:schemeClr w14:val="tx1"/>
                  </w14:solidFill>
                </w14:textFill>
              </w:rPr>
              <w:t>300万吨/年矿物固度煤矸石综合处置</w:t>
            </w:r>
            <w:r>
              <w:rPr>
                <w:rFonts w:hint="eastAsia" w:eastAsiaTheme="minorEastAsia"/>
                <w:color w:val="000000" w:themeColor="text1"/>
                <w:lang w:val="en-US" w:eastAsia="zh-CN"/>
                <w14:textFill>
                  <w14:solidFill>
                    <w14:schemeClr w14:val="tx1"/>
                  </w14:solidFill>
                </w14:textFill>
              </w:rPr>
              <w:t>系统</w:t>
            </w:r>
            <w:r>
              <w:rPr>
                <w:rFonts w:eastAsiaTheme="minorEastAsia"/>
                <w:color w:val="000000" w:themeColor="text1"/>
                <w14:textFill>
                  <w14:solidFill>
                    <w14:schemeClr w14:val="tx1"/>
                  </w14:solidFill>
                </w14:textFill>
              </w:rPr>
              <w:t>；2022年7月19日榆林市生态环境局榆阳分局以（榆区环发〔2022〕119号）</w:t>
            </w:r>
            <w:r>
              <w:rPr>
                <w:rFonts w:hint="eastAsia" w:eastAsiaTheme="minorEastAsia"/>
                <w:color w:val="000000" w:themeColor="text1"/>
                <w:lang w:val="en-US" w:eastAsia="zh-CN"/>
                <w14:textFill>
                  <w14:solidFill>
                    <w14:schemeClr w14:val="tx1"/>
                  </w14:solidFill>
                </w14:textFill>
              </w:rPr>
              <w:t>对该项目的</w:t>
            </w:r>
            <w:r>
              <w:rPr>
                <w:rFonts w:eastAsiaTheme="minorEastAsia"/>
                <w:color w:val="000000" w:themeColor="text1"/>
                <w14:textFill>
                  <w14:solidFill>
                    <w14:schemeClr w14:val="tx1"/>
                  </w14:solidFill>
                </w14:textFill>
              </w:rPr>
              <w:t>环境影响报告表</w:t>
            </w:r>
            <w:r>
              <w:rPr>
                <w:rFonts w:hint="eastAsia" w:eastAsiaTheme="minorEastAsia"/>
                <w:color w:val="000000" w:themeColor="text1"/>
                <w:lang w:val="en-US" w:eastAsia="zh-CN"/>
                <w14:textFill>
                  <w14:solidFill>
                    <w14:schemeClr w14:val="tx1"/>
                  </w14:solidFill>
                </w14:textFill>
              </w:rPr>
              <w:t>进行了批复</w:t>
            </w:r>
            <w:r>
              <w:rPr>
                <w:rFonts w:hint="eastAsia" w:eastAsiaTheme="minorEastAsia"/>
                <w:color w:val="000000" w:themeColor="text1"/>
                <w:lang w:eastAsia="zh-CN"/>
                <w14:textFill>
                  <w14:solidFill>
                    <w14:schemeClr w14:val="tx1"/>
                  </w14:solidFill>
                </w14:textFill>
              </w:rPr>
              <w:t>。</w:t>
            </w:r>
          </w:p>
          <w:p w14:paraId="57BAC5AE">
            <w:pPr>
              <w:widowControl w:val="0"/>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2022年9</w:t>
            </w:r>
            <w:r>
              <w:rPr>
                <w:rFonts w:hint="eastAsia" w:eastAsiaTheme="minorEastAsia"/>
                <w:color w:val="000000" w:themeColor="text1"/>
                <w:lang w:val="en-US" w:eastAsia="zh-CN"/>
                <w14:textFill>
                  <w14:solidFill>
                    <w14:schemeClr w14:val="tx1"/>
                  </w14:solidFill>
                </w14:textFill>
              </w:rPr>
              <w:t>月，公司</w:t>
            </w:r>
            <w:r>
              <w:rPr>
                <w:rFonts w:eastAsiaTheme="minorEastAsia"/>
                <w:color w:val="000000" w:themeColor="text1"/>
                <w14:textFill>
                  <w14:solidFill>
                    <w14:schemeClr w14:val="tx1"/>
                  </w14:solidFill>
                </w14:textFill>
              </w:rPr>
              <w:t>建设完成</w:t>
            </w:r>
            <w:r>
              <w:rPr>
                <w:rFonts w:hint="eastAsia" w:eastAsiaTheme="minorEastAsia"/>
                <w:color w:val="000000" w:themeColor="text1"/>
                <w:lang w:val="en-US" w:eastAsia="zh-CN"/>
                <w14:textFill>
                  <w14:solidFill>
                    <w14:schemeClr w14:val="tx1"/>
                  </w14:solidFill>
                </w14:textFill>
              </w:rPr>
              <w:t>该项目的建设</w:t>
            </w:r>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14:textFill>
                  <w14:solidFill>
                    <w14:schemeClr w14:val="tx1"/>
                  </w14:solidFill>
                </w14:textFill>
              </w:rPr>
              <w:t>通过自主环保验收。建设内容包括年产3000万块/年烧结砖</w:t>
            </w:r>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14:textFill>
                  <w14:solidFill>
                    <w14:schemeClr w14:val="tx1"/>
                  </w14:solidFill>
                </w14:textFill>
              </w:rPr>
              <w:t>折标砖</w:t>
            </w:r>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14:textFill>
                  <w14:solidFill>
                    <w14:schemeClr w14:val="tx1"/>
                  </w14:solidFill>
                </w14:textFill>
              </w:rPr>
              <w:t>生产线</w:t>
            </w:r>
            <w:r>
              <w:rPr>
                <w:rFonts w:hint="eastAsia" w:eastAsiaTheme="minorEastAsia"/>
                <w:color w:val="000000" w:themeColor="text1"/>
                <w:lang w:val="en-US" w:eastAsia="zh-CN"/>
                <w14:textFill>
                  <w14:solidFill>
                    <w14:schemeClr w14:val="tx1"/>
                  </w14:solidFill>
                </w14:textFill>
              </w:rPr>
              <w:t>2</w:t>
            </w:r>
            <w:r>
              <w:rPr>
                <w:rFonts w:eastAsiaTheme="minorEastAsia"/>
                <w:color w:val="000000" w:themeColor="text1"/>
                <w14:textFill>
                  <w14:solidFill>
                    <w14:schemeClr w14:val="tx1"/>
                  </w14:solidFill>
                </w14:textFill>
              </w:rPr>
              <w:t>条，免烧砖生产线</w:t>
            </w:r>
            <w:r>
              <w:rPr>
                <w:rFonts w:hint="eastAsia" w:eastAsiaTheme="minorEastAsia"/>
                <w:color w:val="000000" w:themeColor="text1"/>
                <w:lang w:val="en-US" w:eastAsia="zh-CN"/>
                <w14:textFill>
                  <w14:solidFill>
                    <w14:schemeClr w14:val="tx1"/>
                  </w14:solidFill>
                </w14:textFill>
              </w:rPr>
              <w:t>2</w:t>
            </w:r>
            <w:r>
              <w:rPr>
                <w:rFonts w:eastAsiaTheme="minorEastAsia"/>
                <w:color w:val="000000" w:themeColor="text1"/>
                <w14:textFill>
                  <w14:solidFill>
                    <w14:schemeClr w14:val="tx1"/>
                  </w14:solidFill>
                </w14:textFill>
              </w:rPr>
              <w:t>条，配套煤矸石洗选工段，烧结砖生产线及矸石洗选工段布置于东区，免烧砖生产线布置于西区。公司利用地理优势，从产废企业金鸡滩煤矿煤矸石仓直接建设皮带栈桥直达公司的原料棚，做到了点对点清洁处置，成为西北地区投资最大的固废处置再利用项目，大大改善了当地人居环境，</w:t>
            </w:r>
            <w:r>
              <w:rPr>
                <w:rFonts w:eastAsiaTheme="minorEastAsia"/>
                <w:color w:val="000000" w:themeColor="text1"/>
                <w:szCs w:val="24"/>
                <w14:textFill>
                  <w14:solidFill>
                    <w14:schemeClr w14:val="tx1"/>
                  </w14:solidFill>
                </w14:textFill>
              </w:rPr>
              <w:t>为当地经济发展做出了积极贡献。</w:t>
            </w:r>
          </w:p>
          <w:p w14:paraId="333E9175">
            <w:pPr>
              <w:widowControl w:val="0"/>
              <w:ind w:firstLine="480"/>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随着市场的变化市场对产品的需求发生了变化，为了迎合市场需求，陕西汇荣禾能源环保科技有限公司拟</w:t>
            </w:r>
            <w:r>
              <w:rPr>
                <w:rFonts w:hint="eastAsia" w:eastAsiaTheme="minorEastAsia"/>
                <w:color w:val="000000" w:themeColor="text1"/>
                <w:highlight w:val="none"/>
                <w:lang w:val="en-US" w:eastAsia="zh-CN"/>
                <w14:textFill>
                  <w14:solidFill>
                    <w14:schemeClr w14:val="tx1"/>
                  </w14:solidFill>
                </w14:textFill>
              </w:rPr>
              <w:t>对现有</w:t>
            </w:r>
            <w:r>
              <w:rPr>
                <w:rFonts w:hint="eastAsia" w:eastAsiaTheme="minorEastAsia"/>
                <w:color w:val="000000" w:themeColor="text1"/>
                <w:highlight w:val="none"/>
                <w:lang w:eastAsia="zh-CN"/>
                <w14:textFill>
                  <w14:solidFill>
                    <w14:schemeClr w14:val="tx1"/>
                  </w14:solidFill>
                </w14:textFill>
              </w:rPr>
              <w:t>300万吨/年矿物固废煤矸石综合处置再利用项目</w:t>
            </w:r>
            <w:r>
              <w:rPr>
                <w:rFonts w:hint="eastAsia" w:eastAsiaTheme="minorEastAsia"/>
                <w:color w:val="000000" w:themeColor="text1"/>
                <w:highlight w:val="none"/>
                <w:lang w:val="en-US" w:eastAsia="zh-CN"/>
                <w14:textFill>
                  <w14:solidFill>
                    <w14:schemeClr w14:val="tx1"/>
                  </w14:solidFill>
                </w14:textFill>
              </w:rPr>
              <w:t>进行</w:t>
            </w:r>
            <w:r>
              <w:rPr>
                <w:rFonts w:hint="eastAsia" w:eastAsiaTheme="minorEastAsia"/>
                <w:color w:val="000000" w:themeColor="text1"/>
                <w:highlight w:val="none"/>
                <w:lang w:eastAsia="zh-CN"/>
                <w14:textFill>
                  <w14:solidFill>
                    <w14:schemeClr w14:val="tx1"/>
                  </w14:solidFill>
                </w14:textFill>
              </w:rPr>
              <w:t>改建</w:t>
            </w:r>
            <w:r>
              <w:rPr>
                <w:rFonts w:eastAsiaTheme="minorEastAsia"/>
                <w:color w:val="000000" w:themeColor="text1"/>
                <w:highlight w:val="none"/>
                <w14:textFill>
                  <w14:solidFill>
                    <w14:schemeClr w14:val="tx1"/>
                  </w14:solidFill>
                </w14:textFill>
              </w:rPr>
              <w:t>，增加生产产品中烧结砖的比例，</w:t>
            </w:r>
            <w:r>
              <w:rPr>
                <w:rFonts w:hint="eastAsia" w:eastAsiaTheme="minorEastAsia"/>
                <w:color w:val="000000" w:themeColor="text1"/>
                <w:highlight w:val="none"/>
                <w:lang w:val="en-US" w:eastAsia="zh-CN"/>
                <w14:textFill>
                  <w14:solidFill>
                    <w14:schemeClr w14:val="tx1"/>
                  </w14:solidFill>
                </w14:textFill>
              </w:rPr>
              <w:t>降低产品中免烧砖的比例，拆除1条免烧砖生产线，</w:t>
            </w:r>
            <w:r>
              <w:rPr>
                <w:rFonts w:eastAsiaTheme="minorEastAsia"/>
                <w:color w:val="000000" w:themeColor="text1"/>
                <w:highlight w:val="none"/>
                <w14:textFill>
                  <w14:solidFill>
                    <w14:schemeClr w14:val="tx1"/>
                  </w14:solidFill>
                </w14:textFill>
              </w:rPr>
              <w:t>同时在厂房内增加1条机制砂生产线（年产量</w:t>
            </w:r>
            <w:r>
              <w:rPr>
                <w:rFonts w:hint="eastAsia" w:eastAsiaTheme="minorEastAsia"/>
                <w:color w:val="000000" w:themeColor="text1"/>
                <w:highlight w:val="none"/>
                <w:lang w:val="en-US" w:eastAsia="zh-CN"/>
                <w14:textFill>
                  <w14:solidFill>
                    <w14:schemeClr w14:val="tx1"/>
                  </w14:solidFill>
                </w14:textFill>
              </w:rPr>
              <w:t>25</w:t>
            </w:r>
            <w:r>
              <w:rPr>
                <w:rFonts w:eastAsiaTheme="minorEastAsia"/>
                <w:color w:val="000000" w:themeColor="text1"/>
                <w:highlight w:val="none"/>
                <w14:textFill>
                  <w14:solidFill>
                    <w14:schemeClr w14:val="tx1"/>
                  </w14:solidFill>
                </w14:textFill>
              </w:rPr>
              <w:t>万吨/年）</w:t>
            </w:r>
            <w:r>
              <w:rPr>
                <w:rFonts w:hint="eastAsia" w:eastAsiaTheme="minorEastAsia"/>
                <w:color w:val="000000" w:themeColor="text1"/>
                <w:highlight w:val="none"/>
                <w14:textFill>
                  <w14:solidFill>
                    <w14:schemeClr w14:val="tx1"/>
                  </w14:solidFill>
                </w14:textFill>
              </w:rPr>
              <w:t>，改建后固体废物处理</w:t>
            </w:r>
            <w:r>
              <w:rPr>
                <w:rFonts w:hint="eastAsia" w:eastAsiaTheme="minorEastAsia"/>
                <w:color w:val="000000" w:themeColor="text1"/>
                <w:highlight w:val="none"/>
                <w:lang w:val="en-US" w:eastAsia="zh-CN"/>
                <w14:textFill>
                  <w14:solidFill>
                    <w14:schemeClr w14:val="tx1"/>
                  </w14:solidFill>
                </w14:textFill>
              </w:rPr>
              <w:t>总量</w:t>
            </w:r>
            <w:r>
              <w:rPr>
                <w:rFonts w:hint="eastAsia" w:eastAsiaTheme="minorEastAsia"/>
                <w:color w:val="000000" w:themeColor="text1"/>
                <w:highlight w:val="none"/>
                <w14:textFill>
                  <w14:solidFill>
                    <w14:schemeClr w14:val="tx1"/>
                  </w14:solidFill>
                </w14:textFill>
              </w:rPr>
              <w:t>保持不变</w:t>
            </w:r>
            <w:r>
              <w:rPr>
                <w:rFonts w:eastAsiaTheme="minorEastAsia"/>
                <w:color w:val="000000" w:themeColor="text1"/>
                <w:highlight w:val="none"/>
                <w14:textFill>
                  <w14:solidFill>
                    <w14:schemeClr w14:val="tx1"/>
                  </w14:solidFill>
                </w14:textFill>
              </w:rPr>
              <w:t>。</w:t>
            </w:r>
          </w:p>
          <w:p w14:paraId="025F08E7">
            <w:pPr>
              <w:widowControl w:val="0"/>
              <w:ind w:firstLine="480"/>
              <w:rPr>
                <w:rFonts w:hint="default" w:ascii="Times New Roman" w:hAnsi="Times New Roman" w:cs="Times New Roman" w:eastAsiaTheme="minorEastAsia"/>
                <w:color w:val="000000" w:themeColor="text1"/>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本</w:t>
            </w:r>
            <w:r>
              <w:rPr>
                <w:rFonts w:hint="default" w:ascii="Times New Roman" w:hAnsi="Times New Roman" w:cs="Times New Roman" w:eastAsiaTheme="minorEastAsia"/>
                <w:color w:val="000000" w:themeColor="text1"/>
                <w:highlight w:val="none"/>
                <w14:textFill>
                  <w14:solidFill>
                    <w14:schemeClr w14:val="tx1"/>
                  </w14:solidFill>
                </w14:textFill>
              </w:rPr>
              <w:t>项目建成后全厂共有年产1</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highlight w:val="none"/>
                <w14:textFill>
                  <w14:solidFill>
                    <w14:schemeClr w14:val="tx1"/>
                  </w14:solidFill>
                </w14:textFill>
              </w:rPr>
              <w:t>亿块/年烧结砖（折标砖）</w:t>
            </w:r>
            <w:r>
              <w:rPr>
                <w:rFonts w:hint="default" w:ascii="Times New Roman" w:hAnsi="Times New Roman" w:cs="Times New Roman" w:eastAsiaTheme="minorEastAsia"/>
                <w:color w:val="000000" w:themeColor="text1"/>
                <w14:textFill>
                  <w14:solidFill>
                    <w14:schemeClr w14:val="tx1"/>
                  </w14:solidFill>
                </w14:textFill>
              </w:rPr>
              <w:t>生产线</w:t>
            </w:r>
            <w:r>
              <w:rPr>
                <w:rFonts w:hint="eastAsia" w:cs="Times New Roman" w:eastAsiaTheme="minorEastAsia"/>
                <w:color w:val="000000" w:themeColor="text1"/>
                <w:lang w:val="en-US" w:eastAsia="zh-CN"/>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条，免烧砖生产线</w:t>
            </w:r>
            <w:r>
              <w:rPr>
                <w:rFonts w:hint="eastAsia" w:cs="Times New Roman" w:eastAsiaTheme="minorEastAsia"/>
                <w:color w:val="000000" w:themeColor="text1"/>
                <w:lang w:val="en-US" w:eastAsia="zh-CN"/>
                <w14:textFill>
                  <w14:solidFill>
                    <w14:schemeClr w14:val="tx1"/>
                  </w14:solidFill>
                </w14:textFill>
              </w:rPr>
              <w:t>1</w:t>
            </w:r>
            <w:r>
              <w:rPr>
                <w:rFonts w:hint="default" w:ascii="Times New Roman" w:hAnsi="Times New Roman" w:cs="Times New Roman" w:eastAsiaTheme="minorEastAsia"/>
                <w:color w:val="000000" w:themeColor="text1"/>
                <w14:textFill>
                  <w14:solidFill>
                    <w14:schemeClr w14:val="tx1"/>
                  </w14:solidFill>
                </w14:textFill>
              </w:rPr>
              <w:t>条，机制砂生产线</w:t>
            </w:r>
            <w:r>
              <w:rPr>
                <w:rFonts w:hint="eastAsia" w:cs="Times New Roman" w:eastAsiaTheme="minorEastAsia"/>
                <w:color w:val="000000" w:themeColor="text1"/>
                <w:lang w:val="en-US" w:eastAsia="zh-CN"/>
                <w14:textFill>
                  <w14:solidFill>
                    <w14:schemeClr w14:val="tx1"/>
                  </w14:solidFill>
                </w14:textFill>
              </w:rPr>
              <w:t>1</w:t>
            </w:r>
            <w:r>
              <w:rPr>
                <w:rFonts w:hint="default" w:ascii="Times New Roman" w:hAnsi="Times New Roman" w:cs="Times New Roman" w:eastAsiaTheme="minorEastAsia"/>
                <w:color w:val="000000" w:themeColor="text1"/>
                <w14:textFill>
                  <w14:solidFill>
                    <w14:schemeClr w14:val="tx1"/>
                  </w14:solidFill>
                </w14:textFill>
              </w:rPr>
              <w:t>条，并</w:t>
            </w:r>
            <w:r>
              <w:rPr>
                <w:rFonts w:hint="eastAsia" w:cs="Times New Roman" w:eastAsiaTheme="minorEastAsia"/>
                <w:color w:val="000000" w:themeColor="text1"/>
                <w:lang w:val="en-US" w:eastAsia="zh-CN"/>
                <w14:textFill>
                  <w14:solidFill>
                    <w14:schemeClr w14:val="tx1"/>
                  </w14:solidFill>
                </w14:textFill>
              </w:rPr>
              <w:t>沿用现有</w:t>
            </w:r>
            <w:r>
              <w:rPr>
                <w:rFonts w:hint="default" w:ascii="Times New Roman" w:hAnsi="Times New Roman" w:cs="Times New Roman" w:eastAsiaTheme="minorEastAsia"/>
                <w:color w:val="000000" w:themeColor="text1"/>
                <w14:textFill>
                  <w14:solidFill>
                    <w14:schemeClr w14:val="tx1"/>
                  </w14:solidFill>
                </w14:textFill>
              </w:rPr>
              <w:t>煤矸石洗选工段。</w:t>
            </w:r>
          </w:p>
          <w:p w14:paraId="12E53FC4">
            <w:pPr>
              <w:ind w:firstLine="482"/>
              <w:rPr>
                <w:rFonts w:hint="default" w:ascii="Times New Roman" w:hAnsi="Times New Roman" w:cs="Times New Roman" w:eastAsiaTheme="minorEastAsia"/>
                <w:b/>
                <w:bCs/>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14:textFill>
                  <w14:solidFill>
                    <w14:schemeClr w14:val="tx1"/>
                  </w14:solidFill>
                </w14:textFill>
              </w:rPr>
              <w:t>2.项目组成及建设内容</w:t>
            </w:r>
          </w:p>
          <w:p w14:paraId="7FCBFE5F">
            <w:pPr>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本次利用企业烧结砖、免烧砖生产线现有车间、原料棚及水、电等设施，调整烧结砖及免烧砖生产线产能</w:t>
            </w:r>
            <w:r>
              <w:rPr>
                <w:rFonts w:hint="default"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拆除1条免烧砖生产线，</w:t>
            </w:r>
            <w:r>
              <w:rPr>
                <w:rFonts w:hint="default" w:ascii="Times New Roman" w:hAnsi="Times New Roman" w:cs="Times New Roman" w:eastAsiaTheme="minorEastAsia"/>
                <w:color w:val="000000" w:themeColor="text1"/>
                <w14:textFill>
                  <w14:solidFill>
                    <w14:schemeClr w14:val="tx1"/>
                  </w14:solidFill>
                </w14:textFill>
              </w:rPr>
              <w:t>并</w:t>
            </w:r>
            <w:r>
              <w:rPr>
                <w:rFonts w:hint="default" w:ascii="Times New Roman" w:hAnsi="Times New Roman" w:cs="Times New Roman" w:eastAsiaTheme="minorEastAsia"/>
                <w:color w:val="000000" w:themeColor="text1"/>
                <w:szCs w:val="20"/>
                <w14:textFill>
                  <w14:solidFill>
                    <w14:schemeClr w14:val="tx1"/>
                  </w14:solidFill>
                </w14:textFill>
              </w:rPr>
              <w:t>新置机制砂生产设备</w:t>
            </w:r>
            <w:r>
              <w:rPr>
                <w:rFonts w:hint="default" w:ascii="Times New Roman" w:hAnsi="Times New Roman" w:cs="Times New Roman" w:eastAsiaTheme="minorEastAsia"/>
                <w:color w:val="000000" w:themeColor="text1"/>
                <w14:textFill>
                  <w14:solidFill>
                    <w14:schemeClr w14:val="tx1"/>
                  </w14:solidFill>
                </w14:textFill>
              </w:rPr>
              <w:t>在烧结砖生产线粉碎车间内新增1条机制砂生产线。项目组成一览表如下。</w:t>
            </w:r>
          </w:p>
          <w:p w14:paraId="4FEA6DE2">
            <w:pPr>
              <w:pStyle w:val="312"/>
              <w:widowControl w:val="0"/>
              <w:numPr>
                <w:ilvl w:val="0"/>
                <w:numId w:val="14"/>
              </w:numPr>
              <w:spacing w:line="240" w:lineRule="auto"/>
              <w:ind w:left="-2" w:firstLine="482" w:firstLineChars="0"/>
              <w:rPr>
                <w:rFonts w:hint="eastAsia" w:asciiTheme="minorEastAsia" w:hAnsiTheme="minorEastAsia" w:eastAsiaTheme="minorEastAsia" w:cstheme="minorEastAsia"/>
                <w:b/>
                <w:color w:val="000000" w:themeColor="text1"/>
                <w:szCs w:val="20"/>
                <w14:textFill>
                  <w14:solidFill>
                    <w14:schemeClr w14:val="tx1"/>
                  </w14:solidFill>
                </w14:textFill>
              </w:rPr>
            </w:pPr>
            <w:r>
              <w:rPr>
                <w:rFonts w:hint="eastAsia" w:asciiTheme="minorEastAsia" w:hAnsiTheme="minorEastAsia" w:eastAsiaTheme="minorEastAsia" w:cstheme="minorEastAsia"/>
                <w:b/>
                <w:color w:val="000000" w:themeColor="text1"/>
                <w:szCs w:val="20"/>
                <w14:textFill>
                  <w14:solidFill>
                    <w14:schemeClr w14:val="tx1"/>
                  </w14:solidFill>
                </w14:textFill>
              </w:rPr>
              <w:t xml:space="preserve">                     项目组成表</w:t>
            </w:r>
          </w:p>
          <w:tbl>
            <w:tblPr>
              <w:tblStyle w:val="82"/>
              <w:tblW w:w="498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67"/>
              <w:gridCol w:w="666"/>
              <w:gridCol w:w="1045"/>
              <w:gridCol w:w="801"/>
              <w:gridCol w:w="4113"/>
              <w:gridCol w:w="948"/>
              <w:gridCol w:w="9"/>
            </w:tblGrid>
            <w:tr w14:paraId="486B8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tcBorders>
                    <w:tl2br w:val="nil"/>
                    <w:tr2bl w:val="nil"/>
                  </w:tcBorders>
                  <w:vAlign w:val="center"/>
                </w:tcPr>
                <w:p w14:paraId="6F865C2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类别</w:t>
                  </w:r>
                </w:p>
              </w:tc>
              <w:tc>
                <w:tcPr>
                  <w:tcW w:w="1012" w:type="pct"/>
                  <w:gridSpan w:val="2"/>
                  <w:tcBorders>
                    <w:tl2br w:val="nil"/>
                    <w:tr2bl w:val="nil"/>
                  </w:tcBorders>
                  <w:vAlign w:val="center"/>
                </w:tcPr>
                <w:p w14:paraId="108B2BD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项目名称</w:t>
                  </w:r>
                </w:p>
              </w:tc>
              <w:tc>
                <w:tcPr>
                  <w:tcW w:w="2907" w:type="pct"/>
                  <w:gridSpan w:val="2"/>
                  <w:tcBorders>
                    <w:tl2br w:val="nil"/>
                    <w:tr2bl w:val="nil"/>
                  </w:tcBorders>
                  <w:vAlign w:val="center"/>
                </w:tcPr>
                <w:p w14:paraId="461D12B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建设内容</w:t>
                  </w:r>
                </w:p>
              </w:tc>
              <w:tc>
                <w:tcPr>
                  <w:tcW w:w="561" w:type="pct"/>
                  <w:tcBorders>
                    <w:tl2br w:val="nil"/>
                    <w:tr2bl w:val="nil"/>
                  </w:tcBorders>
                  <w:vAlign w:val="center"/>
                </w:tcPr>
                <w:p w14:paraId="646316B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备注</w:t>
                  </w:r>
                </w:p>
              </w:tc>
            </w:tr>
            <w:tr w14:paraId="656B0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restart"/>
                  <w:tcBorders>
                    <w:tl2br w:val="nil"/>
                    <w:tr2bl w:val="nil"/>
                  </w:tcBorders>
                  <w:vAlign w:val="center"/>
                </w:tcPr>
                <w:p w14:paraId="60DF141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主体</w:t>
                  </w:r>
                </w:p>
                <w:p w14:paraId="691256F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工程</w:t>
                  </w:r>
                </w:p>
              </w:tc>
              <w:tc>
                <w:tcPr>
                  <w:tcW w:w="394" w:type="pct"/>
                  <w:vMerge w:val="restart"/>
                  <w:tcBorders>
                    <w:tl2br w:val="nil"/>
                    <w:tr2bl w:val="nil"/>
                  </w:tcBorders>
                  <w:vAlign w:val="center"/>
                </w:tcPr>
                <w:p w14:paraId="7F9E82A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洗矸工段</w:t>
                  </w:r>
                </w:p>
              </w:tc>
              <w:tc>
                <w:tcPr>
                  <w:tcW w:w="617" w:type="pct"/>
                  <w:tcBorders>
                    <w:tl2br w:val="nil"/>
                    <w:tr2bl w:val="nil"/>
                  </w:tcBorders>
                  <w:vAlign w:val="center"/>
                </w:tcPr>
                <w:p w14:paraId="7F06A9A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筛分破</w:t>
                  </w:r>
                </w:p>
                <w:p w14:paraId="3DA7C1B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碎车间</w:t>
                  </w:r>
                </w:p>
              </w:tc>
              <w:tc>
                <w:tcPr>
                  <w:tcW w:w="2907" w:type="pct"/>
                  <w:gridSpan w:val="2"/>
                  <w:tcBorders>
                    <w:tl2br w:val="nil"/>
                    <w:tr2bl w:val="nil"/>
                  </w:tcBorders>
                  <w:vAlign w:val="center"/>
                </w:tcPr>
                <w:p w14:paraId="67C0478D">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1座，建筑面积为5760m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（60m×96m）彩钢板全封闭结构，用于煤矸石及洗选矸石的破碎和筛分；设置破碎机、筛分机、给料机、密闭输送廊道、皮带输送机等，库顶部设通风口，底部基础硬化采用钢筋混凝土</w:t>
                  </w:r>
                </w:p>
              </w:tc>
              <w:tc>
                <w:tcPr>
                  <w:tcW w:w="561" w:type="pct"/>
                  <w:tcBorders>
                    <w:tl2br w:val="nil"/>
                    <w:tr2bl w:val="nil"/>
                  </w:tcBorders>
                  <w:vAlign w:val="center"/>
                </w:tcPr>
                <w:p w14:paraId="5685C88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000DA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678" w:hRule="atLeast"/>
                <w:jc w:val="center"/>
              </w:trPr>
              <w:tc>
                <w:tcPr>
                  <w:tcW w:w="513" w:type="pct"/>
                  <w:vMerge w:val="continue"/>
                  <w:tcBorders>
                    <w:tl2br w:val="nil"/>
                    <w:tr2bl w:val="nil"/>
                  </w:tcBorders>
                  <w:vAlign w:val="center"/>
                </w:tcPr>
                <w:p w14:paraId="551A85D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758CF09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3AF734F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洗选车间</w:t>
                  </w:r>
                </w:p>
              </w:tc>
              <w:tc>
                <w:tcPr>
                  <w:tcW w:w="2907" w:type="pct"/>
                  <w:gridSpan w:val="2"/>
                  <w:tcBorders>
                    <w:tl2br w:val="nil"/>
                    <w:tr2bl w:val="nil"/>
                  </w:tcBorders>
                  <w:vAlign w:val="center"/>
                </w:tcPr>
                <w:p w14:paraId="38B6B1BB">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1座，建筑面积为8370m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（90m×93m）彩钢板封闭结构，主要设置跳汰机弧形筛末煤筛、离心机、浓缩池2座（一座为2500m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，另外一座为1200m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）2500m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的浓缩池备用、压滤机等，用于煤矸石洗选，设置密闭廊道，输送劣质煤、矸石与煤泥至对应车间</w:t>
                  </w:r>
                </w:p>
              </w:tc>
              <w:tc>
                <w:tcPr>
                  <w:tcW w:w="561" w:type="pct"/>
                  <w:tcBorders>
                    <w:tl2br w:val="nil"/>
                    <w:tr2bl w:val="nil"/>
                  </w:tcBorders>
                  <w:vAlign w:val="center"/>
                </w:tcPr>
                <w:p w14:paraId="53CD24E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71364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678" w:hRule="atLeast"/>
                <w:jc w:val="center"/>
              </w:trPr>
              <w:tc>
                <w:tcPr>
                  <w:tcW w:w="513" w:type="pct"/>
                  <w:vMerge w:val="continue"/>
                  <w:tcBorders>
                    <w:tl2br w:val="nil"/>
                    <w:tr2bl w:val="nil"/>
                  </w:tcBorders>
                  <w:vAlign w:val="center"/>
                </w:tcPr>
                <w:p w14:paraId="26D373D1">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restart"/>
                  <w:tcBorders>
                    <w:tl2br w:val="nil"/>
                    <w:tr2bl w:val="nil"/>
                  </w:tcBorders>
                  <w:vAlign w:val="center"/>
                </w:tcPr>
                <w:p w14:paraId="190EE62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制砖备料工段</w:t>
                  </w:r>
                </w:p>
              </w:tc>
              <w:tc>
                <w:tcPr>
                  <w:tcW w:w="617" w:type="pct"/>
                  <w:tcBorders>
                    <w:tl2br w:val="nil"/>
                    <w:tr2bl w:val="nil"/>
                  </w:tcBorders>
                  <w:vAlign w:val="center"/>
                </w:tcPr>
                <w:p w14:paraId="6BA13E3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制砖</w:t>
                  </w:r>
                </w:p>
                <w:p w14:paraId="23DD879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破碎车间</w:t>
                  </w:r>
                </w:p>
              </w:tc>
              <w:tc>
                <w:tcPr>
                  <w:tcW w:w="2907" w:type="pct"/>
                  <w:gridSpan w:val="2"/>
                  <w:tcBorders>
                    <w:tl2br w:val="nil"/>
                    <w:tr2bl w:val="nil"/>
                  </w:tcBorders>
                  <w:vAlign w:val="center"/>
                </w:tcPr>
                <w:p w14:paraId="04A7BF8B">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1座，建筑面积为5280m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（60m×88m）彩钢板全封闭结构，用于烧结砖、免烧砖矸石破碎；设置破碎机、滚筛等</w:t>
                  </w:r>
                </w:p>
              </w:tc>
              <w:tc>
                <w:tcPr>
                  <w:tcW w:w="561" w:type="pct"/>
                  <w:tcBorders>
                    <w:tl2br w:val="nil"/>
                    <w:tr2bl w:val="nil"/>
                  </w:tcBorders>
                  <w:vAlign w:val="center"/>
                </w:tcPr>
                <w:p w14:paraId="326BEB7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3446E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678" w:hRule="atLeast"/>
                <w:jc w:val="center"/>
              </w:trPr>
              <w:tc>
                <w:tcPr>
                  <w:tcW w:w="513" w:type="pct"/>
                  <w:vMerge w:val="continue"/>
                  <w:tcBorders>
                    <w:tl2br w:val="nil"/>
                    <w:tr2bl w:val="nil"/>
                  </w:tcBorders>
                  <w:vAlign w:val="center"/>
                </w:tcPr>
                <w:p w14:paraId="49BDC49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102C8BE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17FF369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机制砂</w:t>
                  </w:r>
                </w:p>
                <w:p w14:paraId="34DD2DD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生产线</w:t>
                  </w:r>
                </w:p>
              </w:tc>
              <w:tc>
                <w:tcPr>
                  <w:tcW w:w="2907" w:type="pct"/>
                  <w:gridSpan w:val="2"/>
                  <w:tcBorders>
                    <w:tl2br w:val="nil"/>
                    <w:tr2bl w:val="nil"/>
                  </w:tcBorders>
                  <w:vAlign w:val="center"/>
                </w:tcPr>
                <w:p w14:paraId="24358BA5">
                  <w:pPr>
                    <w:widowControl w:val="0"/>
                    <w:adjustRightInd/>
                    <w:snapToGrid/>
                    <w:spacing w:line="240" w:lineRule="auto"/>
                    <w:ind w:firstLine="0" w:firstLineChars="0"/>
                    <w:jc w:val="left"/>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新增1条机制砂生产线，</w:t>
                  </w:r>
                  <w:r>
                    <w:rPr>
                      <w:rFonts w:eastAsiaTheme="minorEastAsia"/>
                      <w:color w:val="000000" w:themeColor="text1"/>
                      <w:sz w:val="21"/>
                      <w:szCs w:val="21"/>
                      <w14:textFill>
                        <w14:solidFill>
                          <w14:schemeClr w14:val="tx1"/>
                        </w14:solidFill>
                      </w14:textFill>
                    </w:rPr>
                    <w:t>机制砂生产线设备置于烧结砖生产线粉碎车间</w:t>
                  </w:r>
                </w:p>
              </w:tc>
              <w:tc>
                <w:tcPr>
                  <w:tcW w:w="561" w:type="pct"/>
                  <w:tcBorders>
                    <w:tl2br w:val="nil"/>
                    <w:tr2bl w:val="nil"/>
                  </w:tcBorders>
                  <w:vAlign w:val="center"/>
                </w:tcPr>
                <w:p w14:paraId="353B054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新建</w:t>
                  </w:r>
                </w:p>
              </w:tc>
            </w:tr>
            <w:tr w14:paraId="178ED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670" w:hRule="atLeast"/>
                <w:jc w:val="center"/>
              </w:trPr>
              <w:tc>
                <w:tcPr>
                  <w:tcW w:w="513" w:type="pct"/>
                  <w:vMerge w:val="continue"/>
                  <w:tcBorders>
                    <w:tl2br w:val="nil"/>
                    <w:tr2bl w:val="nil"/>
                  </w:tcBorders>
                  <w:vAlign w:val="center"/>
                </w:tcPr>
                <w:p w14:paraId="1FC97F9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restart"/>
                  <w:tcBorders>
                    <w:tl2br w:val="nil"/>
                    <w:tr2bl w:val="nil"/>
                  </w:tcBorders>
                  <w:vAlign w:val="center"/>
                </w:tcPr>
                <w:p w14:paraId="1030750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烧结砖生产工段</w:t>
                  </w:r>
                </w:p>
              </w:tc>
              <w:tc>
                <w:tcPr>
                  <w:tcW w:w="617" w:type="pct"/>
                  <w:tcBorders>
                    <w:tl2br w:val="nil"/>
                    <w:tr2bl w:val="nil"/>
                  </w:tcBorders>
                  <w:vAlign w:val="center"/>
                </w:tcPr>
                <w:p w14:paraId="2E05AD9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陈化库</w:t>
                  </w:r>
                </w:p>
              </w:tc>
              <w:tc>
                <w:tcPr>
                  <w:tcW w:w="2907" w:type="pct"/>
                  <w:gridSpan w:val="2"/>
                  <w:tcBorders>
                    <w:tl2br w:val="nil"/>
                    <w:tr2bl w:val="nil"/>
                  </w:tcBorders>
                  <w:vAlign w:val="center"/>
                </w:tcPr>
                <w:p w14:paraId="2AE02D01">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2座，每座建筑面积为1800m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（30m×60m）彩钢板封闭结构，布置搅拌机等，破碎筛分后的原料加水搅拌后陈化堆存</w:t>
                  </w:r>
                </w:p>
              </w:tc>
              <w:tc>
                <w:tcPr>
                  <w:tcW w:w="561" w:type="pct"/>
                  <w:tcBorders>
                    <w:tl2br w:val="nil"/>
                    <w:tr2bl w:val="nil"/>
                  </w:tcBorders>
                  <w:vAlign w:val="center"/>
                </w:tcPr>
                <w:p w14:paraId="752B41F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0373C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802" w:hRule="atLeast"/>
                <w:jc w:val="center"/>
              </w:trPr>
              <w:tc>
                <w:tcPr>
                  <w:tcW w:w="513" w:type="pct"/>
                  <w:vMerge w:val="continue"/>
                  <w:tcBorders>
                    <w:tl2br w:val="nil"/>
                    <w:tr2bl w:val="nil"/>
                  </w:tcBorders>
                  <w:vAlign w:val="center"/>
                </w:tcPr>
                <w:p w14:paraId="5E40C09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75297AC1">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535741C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移动式</w:t>
                  </w:r>
                </w:p>
                <w:p w14:paraId="5582B53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隧道窑</w:t>
                  </w:r>
                </w:p>
              </w:tc>
              <w:tc>
                <w:tcPr>
                  <w:tcW w:w="2907" w:type="pct"/>
                  <w:gridSpan w:val="2"/>
                  <w:tcBorders>
                    <w:tl2br w:val="nil"/>
                    <w:tr2bl w:val="nil"/>
                  </w:tcBorders>
                  <w:vAlign w:val="center"/>
                </w:tcPr>
                <w:p w14:paraId="126F2E51">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断面为12.98m移动隧道窑2座，圆形轻钢结构车间2座，内设旋转型隧道窑用于砖坯烘干和烧结</w:t>
                  </w:r>
                </w:p>
              </w:tc>
              <w:tc>
                <w:tcPr>
                  <w:tcW w:w="561" w:type="pct"/>
                  <w:tcBorders>
                    <w:tl2br w:val="nil"/>
                    <w:tr2bl w:val="nil"/>
                  </w:tcBorders>
                  <w:vAlign w:val="center"/>
                </w:tcPr>
                <w:p w14:paraId="4E508E6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71C08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802" w:hRule="atLeast"/>
                <w:jc w:val="center"/>
              </w:trPr>
              <w:tc>
                <w:tcPr>
                  <w:tcW w:w="513" w:type="pct"/>
                  <w:vMerge w:val="continue"/>
                  <w:tcBorders>
                    <w:tl2br w:val="nil"/>
                    <w:tr2bl w:val="nil"/>
                  </w:tcBorders>
                  <w:vAlign w:val="center"/>
                </w:tcPr>
                <w:p w14:paraId="0BF2FF1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042FB82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免烧砖</w:t>
                  </w:r>
                </w:p>
                <w:p w14:paraId="35B91BA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生产车间</w:t>
                  </w:r>
                </w:p>
              </w:tc>
              <w:tc>
                <w:tcPr>
                  <w:tcW w:w="2907" w:type="pct"/>
                  <w:gridSpan w:val="2"/>
                  <w:tcBorders>
                    <w:tl2br w:val="nil"/>
                    <w:tr2bl w:val="nil"/>
                  </w:tcBorders>
                  <w:vAlign w:val="center"/>
                </w:tcPr>
                <w:p w14:paraId="196744FE">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占地面积约4320m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（36m×120m），钢材结构置，配料机、搅拌机、制砖机以及其他配套生产设备</w:t>
                  </w:r>
                </w:p>
                <w:p w14:paraId="1A579436">
                  <w:pPr>
                    <w:widowControl w:val="0"/>
                    <w:adjustRightInd/>
                    <w:snapToGrid/>
                    <w:spacing w:line="240" w:lineRule="auto"/>
                    <w:ind w:firstLine="0" w:firstLineChars="0"/>
                    <w:rPr>
                      <w:rFonts w:hint="default" w:eastAsia="宋体"/>
                      <w:color w:val="000000" w:themeColor="text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目前共有免烧砖生产线2条，本项目拆除其中的1条</w:t>
                  </w:r>
                </w:p>
              </w:tc>
              <w:tc>
                <w:tcPr>
                  <w:tcW w:w="561" w:type="pct"/>
                  <w:tcBorders>
                    <w:tl2br w:val="nil"/>
                    <w:tr2bl w:val="nil"/>
                  </w:tcBorders>
                  <w:vAlign w:val="center"/>
                </w:tcPr>
                <w:p w14:paraId="29CE7DE5">
                  <w:pPr>
                    <w:widowControl w:val="0"/>
                    <w:adjustRightInd/>
                    <w:snapToGrid/>
                    <w:spacing w:line="240" w:lineRule="auto"/>
                    <w:ind w:firstLine="0" w:firstLineChars="0"/>
                    <w:jc w:val="center"/>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拆除1条免烧砖生产线</w:t>
                  </w:r>
                </w:p>
              </w:tc>
            </w:tr>
            <w:tr w14:paraId="6EEB7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531" w:hRule="atLeast"/>
                <w:jc w:val="center"/>
              </w:trPr>
              <w:tc>
                <w:tcPr>
                  <w:tcW w:w="513" w:type="pct"/>
                  <w:vMerge w:val="restart"/>
                  <w:tcBorders>
                    <w:tl2br w:val="nil"/>
                    <w:tr2bl w:val="nil"/>
                  </w:tcBorders>
                  <w:vAlign w:val="center"/>
                </w:tcPr>
                <w:p w14:paraId="02273DA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辅助</w:t>
                  </w:r>
                </w:p>
                <w:p w14:paraId="3675430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工程</w:t>
                  </w:r>
                </w:p>
              </w:tc>
              <w:tc>
                <w:tcPr>
                  <w:tcW w:w="1012" w:type="pct"/>
                  <w:gridSpan w:val="2"/>
                  <w:tcBorders>
                    <w:tl2br w:val="nil"/>
                    <w:tr2bl w:val="nil"/>
                  </w:tcBorders>
                  <w:vAlign w:val="center"/>
                </w:tcPr>
                <w:p w14:paraId="4B9A2E9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原矸棚</w:t>
                  </w:r>
                </w:p>
              </w:tc>
              <w:tc>
                <w:tcPr>
                  <w:tcW w:w="2907" w:type="pct"/>
                  <w:gridSpan w:val="2"/>
                  <w:tcBorders>
                    <w:tl2br w:val="nil"/>
                    <w:tr2bl w:val="nil"/>
                  </w:tcBorders>
                  <w:vAlign w:val="center"/>
                </w:tcPr>
                <w:p w14:paraId="74F9C0F9">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建筑面积5760m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（60m×96m）彩钢板全封闭结构，用于原料煤矸石储存</w:t>
                  </w:r>
                </w:p>
              </w:tc>
              <w:tc>
                <w:tcPr>
                  <w:tcW w:w="561" w:type="pct"/>
                  <w:tcBorders>
                    <w:tl2br w:val="nil"/>
                    <w:tr2bl w:val="nil"/>
                  </w:tcBorders>
                  <w:vAlign w:val="center"/>
                </w:tcPr>
                <w:p w14:paraId="2C6D0F2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252FD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79" w:hRule="atLeast"/>
                <w:jc w:val="center"/>
              </w:trPr>
              <w:tc>
                <w:tcPr>
                  <w:tcW w:w="513" w:type="pct"/>
                  <w:vMerge w:val="continue"/>
                  <w:tcBorders>
                    <w:tl2br w:val="nil"/>
                    <w:tr2bl w:val="nil"/>
                  </w:tcBorders>
                  <w:vAlign w:val="center"/>
                </w:tcPr>
                <w:p w14:paraId="5A5D009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3CEDBCE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尾矸棚</w:t>
                  </w:r>
                </w:p>
              </w:tc>
              <w:tc>
                <w:tcPr>
                  <w:tcW w:w="2907" w:type="pct"/>
                  <w:gridSpan w:val="2"/>
                  <w:tcBorders>
                    <w:tl2br w:val="nil"/>
                    <w:tr2bl w:val="nil"/>
                  </w:tcBorders>
                  <w:vAlign w:val="center"/>
                </w:tcPr>
                <w:p w14:paraId="0774243D">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建筑面积5280m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（88m×60m）彩钢板全封闭结构，用于洗选出来的矸石储存</w:t>
                  </w:r>
                </w:p>
              </w:tc>
              <w:tc>
                <w:tcPr>
                  <w:tcW w:w="561" w:type="pct"/>
                  <w:tcBorders>
                    <w:tl2br w:val="nil"/>
                    <w:tr2bl w:val="nil"/>
                  </w:tcBorders>
                  <w:vAlign w:val="center"/>
                </w:tcPr>
                <w:p w14:paraId="0D9EEE7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34900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79" w:hRule="atLeast"/>
                <w:jc w:val="center"/>
              </w:trPr>
              <w:tc>
                <w:tcPr>
                  <w:tcW w:w="513" w:type="pct"/>
                  <w:vMerge w:val="continue"/>
                  <w:tcBorders>
                    <w:tl2br w:val="nil"/>
                    <w:tr2bl w:val="nil"/>
                  </w:tcBorders>
                  <w:vAlign w:val="center"/>
                </w:tcPr>
                <w:p w14:paraId="37A39EB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1B0C157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尾泥棚</w:t>
                  </w:r>
                </w:p>
              </w:tc>
              <w:tc>
                <w:tcPr>
                  <w:tcW w:w="2907" w:type="pct"/>
                  <w:gridSpan w:val="2"/>
                  <w:tcBorders>
                    <w:tl2br w:val="nil"/>
                    <w:tr2bl w:val="nil"/>
                  </w:tcBorders>
                  <w:vAlign w:val="center"/>
                </w:tcPr>
                <w:p w14:paraId="39A13BCB">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建筑面积4416m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（88.32m×50m）彩钢板全封闭结构，用于洗选出来的煤泥储存</w:t>
                  </w:r>
                </w:p>
              </w:tc>
              <w:tc>
                <w:tcPr>
                  <w:tcW w:w="561" w:type="pct"/>
                  <w:tcBorders>
                    <w:tl2br w:val="nil"/>
                    <w:tr2bl w:val="nil"/>
                  </w:tcBorders>
                  <w:vAlign w:val="center"/>
                </w:tcPr>
                <w:p w14:paraId="797FBD5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6D103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67" w:hRule="atLeast"/>
                <w:jc w:val="center"/>
              </w:trPr>
              <w:tc>
                <w:tcPr>
                  <w:tcW w:w="513" w:type="pct"/>
                  <w:vMerge w:val="continue"/>
                  <w:tcBorders>
                    <w:tl2br w:val="nil"/>
                    <w:tr2bl w:val="nil"/>
                  </w:tcBorders>
                  <w:vAlign w:val="center"/>
                </w:tcPr>
                <w:p w14:paraId="138479E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5C467A1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劣质煤棚</w:t>
                  </w:r>
                </w:p>
              </w:tc>
              <w:tc>
                <w:tcPr>
                  <w:tcW w:w="2907" w:type="pct"/>
                  <w:gridSpan w:val="2"/>
                  <w:tcBorders>
                    <w:tl2br w:val="nil"/>
                    <w:tr2bl w:val="nil"/>
                  </w:tcBorders>
                  <w:vAlign w:val="center"/>
                </w:tcPr>
                <w:p w14:paraId="16C7EF3A">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建筑面积4800m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（80m×60m）彩钢板全封闭结构，用于洗选出来的劣质煤储存</w:t>
                  </w:r>
                </w:p>
              </w:tc>
              <w:tc>
                <w:tcPr>
                  <w:tcW w:w="561" w:type="pct"/>
                  <w:tcBorders>
                    <w:tl2br w:val="nil"/>
                    <w:tr2bl w:val="nil"/>
                  </w:tcBorders>
                  <w:vAlign w:val="center"/>
                </w:tcPr>
                <w:p w14:paraId="0F31302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7E118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67" w:hRule="atLeast"/>
                <w:jc w:val="center"/>
              </w:trPr>
              <w:tc>
                <w:tcPr>
                  <w:tcW w:w="513" w:type="pct"/>
                  <w:vMerge w:val="continue"/>
                  <w:tcBorders>
                    <w:tl2br w:val="nil"/>
                    <w:tr2bl w:val="nil"/>
                  </w:tcBorders>
                  <w:vAlign w:val="center"/>
                </w:tcPr>
                <w:p w14:paraId="21B4929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2769AD6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水泥筒仓</w:t>
                  </w:r>
                </w:p>
              </w:tc>
              <w:tc>
                <w:tcPr>
                  <w:tcW w:w="2907" w:type="pct"/>
                  <w:gridSpan w:val="2"/>
                  <w:tcBorders>
                    <w:tl2br w:val="nil"/>
                    <w:tr2bl w:val="nil"/>
                  </w:tcBorders>
                  <w:vAlign w:val="center"/>
                </w:tcPr>
                <w:p w14:paraId="1C2E7235">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厂区设置2个70t的水泥筒仓，2个80t的水泥筒仓</w:t>
                  </w:r>
                </w:p>
              </w:tc>
              <w:tc>
                <w:tcPr>
                  <w:tcW w:w="561" w:type="pct"/>
                  <w:tcBorders>
                    <w:tl2br w:val="nil"/>
                    <w:tr2bl w:val="nil"/>
                  </w:tcBorders>
                  <w:vAlign w:val="center"/>
                </w:tcPr>
                <w:p w14:paraId="3CE025A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78A81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269" w:hRule="atLeast"/>
                <w:jc w:val="center"/>
              </w:trPr>
              <w:tc>
                <w:tcPr>
                  <w:tcW w:w="513" w:type="pct"/>
                  <w:vMerge w:val="continue"/>
                  <w:tcBorders>
                    <w:tl2br w:val="nil"/>
                    <w:tr2bl w:val="nil"/>
                  </w:tcBorders>
                  <w:vAlign w:val="center"/>
                </w:tcPr>
                <w:p w14:paraId="014FBF3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6B687B5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免烧砖破碎储存棚</w:t>
                  </w:r>
                </w:p>
              </w:tc>
              <w:tc>
                <w:tcPr>
                  <w:tcW w:w="2907" w:type="pct"/>
                  <w:gridSpan w:val="2"/>
                  <w:tcBorders>
                    <w:tl2br w:val="nil"/>
                    <w:tr2bl w:val="nil"/>
                  </w:tcBorders>
                  <w:vAlign w:val="center"/>
                </w:tcPr>
                <w:p w14:paraId="2251E127">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建筑面积10560m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（176m×60m）彩钢板全封闭结构，用于尾矸破碎后免烧砖原料储存</w:t>
                  </w:r>
                </w:p>
              </w:tc>
              <w:tc>
                <w:tcPr>
                  <w:tcW w:w="561" w:type="pct"/>
                  <w:tcBorders>
                    <w:tl2br w:val="nil"/>
                    <w:tr2bl w:val="nil"/>
                  </w:tcBorders>
                  <w:vAlign w:val="center"/>
                </w:tcPr>
                <w:p w14:paraId="3A375AE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530BA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269" w:hRule="atLeast"/>
                <w:jc w:val="center"/>
              </w:trPr>
              <w:tc>
                <w:tcPr>
                  <w:tcW w:w="513" w:type="pct"/>
                  <w:vMerge w:val="continue"/>
                  <w:tcBorders>
                    <w:tl2br w:val="nil"/>
                    <w:tr2bl w:val="nil"/>
                  </w:tcBorders>
                  <w:vAlign w:val="center"/>
                </w:tcPr>
                <w:p w14:paraId="631654B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6ABE005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免烧砖辅料储存棚</w:t>
                  </w:r>
                </w:p>
              </w:tc>
              <w:tc>
                <w:tcPr>
                  <w:tcW w:w="2907" w:type="pct"/>
                  <w:gridSpan w:val="2"/>
                  <w:tcBorders>
                    <w:tl2br w:val="nil"/>
                    <w:tr2bl w:val="nil"/>
                  </w:tcBorders>
                  <w:vAlign w:val="center"/>
                </w:tcPr>
                <w:p w14:paraId="16212650">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建筑面积1296m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（36m×36m）彩钢板全封闭结构，用于免烧砖辅料储存</w:t>
                  </w:r>
                </w:p>
              </w:tc>
              <w:tc>
                <w:tcPr>
                  <w:tcW w:w="561" w:type="pct"/>
                  <w:tcBorders>
                    <w:tl2br w:val="nil"/>
                    <w:tr2bl w:val="nil"/>
                  </w:tcBorders>
                  <w:vAlign w:val="center"/>
                </w:tcPr>
                <w:p w14:paraId="10C790D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6D553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00F5B68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6D68F5C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免烧砖成品养护堆场</w:t>
                  </w:r>
                </w:p>
              </w:tc>
              <w:tc>
                <w:tcPr>
                  <w:tcW w:w="2907" w:type="pct"/>
                  <w:gridSpan w:val="2"/>
                  <w:tcBorders>
                    <w:tl2br w:val="nil"/>
                    <w:tr2bl w:val="nil"/>
                  </w:tcBorders>
                  <w:vAlign w:val="center"/>
                </w:tcPr>
                <w:p w14:paraId="6EA96965">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（1）位于免烧砖生产车间外，占地面积为11340m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（84m×135m），（2）位于办公楼北侧，占地面积为6000m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（120m×50m），（3）位于办公楼北侧，占地面积为3000m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（60m×50m），（4）位于办公室东北侧，占地面积为1500m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（30m×50m）露天堆场，地面硬化，用于成品堆存</w:t>
                  </w:r>
                </w:p>
              </w:tc>
              <w:tc>
                <w:tcPr>
                  <w:tcW w:w="561" w:type="pct"/>
                  <w:tcBorders>
                    <w:tl2br w:val="nil"/>
                    <w:tr2bl w:val="nil"/>
                  </w:tcBorders>
                  <w:vAlign w:val="center"/>
                </w:tcPr>
                <w:p w14:paraId="743D438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04186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78EFF2F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2848A92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烧结砖成品堆场</w:t>
                  </w:r>
                </w:p>
              </w:tc>
              <w:tc>
                <w:tcPr>
                  <w:tcW w:w="2907" w:type="pct"/>
                  <w:gridSpan w:val="2"/>
                  <w:tcBorders>
                    <w:tl2br w:val="nil"/>
                    <w:tr2bl w:val="nil"/>
                  </w:tcBorders>
                  <w:vAlign w:val="center"/>
                </w:tcPr>
                <w:p w14:paraId="068DF24C">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主要在旋转型隧道窑四周空地堆存，地面硬化</w:t>
                  </w:r>
                </w:p>
              </w:tc>
              <w:tc>
                <w:tcPr>
                  <w:tcW w:w="561" w:type="pct"/>
                  <w:tcBorders>
                    <w:tl2br w:val="nil"/>
                    <w:tr2bl w:val="nil"/>
                  </w:tcBorders>
                  <w:vAlign w:val="center"/>
                </w:tcPr>
                <w:p w14:paraId="0E94F8C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63B0B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11" w:hRule="atLeast"/>
                <w:jc w:val="center"/>
              </w:trPr>
              <w:tc>
                <w:tcPr>
                  <w:tcW w:w="513" w:type="pct"/>
                  <w:vMerge w:val="continue"/>
                  <w:tcBorders>
                    <w:tl2br w:val="nil"/>
                    <w:tr2bl w:val="nil"/>
                  </w:tcBorders>
                  <w:vAlign w:val="center"/>
                </w:tcPr>
                <w:p w14:paraId="3781BB4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vMerge w:val="restart"/>
                  <w:tcBorders>
                    <w:tl2br w:val="nil"/>
                    <w:tr2bl w:val="nil"/>
                  </w:tcBorders>
                  <w:vAlign w:val="center"/>
                </w:tcPr>
                <w:p w14:paraId="06FAAA8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门卫室</w:t>
                  </w:r>
                </w:p>
              </w:tc>
              <w:tc>
                <w:tcPr>
                  <w:tcW w:w="2907" w:type="pct"/>
                  <w:gridSpan w:val="2"/>
                  <w:tcBorders>
                    <w:tl2br w:val="nil"/>
                    <w:tr2bl w:val="nil"/>
                  </w:tcBorders>
                  <w:vAlign w:val="center"/>
                </w:tcPr>
                <w:p w14:paraId="596CA9B3">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西区门卫室，建筑面积64.8m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砖混结构</w:t>
                  </w:r>
                </w:p>
              </w:tc>
              <w:tc>
                <w:tcPr>
                  <w:tcW w:w="561" w:type="pct"/>
                  <w:tcBorders>
                    <w:tl2br w:val="nil"/>
                    <w:tr2bl w:val="nil"/>
                  </w:tcBorders>
                  <w:vAlign w:val="center"/>
                </w:tcPr>
                <w:p w14:paraId="38B71BC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1B413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11" w:hRule="atLeast"/>
                <w:jc w:val="center"/>
              </w:trPr>
              <w:tc>
                <w:tcPr>
                  <w:tcW w:w="513" w:type="pct"/>
                  <w:vMerge w:val="continue"/>
                  <w:tcBorders>
                    <w:tl2br w:val="nil"/>
                    <w:tr2bl w:val="nil"/>
                  </w:tcBorders>
                  <w:vAlign w:val="center"/>
                </w:tcPr>
                <w:p w14:paraId="0CB313C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vMerge w:val="continue"/>
                  <w:tcBorders>
                    <w:tl2br w:val="nil"/>
                    <w:tr2bl w:val="nil"/>
                  </w:tcBorders>
                  <w:vAlign w:val="center"/>
                </w:tcPr>
                <w:p w14:paraId="4D095FB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2907" w:type="pct"/>
                  <w:gridSpan w:val="2"/>
                  <w:tcBorders>
                    <w:tl2br w:val="nil"/>
                    <w:tr2bl w:val="nil"/>
                  </w:tcBorders>
                  <w:vAlign w:val="center"/>
                </w:tcPr>
                <w:p w14:paraId="7BA943A5">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东区西门卫室，建筑面积43.2m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砖混结构</w:t>
                  </w:r>
                </w:p>
              </w:tc>
              <w:tc>
                <w:tcPr>
                  <w:tcW w:w="561" w:type="pct"/>
                  <w:tcBorders>
                    <w:tl2br w:val="nil"/>
                    <w:tr2bl w:val="nil"/>
                  </w:tcBorders>
                  <w:vAlign w:val="center"/>
                </w:tcPr>
                <w:p w14:paraId="2795072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2A8D7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11" w:hRule="atLeast"/>
                <w:jc w:val="center"/>
              </w:trPr>
              <w:tc>
                <w:tcPr>
                  <w:tcW w:w="513" w:type="pct"/>
                  <w:vMerge w:val="continue"/>
                  <w:tcBorders>
                    <w:tl2br w:val="nil"/>
                    <w:tr2bl w:val="nil"/>
                  </w:tcBorders>
                  <w:vAlign w:val="center"/>
                </w:tcPr>
                <w:p w14:paraId="3093103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vMerge w:val="continue"/>
                  <w:tcBorders>
                    <w:tl2br w:val="nil"/>
                    <w:tr2bl w:val="nil"/>
                  </w:tcBorders>
                  <w:vAlign w:val="center"/>
                </w:tcPr>
                <w:p w14:paraId="14E1A22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2907" w:type="pct"/>
                  <w:gridSpan w:val="2"/>
                  <w:tcBorders>
                    <w:tl2br w:val="nil"/>
                    <w:tr2bl w:val="nil"/>
                  </w:tcBorders>
                  <w:vAlign w:val="center"/>
                </w:tcPr>
                <w:p w14:paraId="2F15ED3C">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东区南门卫室，建筑面积128.7m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砖混结构</w:t>
                  </w:r>
                </w:p>
              </w:tc>
              <w:tc>
                <w:tcPr>
                  <w:tcW w:w="561" w:type="pct"/>
                  <w:tcBorders>
                    <w:tl2br w:val="nil"/>
                    <w:tr2bl w:val="nil"/>
                  </w:tcBorders>
                  <w:vAlign w:val="center"/>
                </w:tcPr>
                <w:p w14:paraId="773AEC7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3D827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0FF9AA21">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op w:val="single" w:color="auto" w:sz="4" w:space="0"/>
                    <w:left w:val="single" w:color="auto" w:sz="4" w:space="0"/>
                    <w:right w:val="single" w:color="auto" w:sz="4" w:space="0"/>
                  </w:tcBorders>
                  <w:vAlign w:val="center"/>
                </w:tcPr>
                <w:p w14:paraId="78007B2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办公楼</w:t>
                  </w:r>
                </w:p>
              </w:tc>
              <w:tc>
                <w:tcPr>
                  <w:tcW w:w="2907" w:type="pct"/>
                  <w:gridSpan w:val="2"/>
                  <w:tcBorders>
                    <w:top w:val="single" w:color="auto" w:sz="4" w:space="0"/>
                    <w:left w:val="single" w:color="auto" w:sz="4" w:space="0"/>
                    <w:right w:val="single" w:color="auto" w:sz="4" w:space="0"/>
                  </w:tcBorders>
                  <w:vAlign w:val="center"/>
                </w:tcPr>
                <w:p w14:paraId="45820FE4">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1座办公楼，占地面积900m</w:t>
                  </w:r>
                  <w:r>
                    <w:rPr>
                      <w:rFonts w:eastAsiaTheme="minorEastAsia"/>
                      <w:color w:val="000000" w:themeColor="text1"/>
                      <w:sz w:val="21"/>
                      <w:szCs w:val="21"/>
                      <w:vertAlign w:val="superscript"/>
                      <w14:textFill>
                        <w14:solidFill>
                          <w14:schemeClr w14:val="tx1"/>
                        </w14:solidFill>
                      </w14:textFill>
                    </w:rPr>
                    <w:t>2</w:t>
                  </w:r>
                </w:p>
              </w:tc>
              <w:tc>
                <w:tcPr>
                  <w:tcW w:w="561" w:type="pct"/>
                  <w:tcBorders>
                    <w:top w:val="single" w:color="auto" w:sz="4" w:space="0"/>
                    <w:left w:val="single" w:color="auto" w:sz="4" w:space="0"/>
                    <w:right w:val="single" w:color="auto" w:sz="4" w:space="0"/>
                  </w:tcBorders>
                  <w:vAlign w:val="center"/>
                </w:tcPr>
                <w:p w14:paraId="29A86DA1">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217C1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522D53C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op w:val="single" w:color="auto" w:sz="4" w:space="0"/>
                    <w:left w:val="single" w:color="auto" w:sz="4" w:space="0"/>
                    <w:right w:val="single" w:color="auto" w:sz="4" w:space="0"/>
                  </w:tcBorders>
                  <w:vAlign w:val="center"/>
                </w:tcPr>
                <w:p w14:paraId="2FF42EC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职工餐厅</w:t>
                  </w:r>
                </w:p>
              </w:tc>
              <w:tc>
                <w:tcPr>
                  <w:tcW w:w="2907" w:type="pct"/>
                  <w:gridSpan w:val="2"/>
                  <w:tcBorders>
                    <w:top w:val="single" w:color="auto" w:sz="4" w:space="0"/>
                    <w:left w:val="single" w:color="auto" w:sz="4" w:space="0"/>
                    <w:right w:val="single" w:color="auto" w:sz="4" w:space="0"/>
                  </w:tcBorders>
                  <w:vAlign w:val="center"/>
                </w:tcPr>
                <w:p w14:paraId="45B312DC">
                  <w:pPr>
                    <w:widowControl w:val="0"/>
                    <w:adjustRightInd/>
                    <w:snapToGrid/>
                    <w:spacing w:line="240" w:lineRule="auto"/>
                    <w:ind w:firstLine="0" w:firstLineChars="0"/>
                    <w:rPr>
                      <w:rFonts w:eastAsiaTheme="minorEastAsia"/>
                      <w:color w:val="000000" w:themeColor="text1"/>
                      <w:sz w:val="21"/>
                      <w:szCs w:val="21"/>
                      <w:vertAlign w:val="superscript"/>
                      <w14:textFill>
                        <w14:solidFill>
                          <w14:schemeClr w14:val="tx1"/>
                        </w14:solidFill>
                      </w14:textFill>
                    </w:rPr>
                  </w:pPr>
                  <w:r>
                    <w:rPr>
                      <w:rFonts w:eastAsiaTheme="minorEastAsia"/>
                      <w:color w:val="000000" w:themeColor="text1"/>
                      <w:sz w:val="21"/>
                      <w:szCs w:val="21"/>
                      <w14:textFill>
                        <w14:solidFill>
                          <w14:schemeClr w14:val="tx1"/>
                        </w14:solidFill>
                      </w14:textFill>
                    </w:rPr>
                    <w:t>建筑面积为100m</w:t>
                  </w:r>
                  <w:r>
                    <w:rPr>
                      <w:rFonts w:eastAsiaTheme="minorEastAsia"/>
                      <w:color w:val="000000" w:themeColor="text1"/>
                      <w:sz w:val="21"/>
                      <w:szCs w:val="21"/>
                      <w:vertAlign w:val="superscript"/>
                      <w14:textFill>
                        <w14:solidFill>
                          <w14:schemeClr w14:val="tx1"/>
                        </w14:solidFill>
                      </w14:textFill>
                    </w:rPr>
                    <w:t>2</w:t>
                  </w:r>
                </w:p>
              </w:tc>
              <w:tc>
                <w:tcPr>
                  <w:tcW w:w="561" w:type="pct"/>
                  <w:tcBorders>
                    <w:top w:val="single" w:color="auto" w:sz="4" w:space="0"/>
                    <w:left w:val="single" w:color="auto" w:sz="4" w:space="0"/>
                    <w:right w:val="single" w:color="auto" w:sz="4" w:space="0"/>
                  </w:tcBorders>
                  <w:vAlign w:val="center"/>
                </w:tcPr>
                <w:p w14:paraId="01E74CD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2DAB3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2FFB3FB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op w:val="single" w:color="auto" w:sz="4" w:space="0"/>
                    <w:left w:val="single" w:color="auto" w:sz="4" w:space="0"/>
                    <w:right w:val="single" w:color="auto" w:sz="4" w:space="0"/>
                  </w:tcBorders>
                  <w:vAlign w:val="center"/>
                </w:tcPr>
                <w:p w14:paraId="54C91D0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宿舍楼</w:t>
                  </w:r>
                </w:p>
              </w:tc>
              <w:tc>
                <w:tcPr>
                  <w:tcW w:w="2907" w:type="pct"/>
                  <w:gridSpan w:val="2"/>
                  <w:tcBorders>
                    <w:top w:val="single" w:color="auto" w:sz="4" w:space="0"/>
                    <w:left w:val="single" w:color="auto" w:sz="4" w:space="0"/>
                    <w:right w:val="single" w:color="auto" w:sz="4" w:space="0"/>
                  </w:tcBorders>
                  <w:vAlign w:val="center"/>
                </w:tcPr>
                <w:p w14:paraId="426CBBC4">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1幢职工宿舍楼</w:t>
                  </w:r>
                </w:p>
              </w:tc>
              <w:tc>
                <w:tcPr>
                  <w:tcW w:w="561" w:type="pct"/>
                  <w:tcBorders>
                    <w:top w:val="single" w:color="auto" w:sz="4" w:space="0"/>
                    <w:left w:val="single" w:color="auto" w:sz="4" w:space="0"/>
                    <w:right w:val="single" w:color="auto" w:sz="4" w:space="0"/>
                  </w:tcBorders>
                  <w:vAlign w:val="center"/>
                </w:tcPr>
                <w:p w14:paraId="606C169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1A667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restart"/>
                  <w:tcBorders>
                    <w:tl2br w:val="nil"/>
                    <w:tr2bl w:val="nil"/>
                  </w:tcBorders>
                  <w:vAlign w:val="center"/>
                </w:tcPr>
                <w:p w14:paraId="1D6EBBF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公用</w:t>
                  </w:r>
                </w:p>
                <w:p w14:paraId="3C2E9C9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工程</w:t>
                  </w:r>
                </w:p>
              </w:tc>
              <w:tc>
                <w:tcPr>
                  <w:tcW w:w="1012" w:type="pct"/>
                  <w:gridSpan w:val="2"/>
                  <w:tcBorders>
                    <w:tl2br w:val="nil"/>
                    <w:tr2bl w:val="nil"/>
                  </w:tcBorders>
                  <w:vAlign w:val="center"/>
                </w:tcPr>
                <w:p w14:paraId="633967B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供水</w:t>
                  </w:r>
                </w:p>
              </w:tc>
              <w:tc>
                <w:tcPr>
                  <w:tcW w:w="2907" w:type="pct"/>
                  <w:gridSpan w:val="2"/>
                  <w:tcBorders>
                    <w:tl2br w:val="nil"/>
                    <w:tr2bl w:val="nil"/>
                  </w:tcBorders>
                  <w:vAlign w:val="center"/>
                </w:tcPr>
                <w:p w14:paraId="2C4C35FD">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生活用水来自自备井，生产用水来自金鸡滩镇煤矿疏干水，加设三通闸阀增加支管就近取水。</w:t>
                  </w:r>
                </w:p>
              </w:tc>
              <w:tc>
                <w:tcPr>
                  <w:tcW w:w="561" w:type="pct"/>
                  <w:tcBorders>
                    <w:tl2br w:val="nil"/>
                    <w:tr2bl w:val="nil"/>
                  </w:tcBorders>
                  <w:vAlign w:val="center"/>
                </w:tcPr>
                <w:p w14:paraId="02BFFD5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47AD5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90" w:hRule="atLeast"/>
                <w:jc w:val="center"/>
              </w:trPr>
              <w:tc>
                <w:tcPr>
                  <w:tcW w:w="513" w:type="pct"/>
                  <w:vMerge w:val="continue"/>
                  <w:tcBorders>
                    <w:tl2br w:val="nil"/>
                    <w:tr2bl w:val="nil"/>
                  </w:tcBorders>
                  <w:vAlign w:val="center"/>
                </w:tcPr>
                <w:p w14:paraId="681F147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0B60664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供暖</w:t>
                  </w:r>
                </w:p>
              </w:tc>
              <w:tc>
                <w:tcPr>
                  <w:tcW w:w="2907" w:type="pct"/>
                  <w:gridSpan w:val="2"/>
                  <w:tcBorders>
                    <w:tl2br w:val="nil"/>
                    <w:tr2bl w:val="nil"/>
                  </w:tcBorders>
                  <w:vAlign w:val="center"/>
                </w:tcPr>
                <w:p w14:paraId="0C409E3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生活取暖采用电暖气</w:t>
                  </w:r>
                </w:p>
              </w:tc>
              <w:tc>
                <w:tcPr>
                  <w:tcW w:w="561" w:type="pct"/>
                  <w:tcBorders>
                    <w:tl2br w:val="nil"/>
                    <w:tr2bl w:val="nil"/>
                  </w:tcBorders>
                  <w:vAlign w:val="center"/>
                </w:tcPr>
                <w:p w14:paraId="2602777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4087E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60FA380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7A451F7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供电</w:t>
                  </w:r>
                </w:p>
              </w:tc>
              <w:tc>
                <w:tcPr>
                  <w:tcW w:w="2907" w:type="pct"/>
                  <w:gridSpan w:val="2"/>
                  <w:tcBorders>
                    <w:tl2br w:val="nil"/>
                    <w:tr2bl w:val="nil"/>
                  </w:tcBorders>
                  <w:vAlign w:val="center"/>
                </w:tcPr>
                <w:p w14:paraId="48D502C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项目用电由金鸡滩电网提供</w:t>
                  </w:r>
                </w:p>
              </w:tc>
              <w:tc>
                <w:tcPr>
                  <w:tcW w:w="561" w:type="pct"/>
                  <w:tcBorders>
                    <w:tl2br w:val="nil"/>
                    <w:tr2bl w:val="nil"/>
                  </w:tcBorders>
                  <w:vAlign w:val="center"/>
                </w:tcPr>
                <w:p w14:paraId="2ED8718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114A2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33" w:hRule="atLeast"/>
                <w:jc w:val="center"/>
              </w:trPr>
              <w:tc>
                <w:tcPr>
                  <w:tcW w:w="513" w:type="pct"/>
                  <w:vMerge w:val="restart"/>
                  <w:tcBorders>
                    <w:tl2br w:val="nil"/>
                    <w:tr2bl w:val="nil"/>
                  </w:tcBorders>
                  <w:vAlign w:val="center"/>
                </w:tcPr>
                <w:p w14:paraId="3850B6F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环保</w:t>
                  </w:r>
                </w:p>
                <w:p w14:paraId="0B87691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工程</w:t>
                  </w:r>
                </w:p>
              </w:tc>
              <w:tc>
                <w:tcPr>
                  <w:tcW w:w="394" w:type="pct"/>
                  <w:vMerge w:val="restart"/>
                  <w:tcBorders>
                    <w:tl2br w:val="nil"/>
                    <w:tr2bl w:val="nil"/>
                  </w:tcBorders>
                  <w:vAlign w:val="center"/>
                </w:tcPr>
                <w:p w14:paraId="64D73E8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废气</w:t>
                  </w:r>
                </w:p>
              </w:tc>
              <w:tc>
                <w:tcPr>
                  <w:tcW w:w="617" w:type="pct"/>
                  <w:tcBorders>
                    <w:tl2br w:val="nil"/>
                    <w:tr2bl w:val="nil"/>
                  </w:tcBorders>
                  <w:vAlign w:val="center"/>
                </w:tcPr>
                <w:p w14:paraId="3087344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洗煤工段破碎筛分粉尘</w:t>
                  </w:r>
                </w:p>
              </w:tc>
              <w:tc>
                <w:tcPr>
                  <w:tcW w:w="2907" w:type="pct"/>
                  <w:gridSpan w:val="2"/>
                  <w:tcBorders>
                    <w:tl2br w:val="nil"/>
                    <w:tr2bl w:val="nil"/>
                  </w:tcBorders>
                  <w:vAlign w:val="center"/>
                </w:tcPr>
                <w:p w14:paraId="4DECB90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经车间密闭+6台雾炮除尘后无组织排放</w:t>
                  </w:r>
                </w:p>
              </w:tc>
              <w:tc>
                <w:tcPr>
                  <w:tcW w:w="561" w:type="pct"/>
                  <w:tcBorders>
                    <w:tl2br w:val="nil"/>
                    <w:tr2bl w:val="nil"/>
                  </w:tcBorders>
                  <w:vAlign w:val="center"/>
                </w:tcPr>
                <w:p w14:paraId="0D83B88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298C3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33" w:hRule="atLeast"/>
                <w:jc w:val="center"/>
              </w:trPr>
              <w:tc>
                <w:tcPr>
                  <w:tcW w:w="513" w:type="pct"/>
                  <w:vMerge w:val="continue"/>
                  <w:tcBorders>
                    <w:tl2br w:val="nil"/>
                    <w:tr2bl w:val="nil"/>
                  </w:tcBorders>
                  <w:vAlign w:val="center"/>
                </w:tcPr>
                <w:p w14:paraId="63E3CB8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35044DB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vMerge w:val="restart"/>
                  <w:tcBorders>
                    <w:tl2br w:val="nil"/>
                    <w:tr2bl w:val="nil"/>
                  </w:tcBorders>
                  <w:vAlign w:val="center"/>
                </w:tcPr>
                <w:p w14:paraId="0126447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烧结砖、免烧砖制砖破碎粉尘</w:t>
                  </w:r>
                </w:p>
              </w:tc>
              <w:tc>
                <w:tcPr>
                  <w:tcW w:w="2907" w:type="pct"/>
                  <w:gridSpan w:val="2"/>
                  <w:vMerge w:val="restart"/>
                  <w:tcBorders>
                    <w:tl2br w:val="nil"/>
                    <w:tr2bl w:val="nil"/>
                  </w:tcBorders>
                  <w:vAlign w:val="center"/>
                </w:tcPr>
                <w:p w14:paraId="341E558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破碎筛分粉尘经DMC-500型单机脉冲式布袋除尘器+车间内排放</w:t>
                  </w:r>
                </w:p>
              </w:tc>
              <w:tc>
                <w:tcPr>
                  <w:tcW w:w="561" w:type="pct"/>
                  <w:tcBorders>
                    <w:tl2br w:val="nil"/>
                    <w:tr2bl w:val="nil"/>
                  </w:tcBorders>
                  <w:vAlign w:val="center"/>
                </w:tcPr>
                <w:p w14:paraId="0AC458B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1A25E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33" w:hRule="atLeast"/>
                <w:jc w:val="center"/>
              </w:trPr>
              <w:tc>
                <w:tcPr>
                  <w:tcW w:w="513" w:type="pct"/>
                  <w:vMerge w:val="continue"/>
                  <w:tcBorders>
                    <w:tl2br w:val="nil"/>
                    <w:tr2bl w:val="nil"/>
                  </w:tcBorders>
                  <w:vAlign w:val="center"/>
                </w:tcPr>
                <w:p w14:paraId="025B474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02C952A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14:paraId="0075B90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2907" w:type="pct"/>
                  <w:gridSpan w:val="2"/>
                  <w:vMerge w:val="continue"/>
                  <w:tcBorders>
                    <w:tl2br w:val="nil"/>
                    <w:tr2bl w:val="nil"/>
                  </w:tcBorders>
                  <w:vAlign w:val="center"/>
                </w:tcPr>
                <w:p w14:paraId="3F4882F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561" w:type="pct"/>
                  <w:tcBorders>
                    <w:tl2br w:val="nil"/>
                    <w:tr2bl w:val="nil"/>
                  </w:tcBorders>
                  <w:vAlign w:val="center"/>
                </w:tcPr>
                <w:p w14:paraId="5BD51F7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6BD20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42" w:hRule="atLeast"/>
                <w:jc w:val="center"/>
              </w:trPr>
              <w:tc>
                <w:tcPr>
                  <w:tcW w:w="513" w:type="pct"/>
                  <w:vMerge w:val="continue"/>
                  <w:tcBorders>
                    <w:tl2br w:val="nil"/>
                    <w:tr2bl w:val="nil"/>
                  </w:tcBorders>
                  <w:vAlign w:val="center"/>
                </w:tcPr>
                <w:p w14:paraId="3AE2AA0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24A1CDC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6E5FE8B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水泥筒仓</w:t>
                  </w:r>
                </w:p>
              </w:tc>
              <w:tc>
                <w:tcPr>
                  <w:tcW w:w="2907" w:type="pct"/>
                  <w:gridSpan w:val="2"/>
                  <w:tcBorders>
                    <w:tl2br w:val="nil"/>
                    <w:tr2bl w:val="nil"/>
                  </w:tcBorders>
                  <w:vAlign w:val="center"/>
                </w:tcPr>
                <w:p w14:paraId="7070834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仓顶布袋除尘器4台+排气口车间内排放</w:t>
                  </w:r>
                </w:p>
              </w:tc>
              <w:tc>
                <w:tcPr>
                  <w:tcW w:w="561" w:type="pct"/>
                  <w:tcBorders>
                    <w:tl2br w:val="nil"/>
                    <w:tr2bl w:val="nil"/>
                  </w:tcBorders>
                  <w:vAlign w:val="center"/>
                </w:tcPr>
                <w:p w14:paraId="27686AB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5624F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42" w:hRule="atLeast"/>
                <w:jc w:val="center"/>
              </w:trPr>
              <w:tc>
                <w:tcPr>
                  <w:tcW w:w="513" w:type="pct"/>
                  <w:vMerge w:val="continue"/>
                  <w:tcBorders>
                    <w:tl2br w:val="nil"/>
                    <w:tr2bl w:val="nil"/>
                  </w:tcBorders>
                  <w:vAlign w:val="center"/>
                </w:tcPr>
                <w:p w14:paraId="72A019E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030F10E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74095C1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食堂油烟</w:t>
                  </w:r>
                </w:p>
              </w:tc>
              <w:tc>
                <w:tcPr>
                  <w:tcW w:w="2907" w:type="pct"/>
                  <w:gridSpan w:val="2"/>
                  <w:tcBorders>
                    <w:tl2br w:val="nil"/>
                    <w:tr2bl w:val="nil"/>
                  </w:tcBorders>
                  <w:vAlign w:val="center"/>
                </w:tcPr>
                <w:p w14:paraId="261ED23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油烟净化器1台</w:t>
                  </w:r>
                </w:p>
              </w:tc>
              <w:tc>
                <w:tcPr>
                  <w:tcW w:w="561" w:type="pct"/>
                  <w:tcBorders>
                    <w:tl2br w:val="nil"/>
                    <w:tr2bl w:val="nil"/>
                  </w:tcBorders>
                  <w:vAlign w:val="center"/>
                </w:tcPr>
                <w:p w14:paraId="0772B20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24D49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jc w:val="center"/>
              </w:trPr>
              <w:tc>
                <w:tcPr>
                  <w:tcW w:w="513" w:type="pct"/>
                  <w:vMerge w:val="continue"/>
                  <w:tcBorders>
                    <w:tl2br w:val="nil"/>
                    <w:tr2bl w:val="nil"/>
                  </w:tcBorders>
                  <w:vAlign w:val="center"/>
                </w:tcPr>
                <w:p w14:paraId="630C014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5E99390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vMerge w:val="restart"/>
                  <w:tcBorders>
                    <w:tl2br w:val="nil"/>
                    <w:tr2bl w:val="nil"/>
                  </w:tcBorders>
                  <w:vAlign w:val="center"/>
                </w:tcPr>
                <w:p w14:paraId="372D017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隧道窑烟气</w:t>
                  </w:r>
                </w:p>
              </w:tc>
              <w:tc>
                <w:tcPr>
                  <w:tcW w:w="474" w:type="pct"/>
                  <w:tcBorders>
                    <w:tl2br w:val="nil"/>
                    <w:tr2bl w:val="nil"/>
                  </w:tcBorders>
                  <w:vAlign w:val="center"/>
                </w:tcPr>
                <w:p w14:paraId="549E99E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隧道窑</w:t>
                  </w:r>
                </w:p>
              </w:tc>
              <w:tc>
                <w:tcPr>
                  <w:tcW w:w="2433" w:type="pct"/>
                  <w:tcBorders>
                    <w:tl2br w:val="nil"/>
                    <w:tr2bl w:val="nil"/>
                  </w:tcBorders>
                  <w:vAlign w:val="center"/>
                </w:tcPr>
                <w:p w14:paraId="63834B6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双碱法脱硫除尘系统”1套+28m高烟囱1根</w:t>
                  </w:r>
                </w:p>
              </w:tc>
              <w:tc>
                <w:tcPr>
                  <w:tcW w:w="566" w:type="pct"/>
                  <w:gridSpan w:val="2"/>
                  <w:tcBorders>
                    <w:tl2br w:val="nil"/>
                    <w:tr2bl w:val="nil"/>
                  </w:tcBorders>
                  <w:vAlign w:val="center"/>
                </w:tcPr>
                <w:p w14:paraId="3EF0540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7E4C7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jc w:val="center"/>
              </w:trPr>
              <w:tc>
                <w:tcPr>
                  <w:tcW w:w="513" w:type="pct"/>
                  <w:vMerge w:val="continue"/>
                  <w:tcBorders>
                    <w:tl2br w:val="nil"/>
                    <w:tr2bl w:val="nil"/>
                  </w:tcBorders>
                  <w:vAlign w:val="center"/>
                </w:tcPr>
                <w:p w14:paraId="0ACFF4E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66F3178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14:paraId="16DBBA6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474" w:type="pct"/>
                  <w:tcBorders>
                    <w:tl2br w:val="nil"/>
                    <w:tr2bl w:val="nil"/>
                  </w:tcBorders>
                  <w:vAlign w:val="center"/>
                </w:tcPr>
                <w:p w14:paraId="068A685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隧道窑</w:t>
                  </w:r>
                </w:p>
              </w:tc>
              <w:tc>
                <w:tcPr>
                  <w:tcW w:w="2433" w:type="pct"/>
                  <w:tcBorders>
                    <w:tl2br w:val="nil"/>
                    <w:tr2bl w:val="nil"/>
                  </w:tcBorders>
                  <w:vAlign w:val="center"/>
                </w:tcPr>
                <w:p w14:paraId="06D0CB0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双碱法脱硫除尘系统”1套+28m高烟囱1根</w:t>
                  </w:r>
                </w:p>
              </w:tc>
              <w:tc>
                <w:tcPr>
                  <w:tcW w:w="566" w:type="pct"/>
                  <w:gridSpan w:val="2"/>
                  <w:tcBorders>
                    <w:tl2br w:val="nil"/>
                    <w:tr2bl w:val="nil"/>
                  </w:tcBorders>
                  <w:vAlign w:val="center"/>
                </w:tcPr>
                <w:p w14:paraId="1309E96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08FE2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575E558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59047EB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1C7D84A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储存、装卸、输送粉尘</w:t>
                  </w:r>
                </w:p>
              </w:tc>
              <w:tc>
                <w:tcPr>
                  <w:tcW w:w="2907" w:type="pct"/>
                  <w:gridSpan w:val="2"/>
                  <w:tcBorders>
                    <w:tl2br w:val="nil"/>
                    <w:tr2bl w:val="nil"/>
                  </w:tcBorders>
                  <w:vAlign w:val="center"/>
                </w:tcPr>
                <w:p w14:paraId="1655C1A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项目生产、物料储存库均全封闭结构；卸料破碎筛分均采取封闭式；物料输送皮带机设密闭廊道、并配购1台洒水车、对厂区内定期进行清扫洒水</w:t>
                  </w:r>
                </w:p>
              </w:tc>
              <w:tc>
                <w:tcPr>
                  <w:tcW w:w="561" w:type="pct"/>
                  <w:tcBorders>
                    <w:tl2br w:val="nil"/>
                    <w:tr2bl w:val="nil"/>
                  </w:tcBorders>
                  <w:vAlign w:val="center"/>
                </w:tcPr>
                <w:p w14:paraId="72F3AB4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127FC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698" w:hRule="atLeast"/>
                <w:jc w:val="center"/>
              </w:trPr>
              <w:tc>
                <w:tcPr>
                  <w:tcW w:w="513" w:type="pct"/>
                  <w:vMerge w:val="continue"/>
                  <w:tcBorders>
                    <w:tl2br w:val="nil"/>
                    <w:tr2bl w:val="nil"/>
                  </w:tcBorders>
                  <w:vAlign w:val="center"/>
                </w:tcPr>
                <w:p w14:paraId="199DCA7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556D253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5739EE6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道路扬尘</w:t>
                  </w:r>
                </w:p>
              </w:tc>
              <w:tc>
                <w:tcPr>
                  <w:tcW w:w="2907" w:type="pct"/>
                  <w:gridSpan w:val="2"/>
                  <w:tcBorders>
                    <w:tl2br w:val="nil"/>
                    <w:tr2bl w:val="nil"/>
                  </w:tcBorders>
                  <w:vAlign w:val="center"/>
                </w:tcPr>
                <w:p w14:paraId="647C829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厂区内道路硬化，出入口设洗车装置，要求运输车辆无泥上路、运输车辆苫布苫盖</w:t>
                  </w:r>
                </w:p>
              </w:tc>
              <w:tc>
                <w:tcPr>
                  <w:tcW w:w="561" w:type="pct"/>
                  <w:tcBorders>
                    <w:tl2br w:val="nil"/>
                    <w:tr2bl w:val="nil"/>
                  </w:tcBorders>
                  <w:vAlign w:val="center"/>
                </w:tcPr>
                <w:p w14:paraId="17AAE78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3EC73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33" w:hRule="atLeast"/>
                <w:jc w:val="center"/>
              </w:trPr>
              <w:tc>
                <w:tcPr>
                  <w:tcW w:w="513" w:type="pct"/>
                  <w:vMerge w:val="continue"/>
                  <w:tcBorders>
                    <w:tl2br w:val="nil"/>
                    <w:tr2bl w:val="nil"/>
                  </w:tcBorders>
                  <w:vAlign w:val="center"/>
                </w:tcPr>
                <w:p w14:paraId="4B8E488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2C803C8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4E9FD63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扬尘在线</w:t>
                  </w:r>
                </w:p>
                <w:p w14:paraId="64E9285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系统</w:t>
                  </w:r>
                </w:p>
              </w:tc>
              <w:tc>
                <w:tcPr>
                  <w:tcW w:w="2907" w:type="pct"/>
                  <w:gridSpan w:val="2"/>
                  <w:tcBorders>
                    <w:tl2br w:val="nil"/>
                    <w:tr2bl w:val="nil"/>
                  </w:tcBorders>
                  <w:vAlign w:val="center"/>
                </w:tcPr>
                <w:p w14:paraId="5FBE365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在厂界四角建</w:t>
                  </w:r>
                  <w:r>
                    <w:rPr>
                      <w:rFonts w:hint="eastAsia" w:eastAsiaTheme="minorEastAsia"/>
                      <w:color w:val="000000" w:themeColor="text1"/>
                      <w:sz w:val="21"/>
                      <w:szCs w:val="21"/>
                      <w14:textFill>
                        <w14:solidFill>
                          <w14:schemeClr w14:val="tx1"/>
                        </w14:solidFill>
                      </w14:textFill>
                    </w:rPr>
                    <w:t>有</w:t>
                  </w:r>
                  <w:r>
                    <w:rPr>
                      <w:rFonts w:eastAsiaTheme="minorEastAsia"/>
                      <w:color w:val="000000" w:themeColor="text1"/>
                      <w:sz w:val="21"/>
                      <w:szCs w:val="21"/>
                      <w14:textFill>
                        <w14:solidFill>
                          <w14:schemeClr w14:val="tx1"/>
                        </w14:solidFill>
                      </w14:textFill>
                    </w:rPr>
                    <w:t>4台扬尘在线监控设施</w:t>
                  </w:r>
                </w:p>
              </w:tc>
              <w:tc>
                <w:tcPr>
                  <w:tcW w:w="561" w:type="pct"/>
                  <w:tcBorders>
                    <w:tl2br w:val="nil"/>
                    <w:tr2bl w:val="nil"/>
                  </w:tcBorders>
                  <w:vAlign w:val="center"/>
                </w:tcPr>
                <w:p w14:paraId="1F37E7E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13BCA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133" w:hRule="atLeast"/>
                <w:jc w:val="center"/>
              </w:trPr>
              <w:tc>
                <w:tcPr>
                  <w:tcW w:w="513" w:type="pct"/>
                  <w:vMerge w:val="continue"/>
                  <w:tcBorders>
                    <w:tl2br w:val="nil"/>
                    <w:tr2bl w:val="nil"/>
                  </w:tcBorders>
                  <w:vAlign w:val="center"/>
                </w:tcPr>
                <w:p w14:paraId="7B07C9E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74DA1801">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525" w:type="pct"/>
                  <w:gridSpan w:val="3"/>
                  <w:tcBorders>
                    <w:tl2br w:val="nil"/>
                    <w:tr2bl w:val="nil"/>
                  </w:tcBorders>
                  <w:vAlign w:val="center"/>
                </w:tcPr>
                <w:p w14:paraId="6DD7E44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煤棚内CO、煤尘、温度探测装置</w:t>
                  </w:r>
                </w:p>
              </w:tc>
              <w:tc>
                <w:tcPr>
                  <w:tcW w:w="561" w:type="pct"/>
                  <w:tcBorders>
                    <w:tl2br w:val="nil"/>
                    <w:tr2bl w:val="nil"/>
                  </w:tcBorders>
                  <w:vAlign w:val="center"/>
                </w:tcPr>
                <w:p w14:paraId="0E5CA89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17B9B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47B9F59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restart"/>
                  <w:tcBorders>
                    <w:tl2br w:val="nil"/>
                    <w:tr2bl w:val="nil"/>
                  </w:tcBorders>
                  <w:vAlign w:val="center"/>
                </w:tcPr>
                <w:p w14:paraId="4410043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废水</w:t>
                  </w:r>
                </w:p>
              </w:tc>
              <w:tc>
                <w:tcPr>
                  <w:tcW w:w="617" w:type="pct"/>
                  <w:tcBorders>
                    <w:tl2br w:val="nil"/>
                    <w:tr2bl w:val="nil"/>
                  </w:tcBorders>
                  <w:vAlign w:val="center"/>
                </w:tcPr>
                <w:p w14:paraId="357E81B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生产废水</w:t>
                  </w:r>
                </w:p>
              </w:tc>
              <w:tc>
                <w:tcPr>
                  <w:tcW w:w="2907" w:type="pct"/>
                  <w:gridSpan w:val="2"/>
                  <w:tcBorders>
                    <w:tl2br w:val="nil"/>
                    <w:tr2bl w:val="nil"/>
                  </w:tcBorders>
                  <w:vAlign w:val="center"/>
                </w:tcPr>
                <w:p w14:paraId="5142BA6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洗选工序洗选废水闭路循环，不外排</w:t>
                  </w:r>
                </w:p>
              </w:tc>
              <w:tc>
                <w:tcPr>
                  <w:tcW w:w="561" w:type="pct"/>
                  <w:tcBorders>
                    <w:tl2br w:val="nil"/>
                    <w:tr2bl w:val="nil"/>
                  </w:tcBorders>
                  <w:vAlign w:val="center"/>
                </w:tcPr>
                <w:p w14:paraId="07F6878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6977A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90" w:hRule="atLeast"/>
                <w:jc w:val="center"/>
              </w:trPr>
              <w:tc>
                <w:tcPr>
                  <w:tcW w:w="513" w:type="pct"/>
                  <w:vMerge w:val="continue"/>
                  <w:tcBorders>
                    <w:tl2br w:val="nil"/>
                    <w:tr2bl w:val="nil"/>
                  </w:tcBorders>
                  <w:vAlign w:val="center"/>
                </w:tcPr>
                <w:p w14:paraId="4B54605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7F00560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4AF1FAE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车辆冲洗</w:t>
                  </w:r>
                </w:p>
                <w:p w14:paraId="4033432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废水</w:t>
                  </w:r>
                </w:p>
              </w:tc>
              <w:tc>
                <w:tcPr>
                  <w:tcW w:w="2907" w:type="pct"/>
                  <w:gridSpan w:val="2"/>
                  <w:tcBorders>
                    <w:tl2br w:val="nil"/>
                    <w:tr2bl w:val="nil"/>
                  </w:tcBorders>
                  <w:vAlign w:val="center"/>
                </w:tcPr>
                <w:p w14:paraId="09A4748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建有1个</w:t>
                  </w:r>
                  <w:r>
                    <w:rPr>
                      <w:rFonts w:eastAsiaTheme="minorEastAsia"/>
                      <w:color w:val="000000" w:themeColor="text1"/>
                      <w:sz w:val="21"/>
                      <w:szCs w:val="21"/>
                      <w14:textFill>
                        <w14:solidFill>
                          <w14:schemeClr w14:val="tx1"/>
                        </w14:solidFill>
                      </w14:textFill>
                    </w:rPr>
                    <w:t>洗车台，车辆冲洗废水经沉淀池（100m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）沉淀后回用于车辆冲洗</w:t>
                  </w:r>
                </w:p>
              </w:tc>
              <w:tc>
                <w:tcPr>
                  <w:tcW w:w="561" w:type="pct"/>
                  <w:tcBorders>
                    <w:tl2br w:val="nil"/>
                    <w:tr2bl w:val="nil"/>
                  </w:tcBorders>
                  <w:vAlign w:val="center"/>
                </w:tcPr>
                <w:p w14:paraId="051749D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4482A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2ED68B9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77B6B5D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376ACE9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生活污水</w:t>
                  </w:r>
                </w:p>
              </w:tc>
              <w:tc>
                <w:tcPr>
                  <w:tcW w:w="2907" w:type="pct"/>
                  <w:gridSpan w:val="2"/>
                  <w:tcBorders>
                    <w:tl2br w:val="nil"/>
                    <w:tr2bl w:val="nil"/>
                  </w:tcBorders>
                  <w:vAlign w:val="center"/>
                </w:tcPr>
                <w:p w14:paraId="1784A72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生活污水主要为职工盥洗废水，设立50m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和80m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化粪池，厂区设3个旱厕，定期清掏，用作肥料</w:t>
                  </w:r>
                </w:p>
              </w:tc>
              <w:tc>
                <w:tcPr>
                  <w:tcW w:w="561" w:type="pct"/>
                  <w:tcBorders>
                    <w:tl2br w:val="nil"/>
                    <w:tr2bl w:val="nil"/>
                  </w:tcBorders>
                  <w:vAlign w:val="center"/>
                </w:tcPr>
                <w:p w14:paraId="570DB91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4AFD9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63856911">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101CA5D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3612FBD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雨水池</w:t>
                  </w:r>
                </w:p>
              </w:tc>
              <w:tc>
                <w:tcPr>
                  <w:tcW w:w="2907" w:type="pct"/>
                  <w:gridSpan w:val="2"/>
                  <w:tcBorders>
                    <w:tl2br w:val="nil"/>
                    <w:tr2bl w:val="nil"/>
                  </w:tcBorders>
                  <w:vAlign w:val="center"/>
                </w:tcPr>
                <w:p w14:paraId="1153BBE0">
                  <w:pPr>
                    <w:widowControl w:val="0"/>
                    <w:adjustRightInd/>
                    <w:snapToGrid/>
                    <w:spacing w:line="240" w:lineRule="auto"/>
                    <w:ind w:firstLine="0" w:firstLineChars="0"/>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西区免烧砖生产线设310m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雨水收集池1座，东区烧结砖生产线设263m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和284m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雨水收集池2座，防渗处理，回用生产</w:t>
                  </w:r>
                </w:p>
              </w:tc>
              <w:tc>
                <w:tcPr>
                  <w:tcW w:w="561" w:type="pct"/>
                  <w:tcBorders>
                    <w:tl2br w:val="nil"/>
                    <w:tr2bl w:val="nil"/>
                  </w:tcBorders>
                  <w:vAlign w:val="center"/>
                </w:tcPr>
                <w:p w14:paraId="545B3B4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326DD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90" w:hRule="atLeast"/>
                <w:jc w:val="center"/>
              </w:trPr>
              <w:tc>
                <w:tcPr>
                  <w:tcW w:w="513" w:type="pct"/>
                  <w:vMerge w:val="continue"/>
                  <w:tcBorders>
                    <w:tl2br w:val="nil"/>
                    <w:tr2bl w:val="nil"/>
                  </w:tcBorders>
                  <w:vAlign w:val="center"/>
                </w:tcPr>
                <w:p w14:paraId="7D99283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tcBorders>
                    <w:tl2br w:val="nil"/>
                    <w:tr2bl w:val="nil"/>
                  </w:tcBorders>
                  <w:vAlign w:val="center"/>
                </w:tcPr>
                <w:p w14:paraId="77A892E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噪声</w:t>
                  </w:r>
                </w:p>
              </w:tc>
              <w:tc>
                <w:tcPr>
                  <w:tcW w:w="3525" w:type="pct"/>
                  <w:gridSpan w:val="3"/>
                  <w:tcBorders>
                    <w:tl2br w:val="nil"/>
                    <w:tr2bl w:val="nil"/>
                  </w:tcBorders>
                  <w:vAlign w:val="center"/>
                </w:tcPr>
                <w:p w14:paraId="1919A34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采取选用低噪声设备、基础减振、风机消声、厂房隔声等措施</w:t>
                  </w:r>
                </w:p>
              </w:tc>
              <w:tc>
                <w:tcPr>
                  <w:tcW w:w="561" w:type="pct"/>
                  <w:tcBorders>
                    <w:tl2br w:val="nil"/>
                    <w:tr2bl w:val="nil"/>
                  </w:tcBorders>
                  <w:vAlign w:val="center"/>
                </w:tcPr>
                <w:p w14:paraId="0799CD8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039E3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3A0E4DC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restart"/>
                  <w:tcBorders>
                    <w:tl2br w:val="nil"/>
                    <w:tr2bl w:val="nil"/>
                  </w:tcBorders>
                  <w:vAlign w:val="center"/>
                </w:tcPr>
                <w:p w14:paraId="51CA561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固废</w:t>
                  </w:r>
                </w:p>
              </w:tc>
              <w:tc>
                <w:tcPr>
                  <w:tcW w:w="617" w:type="pct"/>
                  <w:tcBorders>
                    <w:tl2br w:val="nil"/>
                    <w:tr2bl w:val="nil"/>
                  </w:tcBorders>
                  <w:vAlign w:val="center"/>
                </w:tcPr>
                <w:p w14:paraId="5A55437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除尘灰</w:t>
                  </w:r>
                </w:p>
              </w:tc>
              <w:tc>
                <w:tcPr>
                  <w:tcW w:w="2907" w:type="pct"/>
                  <w:gridSpan w:val="2"/>
                  <w:tcBorders>
                    <w:tl2br w:val="nil"/>
                    <w:tr2bl w:val="nil"/>
                  </w:tcBorders>
                  <w:vAlign w:val="center"/>
                </w:tcPr>
                <w:p w14:paraId="1409EBE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回用生产</w:t>
                  </w:r>
                </w:p>
              </w:tc>
              <w:tc>
                <w:tcPr>
                  <w:tcW w:w="561" w:type="pct"/>
                  <w:tcBorders>
                    <w:tl2br w:val="nil"/>
                    <w:tr2bl w:val="nil"/>
                  </w:tcBorders>
                  <w:vAlign w:val="center"/>
                </w:tcPr>
                <w:p w14:paraId="5BAC7F5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r>
            <w:tr w14:paraId="7F5AE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68EA132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76EEE59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45EB955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脱硫渣</w:t>
                  </w:r>
                </w:p>
              </w:tc>
              <w:tc>
                <w:tcPr>
                  <w:tcW w:w="2907" w:type="pct"/>
                  <w:gridSpan w:val="2"/>
                  <w:tcBorders>
                    <w:tl2br w:val="nil"/>
                    <w:tr2bl w:val="nil"/>
                  </w:tcBorders>
                  <w:vAlign w:val="center"/>
                </w:tcPr>
                <w:p w14:paraId="79CC4A2B">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回用生产</w:t>
                  </w:r>
                </w:p>
              </w:tc>
              <w:tc>
                <w:tcPr>
                  <w:tcW w:w="561" w:type="pct"/>
                  <w:tcBorders>
                    <w:tl2br w:val="nil"/>
                    <w:tr2bl w:val="nil"/>
                  </w:tcBorders>
                  <w:vAlign w:val="center"/>
                </w:tcPr>
                <w:p w14:paraId="2D465C9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r>
            <w:tr w14:paraId="547EE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5D8A89B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26D35E9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15E0D0E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不合格产品</w:t>
                  </w:r>
                </w:p>
              </w:tc>
              <w:tc>
                <w:tcPr>
                  <w:tcW w:w="2907" w:type="pct"/>
                  <w:gridSpan w:val="2"/>
                  <w:tcBorders>
                    <w:tl2br w:val="nil"/>
                    <w:tr2bl w:val="nil"/>
                  </w:tcBorders>
                  <w:vAlign w:val="center"/>
                </w:tcPr>
                <w:p w14:paraId="6CB9EB2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回用生产</w:t>
                  </w:r>
                </w:p>
              </w:tc>
              <w:tc>
                <w:tcPr>
                  <w:tcW w:w="561" w:type="pct"/>
                  <w:tcBorders>
                    <w:tl2br w:val="nil"/>
                    <w:tr2bl w:val="nil"/>
                  </w:tcBorders>
                  <w:vAlign w:val="center"/>
                </w:tcPr>
                <w:p w14:paraId="33801A5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r>
            <w:tr w14:paraId="5C6F1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229C104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58297EA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4AEBFCF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生活垃圾</w:t>
                  </w:r>
                </w:p>
              </w:tc>
              <w:tc>
                <w:tcPr>
                  <w:tcW w:w="2907" w:type="pct"/>
                  <w:gridSpan w:val="2"/>
                  <w:tcBorders>
                    <w:tl2br w:val="nil"/>
                    <w:tr2bl w:val="nil"/>
                  </w:tcBorders>
                  <w:vAlign w:val="center"/>
                </w:tcPr>
                <w:p w14:paraId="5A539F9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收集后定期由环卫部门处理</w:t>
                  </w:r>
                </w:p>
              </w:tc>
              <w:tc>
                <w:tcPr>
                  <w:tcW w:w="561" w:type="pct"/>
                  <w:tcBorders>
                    <w:tl2br w:val="nil"/>
                    <w:tr2bl w:val="nil"/>
                  </w:tcBorders>
                  <w:vAlign w:val="center"/>
                </w:tcPr>
                <w:p w14:paraId="551D345F">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r>
            <w:tr w14:paraId="45A24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2BF6B8CC">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331C2215">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59544D6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废机油</w:t>
                  </w:r>
                </w:p>
              </w:tc>
              <w:tc>
                <w:tcPr>
                  <w:tcW w:w="2907" w:type="pct"/>
                  <w:gridSpan w:val="2"/>
                  <w:tcBorders>
                    <w:tl2br w:val="nil"/>
                    <w:tr2bl w:val="nil"/>
                  </w:tcBorders>
                  <w:vAlign w:val="center"/>
                </w:tcPr>
                <w:p w14:paraId="122A571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废机油、废机油桶等危险废物暂存危废贮存间，定期委托有资质单位处置</w:t>
                  </w:r>
                </w:p>
              </w:tc>
              <w:tc>
                <w:tcPr>
                  <w:tcW w:w="561" w:type="pct"/>
                  <w:tcBorders>
                    <w:tl2br w:val="nil"/>
                    <w:tr2bl w:val="nil"/>
                  </w:tcBorders>
                  <w:vAlign w:val="center"/>
                </w:tcPr>
                <w:p w14:paraId="7D5BCBB1">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59773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7E092F5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4169B50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0F52D62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洗选工段</w:t>
                  </w:r>
                </w:p>
                <w:p w14:paraId="77EDDB92">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砂土</w:t>
                  </w:r>
                </w:p>
              </w:tc>
              <w:tc>
                <w:tcPr>
                  <w:tcW w:w="2907" w:type="pct"/>
                  <w:gridSpan w:val="2"/>
                  <w:tcBorders>
                    <w:tl2br w:val="nil"/>
                    <w:tr2bl w:val="nil"/>
                  </w:tcBorders>
                  <w:vAlign w:val="center"/>
                </w:tcPr>
                <w:p w14:paraId="7B0D6E97">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洗选工段砂土回用于免烧砖工序</w:t>
                  </w:r>
                </w:p>
              </w:tc>
              <w:tc>
                <w:tcPr>
                  <w:tcW w:w="561" w:type="pct"/>
                  <w:tcBorders>
                    <w:tl2br w:val="nil"/>
                    <w:tr2bl w:val="nil"/>
                  </w:tcBorders>
                  <w:vAlign w:val="center"/>
                </w:tcPr>
                <w:p w14:paraId="4D588F1D">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r>
            <w:tr w14:paraId="35416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769DFBF9">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394" w:type="pct"/>
                  <w:vMerge w:val="continue"/>
                  <w:tcBorders>
                    <w:tl2br w:val="nil"/>
                    <w:tr2bl w:val="nil"/>
                  </w:tcBorders>
                  <w:vAlign w:val="center"/>
                </w:tcPr>
                <w:p w14:paraId="79B05043">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617" w:type="pct"/>
                  <w:tcBorders>
                    <w:tl2br w:val="nil"/>
                    <w:tr2bl w:val="nil"/>
                  </w:tcBorders>
                  <w:vAlign w:val="center"/>
                </w:tcPr>
                <w:p w14:paraId="1593A0EF">
                  <w:pPr>
                    <w:widowControl w:val="0"/>
                    <w:adjustRightInd/>
                    <w:snapToGrid/>
                    <w:spacing w:line="240" w:lineRule="auto"/>
                    <w:ind w:firstLine="0" w:firstLineChars="0"/>
                    <w:jc w:val="center"/>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劣质煤</w:t>
                  </w:r>
                </w:p>
              </w:tc>
              <w:tc>
                <w:tcPr>
                  <w:tcW w:w="2907" w:type="pct"/>
                  <w:gridSpan w:val="2"/>
                  <w:tcBorders>
                    <w:tl2br w:val="nil"/>
                    <w:tr2bl w:val="nil"/>
                  </w:tcBorders>
                  <w:vAlign w:val="center"/>
                </w:tcPr>
                <w:p w14:paraId="1E0FAF8E">
                  <w:pPr>
                    <w:widowControl w:val="0"/>
                    <w:adjustRightInd/>
                    <w:snapToGrid/>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项目产生的劣质煤外售</w:t>
                  </w:r>
                </w:p>
              </w:tc>
              <w:tc>
                <w:tcPr>
                  <w:tcW w:w="561" w:type="pct"/>
                  <w:tcBorders>
                    <w:tl2br w:val="nil"/>
                    <w:tr2bl w:val="nil"/>
                  </w:tcBorders>
                  <w:vAlign w:val="center"/>
                </w:tcPr>
                <w:p w14:paraId="178BC760">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r>
            <w:tr w14:paraId="74CFA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636650D4">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54F61B4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土壤、地下水污染防治措施</w:t>
                  </w:r>
                </w:p>
              </w:tc>
              <w:tc>
                <w:tcPr>
                  <w:tcW w:w="2907" w:type="pct"/>
                  <w:gridSpan w:val="2"/>
                  <w:tcBorders>
                    <w:tl2br w:val="nil"/>
                    <w:tr2bl w:val="nil"/>
                  </w:tcBorders>
                  <w:vAlign w:val="center"/>
                </w:tcPr>
                <w:p w14:paraId="0081CE0A">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厂区采取分区防渗措施，地面和道路等进行硬化处理</w:t>
                  </w:r>
                </w:p>
              </w:tc>
              <w:tc>
                <w:tcPr>
                  <w:tcW w:w="561" w:type="pct"/>
                  <w:tcBorders>
                    <w:tl2br w:val="nil"/>
                    <w:tr2bl w:val="nil"/>
                  </w:tcBorders>
                  <w:vAlign w:val="center"/>
                </w:tcPr>
                <w:p w14:paraId="0EC9F52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依托</w:t>
                  </w:r>
                </w:p>
              </w:tc>
            </w:tr>
            <w:tr w14:paraId="2B549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pct"/>
                <w:trHeight w:val="340" w:hRule="atLeast"/>
                <w:jc w:val="center"/>
              </w:trPr>
              <w:tc>
                <w:tcPr>
                  <w:tcW w:w="513" w:type="pct"/>
                  <w:vMerge w:val="continue"/>
                  <w:tcBorders>
                    <w:tl2br w:val="nil"/>
                    <w:tr2bl w:val="nil"/>
                  </w:tcBorders>
                  <w:vAlign w:val="center"/>
                </w:tcPr>
                <w:p w14:paraId="5DE96471">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012" w:type="pct"/>
                  <w:gridSpan w:val="2"/>
                  <w:tcBorders>
                    <w:tl2br w:val="nil"/>
                    <w:tr2bl w:val="nil"/>
                  </w:tcBorders>
                  <w:vAlign w:val="center"/>
                </w:tcPr>
                <w:p w14:paraId="5DBF2F78">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绿化</w:t>
                  </w:r>
                </w:p>
              </w:tc>
              <w:tc>
                <w:tcPr>
                  <w:tcW w:w="2907" w:type="pct"/>
                  <w:gridSpan w:val="2"/>
                  <w:tcBorders>
                    <w:tl2br w:val="nil"/>
                    <w:tr2bl w:val="nil"/>
                  </w:tcBorders>
                  <w:vAlign w:val="center"/>
                </w:tcPr>
                <w:p w14:paraId="0A8D086E">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厂区绿化面积56000m</w:t>
                  </w:r>
                  <w:r>
                    <w:rPr>
                      <w:rFonts w:eastAsiaTheme="minorEastAsia"/>
                      <w:color w:val="000000" w:themeColor="text1"/>
                      <w:sz w:val="21"/>
                      <w:szCs w:val="21"/>
                      <w:vertAlign w:val="superscript"/>
                      <w14:textFill>
                        <w14:solidFill>
                          <w14:schemeClr w14:val="tx1"/>
                        </w14:solidFill>
                      </w14:textFill>
                    </w:rPr>
                    <w:t>2</w:t>
                  </w:r>
                </w:p>
              </w:tc>
              <w:tc>
                <w:tcPr>
                  <w:tcW w:w="561" w:type="pct"/>
                  <w:tcBorders>
                    <w:tl2br w:val="nil"/>
                    <w:tr2bl w:val="nil"/>
                  </w:tcBorders>
                  <w:vAlign w:val="center"/>
                </w:tcPr>
                <w:p w14:paraId="5F8924C6">
                  <w:pPr>
                    <w:widowControl w:val="0"/>
                    <w:adjustRightInd/>
                    <w:snapToGrid/>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r>
          </w:tbl>
          <w:p w14:paraId="684B4459">
            <w:pPr>
              <w:ind w:firstLine="48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依托可行性分析：</w:t>
            </w:r>
          </w:p>
          <w:p w14:paraId="2A89F4E2">
            <w:pPr>
              <w:widowControl w:val="0"/>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本项目在公司原有300万吨/年矿物固废煤矸石综合处置再利用项目厂区内改建，生产车间、原料棚、生活办公区、水泥筒仓、养护区及养护废水收集、在线扬尘设备、危废贮存库均依托现有设施。陕西汇荣禾能源环保科技有限公司300万吨/年矿物固废煤矸石综合处置再利用项目已通过环保验收，本项目烧结砖和免烧砖产量通过调整生产线运行负荷实现，新增机制砂生产线拟布设于的制砖破碎车间，目前空余位置可安置本项目新增生产设备，不影响原有设备正常生产运行。</w:t>
            </w:r>
          </w:p>
          <w:p w14:paraId="098440D2">
            <w:pPr>
              <w:widowControl w:val="0"/>
              <w:ind w:firstLine="480"/>
              <w:rPr>
                <w:rFonts w:hint="eastAsia" w:asciiTheme="minorEastAsia" w:hAnsiTheme="minorEastAsia" w:eastAsiaTheme="minorEastAsia" w:cstheme="minorEastAsia"/>
                <w:b/>
                <w:color w:val="000000" w:themeColor="text1"/>
                <w:szCs w:val="20"/>
                <w14:textFill>
                  <w14:solidFill>
                    <w14:schemeClr w14:val="tx1"/>
                  </w14:solidFill>
                </w14:textFill>
              </w:rPr>
            </w:pPr>
            <w:r>
              <w:rPr>
                <w:rFonts w:eastAsiaTheme="minorEastAsia"/>
                <w:color w:val="000000" w:themeColor="text1"/>
                <w:szCs w:val="24"/>
                <w14:textFill>
                  <w14:solidFill>
                    <w14:schemeClr w14:val="tx1"/>
                  </w14:solidFill>
                </w14:textFill>
              </w:rPr>
              <w:t>本项目原辅材料的储存依托现有的原辅料储存系统，地面已做一般硬化防渗处理，</w:t>
            </w:r>
            <w:r>
              <w:rPr>
                <w:rFonts w:eastAsiaTheme="minorEastAsia"/>
                <w:color w:val="000000" w:themeColor="text1"/>
                <w14:textFill>
                  <w14:solidFill>
                    <w14:schemeClr w14:val="tx1"/>
                  </w14:solidFill>
                </w14:textFill>
              </w:rPr>
              <w:t>棚内空间可有效容纳本项目原料存储，原料分区存储，污泥储存区四周设置3cm高围堰，并设置渗滤液导流系统及0.2m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14:textFill>
                  <w14:solidFill>
                    <w14:schemeClr w14:val="tx1"/>
                  </w14:solidFill>
                </w14:textFill>
              </w:rPr>
              <w:t>收集池1座</w:t>
            </w:r>
            <w:r>
              <w:rPr>
                <w:rFonts w:eastAsiaTheme="minorEastAsia"/>
                <w:color w:val="000000" w:themeColor="text1"/>
                <w:szCs w:val="24"/>
                <w14:textFill>
                  <w14:solidFill>
                    <w14:schemeClr w14:val="tx1"/>
                  </w14:solidFill>
                </w14:textFill>
              </w:rPr>
              <w:t>；已建设办公生活区，供暖采用电暖气，生活污水设化粪池，生活垃圾设垃圾桶，收集后交由环卫部门统一处理；厂区已建设2个70t的水泥筒仓，2个80t的水泥简仓，仓顶配套安装除尘器，项目水泥用量较小，原有筒仓可保证水泥的存储；</w:t>
            </w:r>
            <w:r>
              <w:rPr>
                <w:rFonts w:eastAsiaTheme="minorEastAsia"/>
                <w:color w:val="000000" w:themeColor="text1"/>
                <w:kern w:val="0"/>
                <w:szCs w:val="24"/>
                <w14:textFill>
                  <w14:solidFill>
                    <w14:schemeClr w14:val="tx1"/>
                  </w14:solidFill>
                </w14:textFill>
              </w:rPr>
              <w:t>厂区现有露天养护堆场共4处，1处位于免烧砖生产车间外、2处位于办公楼北侧、1处位于办公室东北侧，占地面积分别为11340m</w:t>
            </w:r>
            <w:r>
              <w:rPr>
                <w:rFonts w:eastAsiaTheme="minorEastAsia"/>
                <w:color w:val="000000" w:themeColor="text1"/>
                <w:kern w:val="0"/>
                <w:szCs w:val="24"/>
                <w:vertAlign w:val="superscript"/>
                <w14:textFill>
                  <w14:solidFill>
                    <w14:schemeClr w14:val="tx1"/>
                  </w14:solidFill>
                </w14:textFill>
              </w:rPr>
              <w:t>2</w:t>
            </w:r>
            <w:r>
              <w:rPr>
                <w:rFonts w:eastAsiaTheme="minorEastAsia"/>
                <w:color w:val="000000" w:themeColor="text1"/>
                <w:kern w:val="0"/>
                <w:szCs w:val="24"/>
                <w14:textFill>
                  <w14:solidFill>
                    <w14:schemeClr w14:val="tx1"/>
                  </w14:solidFill>
                </w14:textFill>
              </w:rPr>
              <w:t>、6000m</w:t>
            </w:r>
            <w:r>
              <w:rPr>
                <w:rFonts w:eastAsiaTheme="minorEastAsia"/>
                <w:color w:val="000000" w:themeColor="text1"/>
                <w:kern w:val="0"/>
                <w:szCs w:val="24"/>
                <w:vertAlign w:val="superscript"/>
                <w14:textFill>
                  <w14:solidFill>
                    <w14:schemeClr w14:val="tx1"/>
                  </w14:solidFill>
                </w14:textFill>
              </w:rPr>
              <w:t>2</w:t>
            </w:r>
            <w:r>
              <w:rPr>
                <w:rFonts w:eastAsiaTheme="minorEastAsia"/>
                <w:color w:val="000000" w:themeColor="text1"/>
                <w:kern w:val="0"/>
                <w:szCs w:val="24"/>
                <w14:textFill>
                  <w14:solidFill>
                    <w14:schemeClr w14:val="tx1"/>
                  </w14:solidFill>
                </w14:textFill>
              </w:rPr>
              <w:t>、3000m</w:t>
            </w:r>
            <w:r>
              <w:rPr>
                <w:rFonts w:eastAsiaTheme="minorEastAsia"/>
                <w:color w:val="000000" w:themeColor="text1"/>
                <w:kern w:val="0"/>
                <w:szCs w:val="24"/>
                <w:vertAlign w:val="superscript"/>
                <w14:textFill>
                  <w14:solidFill>
                    <w14:schemeClr w14:val="tx1"/>
                  </w14:solidFill>
                </w14:textFill>
              </w:rPr>
              <w:t>2</w:t>
            </w:r>
            <w:r>
              <w:rPr>
                <w:rFonts w:eastAsiaTheme="minorEastAsia"/>
                <w:color w:val="000000" w:themeColor="text1"/>
                <w:kern w:val="0"/>
                <w:szCs w:val="24"/>
                <w14:textFill>
                  <w14:solidFill>
                    <w14:schemeClr w14:val="tx1"/>
                  </w14:solidFill>
                </w14:textFill>
              </w:rPr>
              <w:t>、1500m</w:t>
            </w:r>
            <w:r>
              <w:rPr>
                <w:rFonts w:eastAsiaTheme="minorEastAsia"/>
                <w:color w:val="000000" w:themeColor="text1"/>
                <w:kern w:val="0"/>
                <w:szCs w:val="24"/>
                <w:vertAlign w:val="superscript"/>
                <w14:textFill>
                  <w14:solidFill>
                    <w14:schemeClr w14:val="tx1"/>
                  </w14:solidFill>
                </w14:textFill>
              </w:rPr>
              <w:t>2</w:t>
            </w:r>
            <w:r>
              <w:rPr>
                <w:rFonts w:eastAsiaTheme="minorEastAsia"/>
                <w:color w:val="000000" w:themeColor="text1"/>
                <w:kern w:val="0"/>
                <w:szCs w:val="24"/>
                <w14:textFill>
                  <w14:solidFill>
                    <w14:schemeClr w14:val="tx1"/>
                  </w14:solidFill>
                </w14:textFill>
              </w:rPr>
              <w:t>，免烧砖生产车间外露天养护堆场，地面已硬化</w:t>
            </w:r>
            <w:r>
              <w:rPr>
                <w:rFonts w:eastAsiaTheme="minorEastAsia"/>
                <w:color w:val="000000" w:themeColor="text1"/>
                <w:szCs w:val="24"/>
                <w14:textFill>
                  <w14:solidFill>
                    <w14:schemeClr w14:val="tx1"/>
                  </w14:solidFill>
                </w14:textFill>
              </w:rPr>
              <w:t>，西区免烧砖生产线设310m</w:t>
            </w:r>
            <w:r>
              <w:rPr>
                <w:rFonts w:eastAsiaTheme="minorEastAsia"/>
                <w:color w:val="000000" w:themeColor="text1"/>
                <w:szCs w:val="24"/>
                <w:vertAlign w:val="superscript"/>
                <w14:textFill>
                  <w14:solidFill>
                    <w14:schemeClr w14:val="tx1"/>
                  </w14:solidFill>
                </w14:textFill>
              </w:rPr>
              <w:t>3</w:t>
            </w:r>
            <w:r>
              <w:rPr>
                <w:rFonts w:eastAsiaTheme="minorEastAsia"/>
                <w:color w:val="000000" w:themeColor="text1"/>
                <w:szCs w:val="24"/>
                <w14:textFill>
                  <w14:solidFill>
                    <w14:schemeClr w14:val="tx1"/>
                  </w14:solidFill>
                </w14:textFill>
              </w:rPr>
              <w:t>雨水收集池1座，东区烧结砖生产线设263m</w:t>
            </w:r>
            <w:r>
              <w:rPr>
                <w:rFonts w:eastAsiaTheme="minorEastAsia"/>
                <w:color w:val="000000" w:themeColor="text1"/>
                <w:szCs w:val="24"/>
                <w:vertAlign w:val="superscript"/>
                <w14:textFill>
                  <w14:solidFill>
                    <w14:schemeClr w14:val="tx1"/>
                  </w14:solidFill>
                </w14:textFill>
              </w:rPr>
              <w:t>3</w:t>
            </w:r>
            <w:r>
              <w:rPr>
                <w:rFonts w:eastAsiaTheme="minorEastAsia"/>
                <w:color w:val="000000" w:themeColor="text1"/>
                <w:szCs w:val="24"/>
                <w14:textFill>
                  <w14:solidFill>
                    <w14:schemeClr w14:val="tx1"/>
                  </w14:solidFill>
                </w14:textFill>
              </w:rPr>
              <w:t>和284m</w:t>
            </w:r>
            <w:r>
              <w:rPr>
                <w:rFonts w:eastAsiaTheme="minorEastAsia"/>
                <w:color w:val="000000" w:themeColor="text1"/>
                <w:szCs w:val="24"/>
                <w:vertAlign w:val="superscript"/>
                <w14:textFill>
                  <w14:solidFill>
                    <w14:schemeClr w14:val="tx1"/>
                  </w14:solidFill>
                </w14:textFill>
              </w:rPr>
              <w:t>3</w:t>
            </w:r>
            <w:r>
              <w:rPr>
                <w:rFonts w:eastAsiaTheme="minorEastAsia"/>
                <w:color w:val="000000" w:themeColor="text1"/>
                <w:szCs w:val="24"/>
                <w14:textFill>
                  <w14:solidFill>
                    <w14:schemeClr w14:val="tx1"/>
                  </w14:solidFill>
                </w14:textFill>
              </w:rPr>
              <w:t>雨水收集池2座</w:t>
            </w:r>
            <w:r>
              <w:rPr>
                <w:rFonts w:hint="eastAsia" w:eastAsiaTheme="minorEastAsia"/>
                <w:color w:val="000000" w:themeColor="text1"/>
                <w:szCs w:val="24"/>
                <w:lang w:eastAsia="zh-CN"/>
                <w14:textFill>
                  <w14:solidFill>
                    <w14:schemeClr w14:val="tx1"/>
                  </w14:solidFill>
                </w14:textFill>
              </w:rPr>
              <w:t>，</w:t>
            </w:r>
            <w:r>
              <w:rPr>
                <w:rFonts w:eastAsiaTheme="minorEastAsia"/>
                <w:color w:val="000000" w:themeColor="text1"/>
                <w:szCs w:val="24"/>
                <w14:textFill>
                  <w14:solidFill>
                    <w14:schemeClr w14:val="tx1"/>
                  </w14:solidFill>
                </w14:textFill>
              </w:rPr>
              <w:t>可有效收集厂区雨水及养护区废水；厂界四角已安装4台扬尘在线设备；厂区设置危废贮存间1座，</w:t>
            </w:r>
            <w:r>
              <w:rPr>
                <w:rFonts w:eastAsiaTheme="minorEastAsia"/>
                <w:color w:val="000000" w:themeColor="text1"/>
                <w:kern w:val="0"/>
                <w:szCs w:val="24"/>
                <w:lang w:bidi="ar"/>
                <w14:textFill>
                  <w14:solidFill>
                    <w14:schemeClr w14:val="tx1"/>
                  </w14:solidFill>
                </w14:textFill>
              </w:rPr>
              <w:t>满足防风、防晒、防雨、防渗漏要求</w:t>
            </w:r>
            <w:r>
              <w:rPr>
                <w:rFonts w:eastAsiaTheme="minorEastAsia"/>
                <w:color w:val="000000" w:themeColor="text1"/>
                <w:szCs w:val="24"/>
                <w14:textFill>
                  <w14:solidFill>
                    <w14:schemeClr w14:val="tx1"/>
                  </w14:solidFill>
                </w14:textFill>
              </w:rPr>
              <w:t>。项目依托已建工程</w:t>
            </w:r>
            <w:r>
              <w:rPr>
                <w:rFonts w:eastAsiaTheme="minorEastAsia"/>
                <w:snapToGrid w:val="0"/>
                <w:color w:val="000000" w:themeColor="text1"/>
                <w:szCs w:val="24"/>
                <w14:textFill>
                  <w14:solidFill>
                    <w14:schemeClr w14:val="tx1"/>
                  </w14:solidFill>
                </w14:textFill>
              </w:rPr>
              <w:t>具有可行性</w:t>
            </w:r>
            <w:r>
              <w:rPr>
                <w:rFonts w:eastAsiaTheme="minorEastAsia"/>
                <w:color w:val="000000" w:themeColor="text1"/>
                <w:szCs w:val="24"/>
                <w14:textFill>
                  <w14:solidFill>
                    <w14:schemeClr w14:val="tx1"/>
                  </w14:solidFill>
                </w14:textFill>
              </w:rPr>
              <w:t>。</w:t>
            </w:r>
          </w:p>
          <w:p w14:paraId="31B76D0A">
            <w:pPr>
              <w:ind w:firstLine="482"/>
              <w:rPr>
                <w:rFonts w:hint="eastAsia" w:asciiTheme="minorEastAsia" w:hAnsiTheme="minorEastAsia" w:eastAsiaTheme="minorEastAsia" w:cstheme="minorEastAsia"/>
                <w:b/>
                <w:bCs/>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3.占地及平面布置</w:t>
            </w:r>
          </w:p>
          <w:p w14:paraId="64DEEDAD">
            <w:pPr>
              <w:ind w:firstLine="48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项目位于陕西汇荣禾能源环保科技有限公司现有厂区内，不新增占地，利用产区原有车间及储棚布置，无新增构筑物，充分利用现有场地实施，益于提高土地利用率。</w:t>
            </w:r>
          </w:p>
          <w:p w14:paraId="5750E5E8">
            <w:pPr>
              <w:ind w:firstLine="482"/>
              <w:rPr>
                <w:rFonts w:hint="eastAsia" w:asciiTheme="minorEastAsia" w:hAnsiTheme="minorEastAsia" w:eastAsiaTheme="minorEastAsia" w:cstheme="minorEastAsia"/>
                <w:b/>
                <w:bCs/>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4.主要生产设备</w:t>
            </w:r>
          </w:p>
          <w:p w14:paraId="5590C9E0">
            <w:pPr>
              <w:ind w:firstLine="48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本项目烧结砖及免烧砖生产线通过调整生产线负荷进行产能变化，生产设备能够满足改建后的要求，本项目</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拆除1条免烧砖生产线设备，新增1条机制生产线，</w:t>
            </w:r>
            <w:r>
              <w:rPr>
                <w:rFonts w:hint="eastAsia" w:asciiTheme="minorEastAsia" w:hAnsiTheme="minorEastAsia" w:eastAsiaTheme="minorEastAsia" w:cstheme="minorEastAsia"/>
                <w:color w:val="000000" w:themeColor="text1"/>
                <w14:textFill>
                  <w14:solidFill>
                    <w14:schemeClr w14:val="tx1"/>
                  </w14:solidFill>
                </w14:textFill>
              </w:rPr>
              <w:t>新增生产设备为机制砂生产设备，</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改建后</w:t>
            </w:r>
            <w:r>
              <w:rPr>
                <w:rFonts w:hint="eastAsia" w:asciiTheme="minorEastAsia" w:hAnsiTheme="minorEastAsia" w:eastAsiaTheme="minorEastAsia" w:cstheme="minorEastAsia"/>
                <w:color w:val="000000" w:themeColor="text1"/>
                <w14:textFill>
                  <w14:solidFill>
                    <w14:schemeClr w14:val="tx1"/>
                  </w14:solidFill>
                </w14:textFill>
              </w:rPr>
              <w:t>设备详见下表。</w:t>
            </w:r>
          </w:p>
          <w:p w14:paraId="69511ADD">
            <w:pPr>
              <w:pStyle w:val="312"/>
              <w:widowControl w:val="0"/>
              <w:numPr>
                <w:ilvl w:val="0"/>
                <w:numId w:val="14"/>
              </w:numPr>
              <w:spacing w:line="240" w:lineRule="auto"/>
              <w:ind w:left="-2" w:firstLine="482" w:firstLineChars="0"/>
              <w:rPr>
                <w:rFonts w:hint="eastAsia" w:asciiTheme="minorEastAsia" w:hAnsiTheme="minorEastAsia" w:eastAsiaTheme="minorEastAsia" w:cstheme="minorEastAsia"/>
                <w:b/>
                <w:color w:val="000000" w:themeColor="text1"/>
                <w:szCs w:val="20"/>
                <w14:textFill>
                  <w14:solidFill>
                    <w14:schemeClr w14:val="tx1"/>
                  </w14:solidFill>
                </w14:textFill>
              </w:rPr>
            </w:pPr>
            <w:r>
              <w:rPr>
                <w:rFonts w:hint="eastAsia" w:asciiTheme="minorEastAsia" w:hAnsiTheme="minorEastAsia" w:eastAsiaTheme="minorEastAsia" w:cstheme="minorEastAsia"/>
                <w:b/>
                <w:color w:val="000000" w:themeColor="text1"/>
                <w14:textFill>
                  <w14:solidFill>
                    <w14:schemeClr w14:val="tx1"/>
                  </w14:solidFill>
                </w14:textFill>
              </w:rPr>
              <w:t xml:space="preserve">                 项目主要生产设备一览表</w:t>
            </w:r>
          </w:p>
          <w:tbl>
            <w:tblPr>
              <w:tblStyle w:val="1297"/>
              <w:tblW w:w="49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2"/>
              <w:gridCol w:w="1303"/>
              <w:gridCol w:w="3768"/>
              <w:gridCol w:w="897"/>
              <w:gridCol w:w="905"/>
              <w:gridCol w:w="944"/>
            </w:tblGrid>
            <w:tr w14:paraId="063F5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Merge w:val="restart"/>
                  <w:vAlign w:val="center"/>
                </w:tcPr>
                <w:p w14:paraId="6780910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序号</w:t>
                  </w:r>
                </w:p>
              </w:tc>
              <w:tc>
                <w:tcPr>
                  <w:tcW w:w="770" w:type="pct"/>
                  <w:vMerge w:val="restart"/>
                  <w:vAlign w:val="center"/>
                </w:tcPr>
                <w:p w14:paraId="4A47FC2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设备名</w:t>
                  </w:r>
                </w:p>
              </w:tc>
              <w:tc>
                <w:tcPr>
                  <w:tcW w:w="2227" w:type="pct"/>
                  <w:vMerge w:val="restart"/>
                  <w:vAlign w:val="center"/>
                </w:tcPr>
                <w:p w14:paraId="46A22D4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规格型号</w:t>
                  </w:r>
                </w:p>
              </w:tc>
              <w:tc>
                <w:tcPr>
                  <w:tcW w:w="1065" w:type="pct"/>
                  <w:gridSpan w:val="2"/>
                  <w:vAlign w:val="center"/>
                </w:tcPr>
                <w:p w14:paraId="56AEE77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数量</w:t>
                  </w:r>
                </w:p>
              </w:tc>
              <w:tc>
                <w:tcPr>
                  <w:tcW w:w="555" w:type="pct"/>
                  <w:vMerge w:val="restart"/>
                  <w:vAlign w:val="center"/>
                </w:tcPr>
                <w:p w14:paraId="0EF2735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备注</w:t>
                  </w:r>
                </w:p>
              </w:tc>
            </w:tr>
            <w:tr w14:paraId="42B2E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Merge w:val="continue"/>
                  <w:vAlign w:val="center"/>
                </w:tcPr>
                <w:p w14:paraId="56EF79C8">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770" w:type="pct"/>
                  <w:vMerge w:val="continue"/>
                  <w:vAlign w:val="center"/>
                </w:tcPr>
                <w:p w14:paraId="22F5C8FC">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2227" w:type="pct"/>
                  <w:vMerge w:val="continue"/>
                  <w:vAlign w:val="center"/>
                </w:tcPr>
                <w:p w14:paraId="6639E1B2">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530" w:type="pct"/>
                  <w:vAlign w:val="center"/>
                </w:tcPr>
                <w:p w14:paraId="22763C67">
                  <w:pPr>
                    <w:pStyle w:val="144"/>
                    <w:rPr>
                      <w:rFonts w:hint="eastAsia"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改建前</w:t>
                  </w:r>
                </w:p>
              </w:tc>
              <w:tc>
                <w:tcPr>
                  <w:tcW w:w="534" w:type="pct"/>
                  <w:vAlign w:val="center"/>
                </w:tcPr>
                <w:p w14:paraId="7E312F94">
                  <w:pPr>
                    <w:pStyle w:val="144"/>
                    <w:rPr>
                      <w:rFonts w:hint="eastAsia"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改建后</w:t>
                  </w:r>
                </w:p>
              </w:tc>
              <w:tc>
                <w:tcPr>
                  <w:tcW w:w="555" w:type="pct"/>
                  <w:vMerge w:val="continue"/>
                  <w:vAlign w:val="center"/>
                </w:tcPr>
                <w:p w14:paraId="5B286A24">
                  <w:pPr>
                    <w:pStyle w:val="144"/>
                    <w:rPr>
                      <w:rFonts w:ascii="Times New Roman" w:hAnsi="Times New Roman" w:eastAsiaTheme="minorEastAsia"/>
                      <w:color w:val="000000" w:themeColor="text1"/>
                      <w:szCs w:val="21"/>
                      <w:lang w:eastAsia="en-US"/>
                      <w14:textFill>
                        <w14:solidFill>
                          <w14:schemeClr w14:val="tx1"/>
                        </w14:solidFill>
                      </w14:textFill>
                    </w:rPr>
                  </w:pPr>
                </w:p>
              </w:tc>
            </w:tr>
            <w:tr w14:paraId="55005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5000" w:type="pct"/>
                  <w:gridSpan w:val="6"/>
                  <w:vAlign w:val="center"/>
                </w:tcPr>
                <w:p w14:paraId="4748F589">
                  <w:pPr>
                    <w:pStyle w:val="144"/>
                    <w:rPr>
                      <w:rFonts w:ascii="Times New Roman" w:hAnsi="Times New Roman" w:eastAsiaTheme="minorEastAsia"/>
                      <w:b/>
                      <w:bCs/>
                      <w:color w:val="000000" w:themeColor="text1"/>
                      <w:szCs w:val="21"/>
                      <w:lang w:eastAsia="en-US"/>
                      <w14:textFill>
                        <w14:solidFill>
                          <w14:schemeClr w14:val="tx1"/>
                        </w14:solidFill>
                      </w14:textFill>
                    </w:rPr>
                  </w:pPr>
                  <w:r>
                    <w:rPr>
                      <w:rFonts w:ascii="Times New Roman" w:hAnsi="Times New Roman" w:eastAsiaTheme="minorEastAsia"/>
                      <w:b/>
                      <w:bCs/>
                      <w:color w:val="000000" w:themeColor="text1"/>
                      <w:szCs w:val="21"/>
                      <w:lang w:eastAsia="en-US"/>
                      <w14:textFill>
                        <w14:solidFill>
                          <w14:schemeClr w14:val="tx1"/>
                        </w14:solidFill>
                      </w14:textFill>
                    </w:rPr>
                    <w:t>一、洗矸工段设备</w:t>
                  </w:r>
                </w:p>
              </w:tc>
            </w:tr>
            <w:tr w14:paraId="49704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08CE63A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770" w:type="pct"/>
                  <w:vAlign w:val="center"/>
                </w:tcPr>
                <w:p w14:paraId="70D0B10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给料机</w:t>
                  </w:r>
                </w:p>
              </w:tc>
              <w:tc>
                <w:tcPr>
                  <w:tcW w:w="2227" w:type="pct"/>
                  <w:vAlign w:val="center"/>
                </w:tcPr>
                <w:p w14:paraId="1124A42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K3</w:t>
                  </w:r>
                </w:p>
              </w:tc>
              <w:tc>
                <w:tcPr>
                  <w:tcW w:w="530" w:type="pct"/>
                  <w:shd w:val="clear" w:color="auto" w:fill="auto"/>
                  <w:vAlign w:val="center"/>
                </w:tcPr>
                <w:p w14:paraId="0F88DE4B">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45BA25A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1142C44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6E7D0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7460D20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770" w:type="pct"/>
                  <w:vAlign w:val="center"/>
                </w:tcPr>
                <w:p w14:paraId="4166D4E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电机</w:t>
                  </w:r>
                </w:p>
              </w:tc>
              <w:tc>
                <w:tcPr>
                  <w:tcW w:w="2227" w:type="pct"/>
                  <w:vAlign w:val="center"/>
                </w:tcPr>
                <w:p w14:paraId="2103555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Y160L-4-15KW×2</w:t>
                  </w:r>
                </w:p>
              </w:tc>
              <w:tc>
                <w:tcPr>
                  <w:tcW w:w="530" w:type="pct"/>
                  <w:shd w:val="clear" w:color="auto" w:fill="auto"/>
                  <w:vAlign w:val="center"/>
                </w:tcPr>
                <w:p w14:paraId="49A93E45">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17EE1B9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24A524A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669E5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4CF17DA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770" w:type="pct"/>
                  <w:vAlign w:val="center"/>
                </w:tcPr>
                <w:p w14:paraId="676DF7F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减速器</w:t>
                  </w:r>
                </w:p>
              </w:tc>
              <w:tc>
                <w:tcPr>
                  <w:tcW w:w="2227" w:type="pct"/>
                  <w:vAlign w:val="center"/>
                </w:tcPr>
                <w:p w14:paraId="00CF5E9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ZQ400-15.75平遥减速器</w:t>
                  </w:r>
                </w:p>
              </w:tc>
              <w:tc>
                <w:tcPr>
                  <w:tcW w:w="530" w:type="pct"/>
                  <w:shd w:val="clear" w:color="auto" w:fill="auto"/>
                  <w:vAlign w:val="center"/>
                </w:tcPr>
                <w:p w14:paraId="2C6C625A">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2E6D34E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2E935E8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3B3C5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63EA5C4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770" w:type="pct"/>
                  <w:vAlign w:val="center"/>
                </w:tcPr>
                <w:p w14:paraId="30E3AC1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原料皮带</w:t>
                  </w:r>
                </w:p>
              </w:tc>
              <w:tc>
                <w:tcPr>
                  <w:tcW w:w="2227" w:type="pct"/>
                  <w:vAlign w:val="center"/>
                </w:tcPr>
                <w:p w14:paraId="294D0DE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B=1200x,6(3+1.5),V=1.6m/s，TD75</w:t>
                  </w:r>
                </w:p>
              </w:tc>
              <w:tc>
                <w:tcPr>
                  <w:tcW w:w="530" w:type="pct"/>
                  <w:shd w:val="clear" w:color="auto" w:fill="auto"/>
                  <w:vAlign w:val="center"/>
                </w:tcPr>
                <w:p w14:paraId="38EBC498">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123米</w:t>
                  </w:r>
                </w:p>
              </w:tc>
              <w:tc>
                <w:tcPr>
                  <w:tcW w:w="534" w:type="pct"/>
                  <w:vAlign w:val="center"/>
                </w:tcPr>
                <w:p w14:paraId="0C1BF95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123米</w:t>
                  </w:r>
                </w:p>
              </w:tc>
              <w:tc>
                <w:tcPr>
                  <w:tcW w:w="555" w:type="pct"/>
                  <w:vAlign w:val="center"/>
                </w:tcPr>
                <w:p w14:paraId="283959F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1F6F8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15B56E3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5</w:t>
                  </w:r>
                </w:p>
              </w:tc>
              <w:tc>
                <w:tcPr>
                  <w:tcW w:w="770" w:type="pct"/>
                  <w:vAlign w:val="center"/>
                </w:tcPr>
                <w:p w14:paraId="6C5149E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电动机</w:t>
                  </w:r>
                </w:p>
              </w:tc>
              <w:tc>
                <w:tcPr>
                  <w:tcW w:w="2227" w:type="pct"/>
                  <w:vAlign w:val="center"/>
                </w:tcPr>
                <w:p w14:paraId="058C352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Y250M-4-75KW，西安西玛</w:t>
                  </w:r>
                </w:p>
              </w:tc>
              <w:tc>
                <w:tcPr>
                  <w:tcW w:w="530" w:type="pct"/>
                  <w:shd w:val="clear" w:color="auto" w:fill="auto"/>
                  <w:vAlign w:val="center"/>
                </w:tcPr>
                <w:p w14:paraId="17782685">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6EDFC8B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1A252E5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11D8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14F1980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w:t>
                  </w:r>
                </w:p>
              </w:tc>
              <w:tc>
                <w:tcPr>
                  <w:tcW w:w="770" w:type="pct"/>
                  <w:vAlign w:val="center"/>
                </w:tcPr>
                <w:p w14:paraId="1361D90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减速器</w:t>
                  </w:r>
                </w:p>
              </w:tc>
              <w:tc>
                <w:tcPr>
                  <w:tcW w:w="2227" w:type="pct"/>
                  <w:vAlign w:val="center"/>
                </w:tcPr>
                <w:p w14:paraId="2BCE9F0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ZQ500-31.50，平遥减速器</w:t>
                  </w:r>
                </w:p>
              </w:tc>
              <w:tc>
                <w:tcPr>
                  <w:tcW w:w="530" w:type="pct"/>
                  <w:shd w:val="clear" w:color="auto" w:fill="auto"/>
                  <w:vAlign w:val="center"/>
                </w:tcPr>
                <w:p w14:paraId="2C05886E">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30B7BB1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139047C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1BB9A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04380A5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7</w:t>
                  </w:r>
                </w:p>
              </w:tc>
              <w:tc>
                <w:tcPr>
                  <w:tcW w:w="770" w:type="pct"/>
                  <w:vAlign w:val="center"/>
                </w:tcPr>
                <w:p w14:paraId="74F290C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洗料主机</w:t>
                  </w:r>
                </w:p>
              </w:tc>
              <w:tc>
                <w:tcPr>
                  <w:tcW w:w="2227" w:type="pct"/>
                  <w:vAlign w:val="center"/>
                </w:tcPr>
                <w:p w14:paraId="18A96AA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SKT-24m2-3，主板20mm，Q345B锅炉板</w:t>
                  </w:r>
                </w:p>
              </w:tc>
              <w:tc>
                <w:tcPr>
                  <w:tcW w:w="530" w:type="pct"/>
                  <w:shd w:val="clear" w:color="auto" w:fill="auto"/>
                  <w:vAlign w:val="center"/>
                </w:tcPr>
                <w:p w14:paraId="5B1A876E">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366D576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1BBF7A0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37FD6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3C4D5A2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8</w:t>
                  </w:r>
                </w:p>
              </w:tc>
              <w:tc>
                <w:tcPr>
                  <w:tcW w:w="770" w:type="pct"/>
                  <w:vAlign w:val="center"/>
                </w:tcPr>
                <w:p w14:paraId="7E87863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矸石提升机</w:t>
                  </w:r>
                </w:p>
              </w:tc>
              <w:tc>
                <w:tcPr>
                  <w:tcW w:w="2227" w:type="pct"/>
                  <w:vAlign w:val="center"/>
                </w:tcPr>
                <w:p w14:paraId="3034F13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T40120，主板Q235，下体16mm，上体12mm，尾部衬板16mm，锰钢链板、销轴，外挂轴承，道轨跑轮提升带机械密封</w:t>
                  </w:r>
                </w:p>
              </w:tc>
              <w:tc>
                <w:tcPr>
                  <w:tcW w:w="530" w:type="pct"/>
                  <w:shd w:val="clear" w:color="auto" w:fill="auto"/>
                  <w:vAlign w:val="center"/>
                </w:tcPr>
                <w:p w14:paraId="709815BA">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7A16303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4045273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53B80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0EA6C7F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9</w:t>
                  </w:r>
                </w:p>
              </w:tc>
              <w:tc>
                <w:tcPr>
                  <w:tcW w:w="770" w:type="pct"/>
                  <w:vAlign w:val="center"/>
                </w:tcPr>
                <w:p w14:paraId="2F5125C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精料振动筛</w:t>
                  </w:r>
                </w:p>
              </w:tc>
              <w:tc>
                <w:tcPr>
                  <w:tcW w:w="2227" w:type="pct"/>
                  <w:vAlign w:val="center"/>
                </w:tcPr>
                <w:p w14:paraId="6A2F7F2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2ZK2452，主板10m,mQ245R锅炉板，不锈钢筛板，上层孔为13mm，下层筛缝为1.5mm</w:t>
                  </w:r>
                </w:p>
              </w:tc>
              <w:tc>
                <w:tcPr>
                  <w:tcW w:w="530" w:type="pct"/>
                  <w:shd w:val="clear" w:color="auto" w:fill="auto"/>
                  <w:vAlign w:val="center"/>
                </w:tcPr>
                <w:p w14:paraId="5D95DCA4">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3B2DFA1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6DE05F6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38E9C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55B1090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10</w:t>
                  </w:r>
                </w:p>
              </w:tc>
              <w:tc>
                <w:tcPr>
                  <w:tcW w:w="770" w:type="pct"/>
                  <w:vAlign w:val="center"/>
                </w:tcPr>
                <w:p w14:paraId="03B372F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离心机</w:t>
                  </w:r>
                </w:p>
              </w:tc>
              <w:tc>
                <w:tcPr>
                  <w:tcW w:w="2227" w:type="pct"/>
                  <w:vAlign w:val="center"/>
                </w:tcPr>
                <w:p w14:paraId="164EFE8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TLL-1400，立式刮刀卸料</w:t>
                  </w:r>
                </w:p>
              </w:tc>
              <w:tc>
                <w:tcPr>
                  <w:tcW w:w="530" w:type="pct"/>
                  <w:shd w:val="clear" w:color="auto" w:fill="auto"/>
                  <w:vAlign w:val="center"/>
                </w:tcPr>
                <w:p w14:paraId="74B2330C">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6F8801E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4FBDA18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5CA98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7A91C5D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11</w:t>
                  </w:r>
                </w:p>
              </w:tc>
              <w:tc>
                <w:tcPr>
                  <w:tcW w:w="770" w:type="pct"/>
                  <w:vAlign w:val="center"/>
                </w:tcPr>
                <w:p w14:paraId="4560129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螺旋分选机</w:t>
                  </w:r>
                </w:p>
              </w:tc>
              <w:tc>
                <w:tcPr>
                  <w:tcW w:w="2227" w:type="pct"/>
                  <w:vAlign w:val="center"/>
                </w:tcPr>
                <w:p w14:paraId="11B5EEF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φ1000</w:t>
                  </w:r>
                </w:p>
              </w:tc>
              <w:tc>
                <w:tcPr>
                  <w:tcW w:w="530" w:type="pct"/>
                  <w:shd w:val="clear" w:color="auto" w:fill="auto"/>
                  <w:vAlign w:val="center"/>
                </w:tcPr>
                <w:p w14:paraId="05A5BC6C">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14个</w:t>
                  </w:r>
                </w:p>
              </w:tc>
              <w:tc>
                <w:tcPr>
                  <w:tcW w:w="534" w:type="pct"/>
                  <w:vAlign w:val="center"/>
                </w:tcPr>
                <w:p w14:paraId="0B9D57D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14个</w:t>
                  </w:r>
                </w:p>
              </w:tc>
              <w:tc>
                <w:tcPr>
                  <w:tcW w:w="555" w:type="pct"/>
                  <w:vAlign w:val="center"/>
                </w:tcPr>
                <w:p w14:paraId="2E3FB25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2F0A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6EDDC90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12</w:t>
                  </w:r>
                </w:p>
              </w:tc>
              <w:tc>
                <w:tcPr>
                  <w:tcW w:w="770" w:type="pct"/>
                  <w:vAlign w:val="center"/>
                </w:tcPr>
                <w:p w14:paraId="4D753AE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旋流器</w:t>
                  </w:r>
                </w:p>
              </w:tc>
              <w:tc>
                <w:tcPr>
                  <w:tcW w:w="2227" w:type="pct"/>
                  <w:vAlign w:val="center"/>
                </w:tcPr>
                <w:p w14:paraId="256270D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FX500-6</w:t>
                  </w:r>
                </w:p>
              </w:tc>
              <w:tc>
                <w:tcPr>
                  <w:tcW w:w="530" w:type="pct"/>
                  <w:shd w:val="clear" w:color="auto" w:fill="auto"/>
                  <w:vAlign w:val="center"/>
                </w:tcPr>
                <w:p w14:paraId="5B847E0E">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6台</w:t>
                  </w:r>
                </w:p>
              </w:tc>
              <w:tc>
                <w:tcPr>
                  <w:tcW w:w="534" w:type="pct"/>
                  <w:vAlign w:val="center"/>
                </w:tcPr>
                <w:p w14:paraId="4C8F9A4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6台</w:t>
                  </w:r>
                </w:p>
              </w:tc>
              <w:tc>
                <w:tcPr>
                  <w:tcW w:w="555" w:type="pct"/>
                  <w:vAlign w:val="center"/>
                </w:tcPr>
                <w:p w14:paraId="3C1F970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43431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06455A1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13</w:t>
                  </w:r>
                </w:p>
              </w:tc>
              <w:tc>
                <w:tcPr>
                  <w:tcW w:w="770" w:type="pct"/>
                  <w:vAlign w:val="center"/>
                </w:tcPr>
                <w:p w14:paraId="2D9CF91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浓缩机</w:t>
                  </w:r>
                </w:p>
              </w:tc>
              <w:tc>
                <w:tcPr>
                  <w:tcW w:w="2227" w:type="pct"/>
                  <w:vAlign w:val="center"/>
                </w:tcPr>
                <w:p w14:paraId="7A0BF88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NG-∮30m，周边传动</w:t>
                  </w:r>
                </w:p>
              </w:tc>
              <w:tc>
                <w:tcPr>
                  <w:tcW w:w="530" w:type="pct"/>
                  <w:shd w:val="clear" w:color="auto" w:fill="auto"/>
                  <w:vAlign w:val="center"/>
                </w:tcPr>
                <w:p w14:paraId="5D9EB527">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384A872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1E306FF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10675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7F2C305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14</w:t>
                  </w:r>
                </w:p>
              </w:tc>
              <w:tc>
                <w:tcPr>
                  <w:tcW w:w="770" w:type="pct"/>
                  <w:vAlign w:val="center"/>
                </w:tcPr>
                <w:p w14:paraId="5D47A0D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浓缩机</w:t>
                  </w:r>
                </w:p>
              </w:tc>
              <w:tc>
                <w:tcPr>
                  <w:tcW w:w="2227" w:type="pct"/>
                  <w:vAlign w:val="center"/>
                </w:tcPr>
                <w:p w14:paraId="1FF2687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NG-∮30m，周边传动</w:t>
                  </w:r>
                </w:p>
              </w:tc>
              <w:tc>
                <w:tcPr>
                  <w:tcW w:w="530" w:type="pct"/>
                  <w:shd w:val="clear" w:color="auto" w:fill="auto"/>
                  <w:vAlign w:val="center"/>
                </w:tcPr>
                <w:p w14:paraId="4B8F1265">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319F847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4FA88E4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0AFBE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67CBE7E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15</w:t>
                  </w:r>
                </w:p>
              </w:tc>
              <w:tc>
                <w:tcPr>
                  <w:tcW w:w="770" w:type="pct"/>
                  <w:vAlign w:val="center"/>
                </w:tcPr>
                <w:p w14:paraId="148C2DE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尾料压滤机</w:t>
                  </w:r>
                </w:p>
              </w:tc>
              <w:tc>
                <w:tcPr>
                  <w:tcW w:w="2227" w:type="pct"/>
                  <w:vAlign w:val="center"/>
                </w:tcPr>
                <w:p w14:paraId="60CAF95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XMA1600-500（隔膜含自动阀）一拉三</w:t>
                  </w:r>
                </w:p>
              </w:tc>
              <w:tc>
                <w:tcPr>
                  <w:tcW w:w="530" w:type="pct"/>
                  <w:shd w:val="clear" w:color="auto" w:fill="auto"/>
                  <w:vAlign w:val="center"/>
                </w:tcPr>
                <w:p w14:paraId="16909569">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3台</w:t>
                  </w:r>
                </w:p>
              </w:tc>
              <w:tc>
                <w:tcPr>
                  <w:tcW w:w="534" w:type="pct"/>
                  <w:vAlign w:val="center"/>
                </w:tcPr>
                <w:p w14:paraId="65CBB44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3台</w:t>
                  </w:r>
                </w:p>
              </w:tc>
              <w:tc>
                <w:tcPr>
                  <w:tcW w:w="555" w:type="pct"/>
                  <w:vAlign w:val="center"/>
                </w:tcPr>
                <w:p w14:paraId="52CFDA7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68BDD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7C17999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16</w:t>
                  </w:r>
                </w:p>
              </w:tc>
              <w:tc>
                <w:tcPr>
                  <w:tcW w:w="770" w:type="pct"/>
                  <w:vAlign w:val="center"/>
                </w:tcPr>
                <w:p w14:paraId="306B204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三叶罗茨风机</w:t>
                  </w:r>
                </w:p>
              </w:tc>
              <w:tc>
                <w:tcPr>
                  <w:tcW w:w="2227" w:type="pct"/>
                  <w:vAlign w:val="center"/>
                </w:tcPr>
                <w:p w14:paraId="18C2EE8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NSR-350，流量240m</w:t>
                  </w:r>
                  <w:r>
                    <w:rPr>
                      <w:rFonts w:ascii="Times New Roman" w:hAnsi="Times New Roman" w:eastAsiaTheme="minorEastAsia"/>
                      <w:color w:val="000000" w:themeColor="text1"/>
                      <w:szCs w:val="21"/>
                      <w:vertAlign w:val="superscript"/>
                      <w:lang w:eastAsia="en-US"/>
                      <w14:textFill>
                        <w14:solidFill>
                          <w14:schemeClr w14:val="tx1"/>
                        </w14:solidFill>
                      </w14:textFill>
                    </w:rPr>
                    <w:t>3</w:t>
                  </w:r>
                </w:p>
              </w:tc>
              <w:tc>
                <w:tcPr>
                  <w:tcW w:w="530" w:type="pct"/>
                  <w:shd w:val="clear" w:color="auto" w:fill="auto"/>
                  <w:vAlign w:val="center"/>
                </w:tcPr>
                <w:p w14:paraId="42B8E108">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0945B8F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52D5A23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1DB3D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55A42EB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17</w:t>
                  </w:r>
                </w:p>
              </w:tc>
              <w:tc>
                <w:tcPr>
                  <w:tcW w:w="770" w:type="pct"/>
                  <w:vAlign w:val="center"/>
                </w:tcPr>
                <w:p w14:paraId="16A1032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破碎机</w:t>
                  </w:r>
                </w:p>
              </w:tc>
              <w:tc>
                <w:tcPr>
                  <w:tcW w:w="2227" w:type="pct"/>
                  <w:vAlign w:val="center"/>
                </w:tcPr>
                <w:p w14:paraId="3A023BB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PC1216</w:t>
                  </w:r>
                </w:p>
              </w:tc>
              <w:tc>
                <w:tcPr>
                  <w:tcW w:w="530" w:type="pct"/>
                  <w:shd w:val="clear" w:color="auto" w:fill="auto"/>
                  <w:vAlign w:val="center"/>
                </w:tcPr>
                <w:p w14:paraId="46E6C148">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02B8D75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0828BBA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60FAB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5000" w:type="pct"/>
                  <w:gridSpan w:val="6"/>
                  <w:vAlign w:val="center"/>
                </w:tcPr>
                <w:p w14:paraId="17C7A46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b/>
                      <w:bCs/>
                      <w:color w:val="000000" w:themeColor="text1"/>
                      <w:szCs w:val="21"/>
                      <w:lang w:eastAsia="en-US"/>
                      <w14:textFill>
                        <w14:solidFill>
                          <w14:schemeClr w14:val="tx1"/>
                        </w14:solidFill>
                      </w14:textFill>
                    </w:rPr>
                    <w:t>二、烧结砖制砖设备</w:t>
                  </w:r>
                </w:p>
              </w:tc>
            </w:tr>
            <w:tr w14:paraId="1CB02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0D3D315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770" w:type="pct"/>
                  <w:vAlign w:val="center"/>
                </w:tcPr>
                <w:p w14:paraId="7F99C51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可移布料机</w:t>
                  </w:r>
                </w:p>
              </w:tc>
              <w:tc>
                <w:tcPr>
                  <w:tcW w:w="2227" w:type="pct"/>
                  <w:vAlign w:val="center"/>
                </w:tcPr>
                <w:p w14:paraId="492B0D4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SD800</w:t>
                  </w:r>
                </w:p>
              </w:tc>
              <w:tc>
                <w:tcPr>
                  <w:tcW w:w="530" w:type="pct"/>
                  <w:shd w:val="clear" w:color="auto" w:fill="auto"/>
                  <w:vAlign w:val="center"/>
                </w:tcPr>
                <w:p w14:paraId="0CE49383">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13AA05E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7CB090C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3201F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2D3A6DB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770" w:type="pct"/>
                  <w:vAlign w:val="center"/>
                </w:tcPr>
                <w:p w14:paraId="358EF57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液压多斗挖掘机</w:t>
                  </w:r>
                </w:p>
              </w:tc>
              <w:tc>
                <w:tcPr>
                  <w:tcW w:w="2227" w:type="pct"/>
                  <w:vAlign w:val="center"/>
                </w:tcPr>
                <w:p w14:paraId="486BD21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DQY50-950</w:t>
                  </w:r>
                </w:p>
              </w:tc>
              <w:tc>
                <w:tcPr>
                  <w:tcW w:w="530" w:type="pct"/>
                  <w:shd w:val="clear" w:color="auto" w:fill="auto"/>
                  <w:vAlign w:val="center"/>
                </w:tcPr>
                <w:p w14:paraId="47D99D25">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4台</w:t>
                  </w:r>
                </w:p>
              </w:tc>
              <w:tc>
                <w:tcPr>
                  <w:tcW w:w="534" w:type="pct"/>
                  <w:vAlign w:val="center"/>
                </w:tcPr>
                <w:p w14:paraId="6B67797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4台</w:t>
                  </w:r>
                </w:p>
              </w:tc>
              <w:tc>
                <w:tcPr>
                  <w:tcW w:w="555" w:type="pct"/>
                  <w:vAlign w:val="center"/>
                </w:tcPr>
                <w:p w14:paraId="7BACDF5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76CB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10971CD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770" w:type="pct"/>
                  <w:vAlign w:val="center"/>
                </w:tcPr>
                <w:p w14:paraId="103B1EF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输送带</w:t>
                  </w:r>
                </w:p>
              </w:tc>
              <w:tc>
                <w:tcPr>
                  <w:tcW w:w="2227" w:type="pct"/>
                  <w:vAlign w:val="center"/>
                </w:tcPr>
                <w:p w14:paraId="471F5A3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B=800</w:t>
                  </w:r>
                </w:p>
              </w:tc>
              <w:tc>
                <w:tcPr>
                  <w:tcW w:w="530" w:type="pct"/>
                  <w:shd w:val="clear" w:color="auto" w:fill="auto"/>
                  <w:vAlign w:val="center"/>
                </w:tcPr>
                <w:p w14:paraId="44F6D7AD">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4套</w:t>
                  </w:r>
                </w:p>
              </w:tc>
              <w:tc>
                <w:tcPr>
                  <w:tcW w:w="534" w:type="pct"/>
                  <w:vAlign w:val="center"/>
                </w:tcPr>
                <w:p w14:paraId="18D4FF8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4套</w:t>
                  </w:r>
                </w:p>
              </w:tc>
              <w:tc>
                <w:tcPr>
                  <w:tcW w:w="555" w:type="pct"/>
                  <w:vAlign w:val="center"/>
                </w:tcPr>
                <w:p w14:paraId="3E5C523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7445A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7CD3DE1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770" w:type="pct"/>
                  <w:vAlign w:val="center"/>
                </w:tcPr>
                <w:p w14:paraId="66FBC4C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箱式给料机</w:t>
                  </w:r>
                </w:p>
              </w:tc>
              <w:tc>
                <w:tcPr>
                  <w:tcW w:w="2227" w:type="pct"/>
                  <w:vAlign w:val="center"/>
                </w:tcPr>
                <w:p w14:paraId="63B9484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XGL100</w:t>
                  </w:r>
                </w:p>
              </w:tc>
              <w:tc>
                <w:tcPr>
                  <w:tcW w:w="530" w:type="pct"/>
                  <w:shd w:val="clear" w:color="auto" w:fill="auto"/>
                  <w:vAlign w:val="center"/>
                </w:tcPr>
                <w:p w14:paraId="58E5067D">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5616D64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4526959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B81E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2F025B5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5</w:t>
                  </w:r>
                </w:p>
              </w:tc>
              <w:tc>
                <w:tcPr>
                  <w:tcW w:w="770" w:type="pct"/>
                  <w:vAlign w:val="center"/>
                </w:tcPr>
                <w:p w14:paraId="0877B48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对辊破碎机</w:t>
                  </w:r>
                </w:p>
              </w:tc>
              <w:tc>
                <w:tcPr>
                  <w:tcW w:w="2227" w:type="pct"/>
                  <w:vAlign w:val="center"/>
                </w:tcPr>
                <w:p w14:paraId="7354C22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100*1200</w:t>
                  </w:r>
                </w:p>
              </w:tc>
              <w:tc>
                <w:tcPr>
                  <w:tcW w:w="530" w:type="pct"/>
                  <w:shd w:val="clear" w:color="auto" w:fill="auto"/>
                  <w:vAlign w:val="center"/>
                </w:tcPr>
                <w:p w14:paraId="77FD395E">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15A8633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77F2751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499A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31E1724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w:t>
                  </w:r>
                </w:p>
              </w:tc>
              <w:tc>
                <w:tcPr>
                  <w:tcW w:w="770" w:type="pct"/>
                  <w:vAlign w:val="center"/>
                </w:tcPr>
                <w:p w14:paraId="30E9755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双轴搅拌挤出机</w:t>
                  </w:r>
                </w:p>
              </w:tc>
              <w:tc>
                <w:tcPr>
                  <w:tcW w:w="2227" w:type="pct"/>
                  <w:vAlign w:val="center"/>
                </w:tcPr>
                <w:p w14:paraId="074868C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90</w:t>
                  </w:r>
                </w:p>
              </w:tc>
              <w:tc>
                <w:tcPr>
                  <w:tcW w:w="530" w:type="pct"/>
                  <w:shd w:val="clear" w:color="auto" w:fill="auto"/>
                  <w:vAlign w:val="center"/>
                </w:tcPr>
                <w:p w14:paraId="025044C5">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7FE739C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64A18C8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3FD59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34F4AD8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7</w:t>
                  </w:r>
                </w:p>
              </w:tc>
              <w:tc>
                <w:tcPr>
                  <w:tcW w:w="770" w:type="pct"/>
                  <w:vAlign w:val="center"/>
                </w:tcPr>
                <w:p w14:paraId="29B2056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真空挤砖机</w:t>
                  </w:r>
                </w:p>
              </w:tc>
              <w:tc>
                <w:tcPr>
                  <w:tcW w:w="2227" w:type="pct"/>
                  <w:vAlign w:val="center"/>
                </w:tcPr>
                <w:p w14:paraId="2D86602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JKY120-4.0</w:t>
                  </w:r>
                </w:p>
              </w:tc>
              <w:tc>
                <w:tcPr>
                  <w:tcW w:w="530" w:type="pct"/>
                  <w:shd w:val="clear" w:color="auto" w:fill="auto"/>
                  <w:vAlign w:val="center"/>
                </w:tcPr>
                <w:p w14:paraId="3A58059A">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17240EF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5D5FD0A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12F24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00D137D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8</w:t>
                  </w:r>
                </w:p>
              </w:tc>
              <w:tc>
                <w:tcPr>
                  <w:tcW w:w="770" w:type="pct"/>
                  <w:vAlign w:val="center"/>
                </w:tcPr>
                <w:p w14:paraId="755893D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输送带</w:t>
                  </w:r>
                </w:p>
              </w:tc>
              <w:tc>
                <w:tcPr>
                  <w:tcW w:w="2227" w:type="pct"/>
                  <w:vAlign w:val="center"/>
                </w:tcPr>
                <w:p w14:paraId="622B88C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B=800</w:t>
                  </w:r>
                </w:p>
              </w:tc>
              <w:tc>
                <w:tcPr>
                  <w:tcW w:w="530" w:type="pct"/>
                  <w:shd w:val="clear" w:color="auto" w:fill="auto"/>
                  <w:vAlign w:val="center"/>
                </w:tcPr>
                <w:p w14:paraId="1DA5DFA5">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10套</w:t>
                  </w:r>
                </w:p>
              </w:tc>
              <w:tc>
                <w:tcPr>
                  <w:tcW w:w="534" w:type="pct"/>
                  <w:vAlign w:val="center"/>
                </w:tcPr>
                <w:p w14:paraId="3B2BF79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10套</w:t>
                  </w:r>
                </w:p>
              </w:tc>
              <w:tc>
                <w:tcPr>
                  <w:tcW w:w="555" w:type="pct"/>
                  <w:vAlign w:val="center"/>
                </w:tcPr>
                <w:p w14:paraId="20C7256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0BF2B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72CC57D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9</w:t>
                  </w:r>
                </w:p>
              </w:tc>
              <w:tc>
                <w:tcPr>
                  <w:tcW w:w="770" w:type="pct"/>
                  <w:vAlign w:val="center"/>
                </w:tcPr>
                <w:p w14:paraId="245390B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切坯切条机</w:t>
                  </w:r>
                </w:p>
              </w:tc>
              <w:tc>
                <w:tcPr>
                  <w:tcW w:w="2227" w:type="pct"/>
                  <w:vAlign w:val="center"/>
                </w:tcPr>
                <w:p w14:paraId="34E4088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开封欧帕</w:t>
                  </w:r>
                </w:p>
              </w:tc>
              <w:tc>
                <w:tcPr>
                  <w:tcW w:w="530" w:type="pct"/>
                  <w:shd w:val="clear" w:color="auto" w:fill="auto"/>
                  <w:vAlign w:val="center"/>
                </w:tcPr>
                <w:p w14:paraId="1FABB13C">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2套</w:t>
                  </w:r>
                </w:p>
              </w:tc>
              <w:tc>
                <w:tcPr>
                  <w:tcW w:w="534" w:type="pct"/>
                  <w:vAlign w:val="center"/>
                </w:tcPr>
                <w:p w14:paraId="2B27545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2套</w:t>
                  </w:r>
                </w:p>
              </w:tc>
              <w:tc>
                <w:tcPr>
                  <w:tcW w:w="555" w:type="pct"/>
                  <w:vAlign w:val="center"/>
                </w:tcPr>
                <w:p w14:paraId="1EDC7EA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04E1B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785F23F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10</w:t>
                  </w:r>
                </w:p>
              </w:tc>
              <w:tc>
                <w:tcPr>
                  <w:tcW w:w="770" w:type="pct"/>
                  <w:vAlign w:val="center"/>
                </w:tcPr>
                <w:p w14:paraId="74F4A45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2台800公斤机器人，2台小螳螂</w:t>
                  </w:r>
                </w:p>
              </w:tc>
              <w:tc>
                <w:tcPr>
                  <w:tcW w:w="2227" w:type="pct"/>
                  <w:vMerge w:val="restart"/>
                  <w:tcBorders>
                    <w:bottom w:val="nil"/>
                  </w:tcBorders>
                  <w:vAlign w:val="center"/>
                </w:tcPr>
                <w:p w14:paraId="685141C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全自动码坯系统</w:t>
                  </w:r>
                </w:p>
              </w:tc>
              <w:tc>
                <w:tcPr>
                  <w:tcW w:w="530" w:type="pct"/>
                  <w:shd w:val="clear" w:color="auto" w:fill="auto"/>
                  <w:vAlign w:val="center"/>
                </w:tcPr>
                <w:p w14:paraId="79D04F60">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1套</w:t>
                  </w:r>
                </w:p>
              </w:tc>
              <w:tc>
                <w:tcPr>
                  <w:tcW w:w="534" w:type="pct"/>
                  <w:vAlign w:val="center"/>
                </w:tcPr>
                <w:p w14:paraId="1055FEC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1套</w:t>
                  </w:r>
                </w:p>
              </w:tc>
              <w:tc>
                <w:tcPr>
                  <w:tcW w:w="555" w:type="pct"/>
                  <w:vAlign w:val="center"/>
                </w:tcPr>
                <w:p w14:paraId="4E1B358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40640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6297A4C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11</w:t>
                  </w:r>
                </w:p>
              </w:tc>
              <w:tc>
                <w:tcPr>
                  <w:tcW w:w="770" w:type="pct"/>
                  <w:vAlign w:val="center"/>
                </w:tcPr>
                <w:p w14:paraId="6E98F7E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布坯台</w:t>
                  </w:r>
                </w:p>
              </w:tc>
              <w:tc>
                <w:tcPr>
                  <w:tcW w:w="2227" w:type="pct"/>
                  <w:vMerge w:val="continue"/>
                  <w:tcBorders>
                    <w:top w:val="nil"/>
                    <w:bottom w:val="nil"/>
                  </w:tcBorders>
                  <w:vAlign w:val="center"/>
                </w:tcPr>
                <w:p w14:paraId="7D6B26B1">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530" w:type="pct"/>
                  <w:shd w:val="clear" w:color="auto" w:fill="auto"/>
                  <w:vAlign w:val="center"/>
                </w:tcPr>
                <w:p w14:paraId="12BD6976">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12B8431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41F3C89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60439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593C64F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12</w:t>
                  </w:r>
                </w:p>
              </w:tc>
              <w:tc>
                <w:tcPr>
                  <w:tcW w:w="770" w:type="pct"/>
                  <w:vAlign w:val="center"/>
                </w:tcPr>
                <w:p w14:paraId="7CFA559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移动平台</w:t>
                  </w:r>
                </w:p>
              </w:tc>
              <w:tc>
                <w:tcPr>
                  <w:tcW w:w="2227" w:type="pct"/>
                  <w:vMerge w:val="continue"/>
                  <w:tcBorders>
                    <w:top w:val="nil"/>
                  </w:tcBorders>
                  <w:vAlign w:val="center"/>
                </w:tcPr>
                <w:p w14:paraId="2AB32182">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530" w:type="pct"/>
                  <w:shd w:val="clear" w:color="auto" w:fill="auto"/>
                  <w:vAlign w:val="center"/>
                </w:tcPr>
                <w:p w14:paraId="56EFCBD3">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34" w:type="pct"/>
                  <w:vAlign w:val="center"/>
                </w:tcPr>
                <w:p w14:paraId="351937F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2385D4D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8D65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1C0F175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13</w:t>
                  </w:r>
                </w:p>
              </w:tc>
              <w:tc>
                <w:tcPr>
                  <w:tcW w:w="770" w:type="pct"/>
                  <w:vAlign w:val="center"/>
                </w:tcPr>
                <w:p w14:paraId="0A00612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窑炉行走</w:t>
                  </w:r>
                </w:p>
              </w:tc>
              <w:tc>
                <w:tcPr>
                  <w:tcW w:w="2227" w:type="pct"/>
                  <w:vAlign w:val="center"/>
                </w:tcPr>
                <w:p w14:paraId="4B9C774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3KW</w:t>
                  </w:r>
                </w:p>
              </w:tc>
              <w:tc>
                <w:tcPr>
                  <w:tcW w:w="530" w:type="pct"/>
                  <w:shd w:val="clear" w:color="auto" w:fill="auto"/>
                  <w:vAlign w:val="center"/>
                </w:tcPr>
                <w:p w14:paraId="7025ED1F">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48台</w:t>
                  </w:r>
                </w:p>
              </w:tc>
              <w:tc>
                <w:tcPr>
                  <w:tcW w:w="534" w:type="pct"/>
                  <w:vAlign w:val="center"/>
                </w:tcPr>
                <w:p w14:paraId="4C99A62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48台</w:t>
                  </w:r>
                </w:p>
              </w:tc>
              <w:tc>
                <w:tcPr>
                  <w:tcW w:w="555" w:type="pct"/>
                  <w:vAlign w:val="center"/>
                </w:tcPr>
                <w:p w14:paraId="3D88169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72871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41E6898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14</w:t>
                  </w:r>
                </w:p>
              </w:tc>
              <w:tc>
                <w:tcPr>
                  <w:tcW w:w="770" w:type="pct"/>
                  <w:vAlign w:val="center"/>
                </w:tcPr>
                <w:p w14:paraId="443718A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环形运坯</w:t>
                  </w:r>
                </w:p>
              </w:tc>
              <w:tc>
                <w:tcPr>
                  <w:tcW w:w="2227" w:type="pct"/>
                  <w:vAlign w:val="center"/>
                </w:tcPr>
                <w:p w14:paraId="10BA586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3KW</w:t>
                  </w:r>
                </w:p>
              </w:tc>
              <w:tc>
                <w:tcPr>
                  <w:tcW w:w="530" w:type="pct"/>
                  <w:shd w:val="clear" w:color="auto" w:fill="auto"/>
                  <w:vAlign w:val="center"/>
                </w:tcPr>
                <w:p w14:paraId="2D3934F8">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30台</w:t>
                  </w:r>
                </w:p>
              </w:tc>
              <w:tc>
                <w:tcPr>
                  <w:tcW w:w="534" w:type="pct"/>
                  <w:vAlign w:val="center"/>
                </w:tcPr>
                <w:p w14:paraId="57DE19B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30台</w:t>
                  </w:r>
                </w:p>
              </w:tc>
              <w:tc>
                <w:tcPr>
                  <w:tcW w:w="555" w:type="pct"/>
                  <w:vAlign w:val="center"/>
                </w:tcPr>
                <w:p w14:paraId="7E8C96E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7540A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4480A6E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15</w:t>
                  </w:r>
                </w:p>
              </w:tc>
              <w:tc>
                <w:tcPr>
                  <w:tcW w:w="770" w:type="pct"/>
                  <w:vAlign w:val="center"/>
                </w:tcPr>
                <w:p w14:paraId="168FD0B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窑炉风机</w:t>
                  </w:r>
                </w:p>
              </w:tc>
              <w:tc>
                <w:tcPr>
                  <w:tcW w:w="2227" w:type="pct"/>
                  <w:vAlign w:val="center"/>
                </w:tcPr>
                <w:p w14:paraId="2646224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132KW</w:t>
                  </w:r>
                </w:p>
              </w:tc>
              <w:tc>
                <w:tcPr>
                  <w:tcW w:w="530" w:type="pct"/>
                  <w:shd w:val="clear" w:color="auto" w:fill="auto"/>
                  <w:vAlign w:val="center"/>
                </w:tcPr>
                <w:p w14:paraId="77E35DB9">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6台</w:t>
                  </w:r>
                </w:p>
              </w:tc>
              <w:tc>
                <w:tcPr>
                  <w:tcW w:w="534" w:type="pct"/>
                  <w:vAlign w:val="center"/>
                </w:tcPr>
                <w:p w14:paraId="6B9D703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6台</w:t>
                  </w:r>
                </w:p>
              </w:tc>
              <w:tc>
                <w:tcPr>
                  <w:tcW w:w="555" w:type="pct"/>
                  <w:vAlign w:val="center"/>
                </w:tcPr>
                <w:p w14:paraId="11E765F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0E367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4BE469B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16</w:t>
                  </w:r>
                </w:p>
              </w:tc>
              <w:tc>
                <w:tcPr>
                  <w:tcW w:w="770" w:type="pct"/>
                  <w:vAlign w:val="center"/>
                </w:tcPr>
                <w:p w14:paraId="14B762A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窑门提升</w:t>
                  </w:r>
                </w:p>
              </w:tc>
              <w:tc>
                <w:tcPr>
                  <w:tcW w:w="2227" w:type="pct"/>
                  <w:vAlign w:val="center"/>
                </w:tcPr>
                <w:p w14:paraId="5A51433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3KW</w:t>
                  </w:r>
                </w:p>
              </w:tc>
              <w:tc>
                <w:tcPr>
                  <w:tcW w:w="530" w:type="pct"/>
                  <w:shd w:val="clear" w:color="auto" w:fill="auto"/>
                  <w:vAlign w:val="center"/>
                </w:tcPr>
                <w:p w14:paraId="17A53376">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7A8D646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1D52D80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6A8E0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5BC06E5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17</w:t>
                  </w:r>
                </w:p>
              </w:tc>
              <w:tc>
                <w:tcPr>
                  <w:tcW w:w="770" w:type="pct"/>
                  <w:vAlign w:val="center"/>
                </w:tcPr>
                <w:p w14:paraId="005701B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行车抱砖机</w:t>
                  </w:r>
                </w:p>
              </w:tc>
              <w:tc>
                <w:tcPr>
                  <w:tcW w:w="2227" w:type="pct"/>
                  <w:vAlign w:val="center"/>
                </w:tcPr>
                <w:p w14:paraId="24E97CB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3KW*2+7.5KW</w:t>
                  </w:r>
                </w:p>
              </w:tc>
              <w:tc>
                <w:tcPr>
                  <w:tcW w:w="530" w:type="pct"/>
                  <w:shd w:val="clear" w:color="auto" w:fill="auto"/>
                  <w:vAlign w:val="center"/>
                </w:tcPr>
                <w:p w14:paraId="45A0E83B">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2C62F51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6B605AF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22D5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6646CAB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18</w:t>
                  </w:r>
                </w:p>
              </w:tc>
              <w:tc>
                <w:tcPr>
                  <w:tcW w:w="770" w:type="pct"/>
                  <w:vAlign w:val="center"/>
                </w:tcPr>
                <w:p w14:paraId="44DACDE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刮平机</w:t>
                  </w:r>
                </w:p>
              </w:tc>
              <w:tc>
                <w:tcPr>
                  <w:tcW w:w="2227" w:type="pct"/>
                  <w:vAlign w:val="center"/>
                </w:tcPr>
                <w:p w14:paraId="1919FC7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3KW*2</w:t>
                  </w:r>
                </w:p>
              </w:tc>
              <w:tc>
                <w:tcPr>
                  <w:tcW w:w="530" w:type="pct"/>
                  <w:shd w:val="clear" w:color="auto" w:fill="auto"/>
                  <w:vAlign w:val="center"/>
                </w:tcPr>
                <w:p w14:paraId="495078F5">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34" w:type="pct"/>
                  <w:vAlign w:val="center"/>
                </w:tcPr>
                <w:p w14:paraId="14F67FF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2台</w:t>
                  </w:r>
                </w:p>
              </w:tc>
              <w:tc>
                <w:tcPr>
                  <w:tcW w:w="555" w:type="pct"/>
                  <w:vAlign w:val="center"/>
                </w:tcPr>
                <w:p w14:paraId="4F98562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4C82A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41A328A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19</w:t>
                  </w:r>
                </w:p>
              </w:tc>
              <w:tc>
                <w:tcPr>
                  <w:tcW w:w="770" w:type="pct"/>
                  <w:vAlign w:val="center"/>
                </w:tcPr>
                <w:p w14:paraId="2B5B160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脱硫设备</w:t>
                  </w:r>
                </w:p>
              </w:tc>
              <w:tc>
                <w:tcPr>
                  <w:tcW w:w="2227" w:type="pct"/>
                  <w:vAlign w:val="center"/>
                </w:tcPr>
                <w:p w14:paraId="6068434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Φ8mh28</w:t>
                  </w:r>
                </w:p>
              </w:tc>
              <w:tc>
                <w:tcPr>
                  <w:tcW w:w="530" w:type="pct"/>
                  <w:shd w:val="clear" w:color="auto" w:fill="auto"/>
                  <w:vAlign w:val="center"/>
                </w:tcPr>
                <w:p w14:paraId="2D1C46F6">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2套</w:t>
                  </w:r>
                </w:p>
              </w:tc>
              <w:tc>
                <w:tcPr>
                  <w:tcW w:w="534" w:type="pct"/>
                  <w:vAlign w:val="center"/>
                </w:tcPr>
                <w:p w14:paraId="1AEA2B5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2套</w:t>
                  </w:r>
                </w:p>
              </w:tc>
              <w:tc>
                <w:tcPr>
                  <w:tcW w:w="555" w:type="pct"/>
                  <w:vAlign w:val="center"/>
                </w:tcPr>
                <w:p w14:paraId="248CE6E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37F57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5000" w:type="pct"/>
                  <w:gridSpan w:val="6"/>
                  <w:vAlign w:val="center"/>
                </w:tcPr>
                <w:p w14:paraId="4C496D5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b/>
                      <w:bCs/>
                      <w:color w:val="000000" w:themeColor="text1"/>
                      <w:szCs w:val="21"/>
                      <w:lang w:eastAsia="en-US"/>
                      <w14:textFill>
                        <w14:solidFill>
                          <w14:schemeClr w14:val="tx1"/>
                        </w14:solidFill>
                      </w14:textFill>
                    </w:rPr>
                    <w:t>三、免烧砖制砖设备</w:t>
                  </w:r>
                </w:p>
              </w:tc>
            </w:tr>
            <w:tr w14:paraId="14A28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5E4529B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770" w:type="pct"/>
                  <w:vAlign w:val="center"/>
                </w:tcPr>
                <w:p w14:paraId="1E5EDEC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成型主机</w:t>
                  </w:r>
                </w:p>
              </w:tc>
              <w:tc>
                <w:tcPr>
                  <w:tcW w:w="2227" w:type="pct"/>
                  <w:vAlign w:val="center"/>
                </w:tcPr>
                <w:p w14:paraId="389524B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QT10-15</w:t>
                  </w:r>
                </w:p>
              </w:tc>
              <w:tc>
                <w:tcPr>
                  <w:tcW w:w="530" w:type="pct"/>
                  <w:shd w:val="clear" w:color="auto" w:fill="auto"/>
                  <w:vAlign w:val="center"/>
                </w:tcPr>
                <w:p w14:paraId="3B98453A">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4CAEC265">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676479D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36BCE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3ACA38D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770" w:type="pct"/>
                  <w:vAlign w:val="center"/>
                </w:tcPr>
                <w:p w14:paraId="7AF3952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布料机</w:t>
                  </w:r>
                </w:p>
              </w:tc>
              <w:tc>
                <w:tcPr>
                  <w:tcW w:w="2227" w:type="pct"/>
                  <w:vAlign w:val="center"/>
                </w:tcPr>
                <w:p w14:paraId="6DAECFF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QT10-15</w:t>
                  </w:r>
                </w:p>
              </w:tc>
              <w:tc>
                <w:tcPr>
                  <w:tcW w:w="530" w:type="pct"/>
                  <w:shd w:val="clear" w:color="auto" w:fill="auto"/>
                  <w:vAlign w:val="center"/>
                </w:tcPr>
                <w:p w14:paraId="61FAC074">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666D10DE">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012D024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72035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070E492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770" w:type="pct"/>
                  <w:vAlign w:val="center"/>
                </w:tcPr>
                <w:p w14:paraId="4A194D0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送板机</w:t>
                  </w:r>
                </w:p>
              </w:tc>
              <w:tc>
                <w:tcPr>
                  <w:tcW w:w="2227" w:type="pct"/>
                  <w:vAlign w:val="center"/>
                </w:tcPr>
                <w:p w14:paraId="47AD336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QT10-15</w:t>
                  </w:r>
                </w:p>
              </w:tc>
              <w:tc>
                <w:tcPr>
                  <w:tcW w:w="530" w:type="pct"/>
                  <w:shd w:val="clear" w:color="auto" w:fill="auto"/>
                  <w:vAlign w:val="center"/>
                </w:tcPr>
                <w:p w14:paraId="1D2EA7A0">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5A98D34C">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33EEFA4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8E6C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05E6305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770" w:type="pct"/>
                  <w:vAlign w:val="center"/>
                </w:tcPr>
                <w:p w14:paraId="6AD9B4D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液压系统</w:t>
                  </w:r>
                </w:p>
              </w:tc>
              <w:tc>
                <w:tcPr>
                  <w:tcW w:w="2227" w:type="pct"/>
                  <w:vAlign w:val="center"/>
                </w:tcPr>
                <w:p w14:paraId="3CFBE5F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QT10-15</w:t>
                  </w:r>
                </w:p>
              </w:tc>
              <w:tc>
                <w:tcPr>
                  <w:tcW w:w="530" w:type="pct"/>
                  <w:shd w:val="clear" w:color="auto" w:fill="auto"/>
                  <w:vAlign w:val="center"/>
                </w:tcPr>
                <w:p w14:paraId="5DC817FB">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26B1F565">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141FF42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1B25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3936505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5</w:t>
                  </w:r>
                </w:p>
              </w:tc>
              <w:tc>
                <w:tcPr>
                  <w:tcW w:w="770" w:type="pct"/>
                  <w:vAlign w:val="center"/>
                </w:tcPr>
                <w:p w14:paraId="73B445E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激振电机</w:t>
                  </w:r>
                </w:p>
              </w:tc>
              <w:tc>
                <w:tcPr>
                  <w:tcW w:w="2227" w:type="pct"/>
                  <w:vAlign w:val="center"/>
                </w:tcPr>
                <w:p w14:paraId="65EAD99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11KW*2</w:t>
                  </w:r>
                </w:p>
              </w:tc>
              <w:tc>
                <w:tcPr>
                  <w:tcW w:w="530" w:type="pct"/>
                  <w:shd w:val="clear" w:color="auto" w:fill="auto"/>
                  <w:vAlign w:val="center"/>
                </w:tcPr>
                <w:p w14:paraId="7A37DAE7">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7DAAE0C1">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1F7D36F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0FA6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519E226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w:t>
                  </w:r>
                </w:p>
              </w:tc>
              <w:tc>
                <w:tcPr>
                  <w:tcW w:w="770" w:type="pct"/>
                  <w:vAlign w:val="center"/>
                </w:tcPr>
                <w:p w14:paraId="3A998B2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二次布料机</w:t>
                  </w:r>
                </w:p>
              </w:tc>
              <w:tc>
                <w:tcPr>
                  <w:tcW w:w="2227" w:type="pct"/>
                  <w:vAlign w:val="center"/>
                </w:tcPr>
                <w:p w14:paraId="2F7D101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QT10-15型</w:t>
                  </w:r>
                </w:p>
              </w:tc>
              <w:tc>
                <w:tcPr>
                  <w:tcW w:w="530" w:type="pct"/>
                  <w:shd w:val="clear" w:color="auto" w:fill="auto"/>
                  <w:vAlign w:val="center"/>
                </w:tcPr>
                <w:p w14:paraId="20B2B8BD">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6BDE4A65">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49D8E5F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5E9FC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421E609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7</w:t>
                  </w:r>
                </w:p>
              </w:tc>
              <w:tc>
                <w:tcPr>
                  <w:tcW w:w="770" w:type="pct"/>
                  <w:vAlign w:val="center"/>
                </w:tcPr>
                <w:p w14:paraId="226BAC1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PLC</w:t>
                  </w:r>
                </w:p>
              </w:tc>
              <w:tc>
                <w:tcPr>
                  <w:tcW w:w="2227" w:type="pct"/>
                  <w:vAlign w:val="center"/>
                </w:tcPr>
                <w:p w14:paraId="17B69DA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SIMATIC-200SMART</w:t>
                  </w:r>
                </w:p>
              </w:tc>
              <w:tc>
                <w:tcPr>
                  <w:tcW w:w="530" w:type="pct"/>
                  <w:shd w:val="clear" w:color="auto" w:fill="auto"/>
                  <w:vAlign w:val="center"/>
                </w:tcPr>
                <w:p w14:paraId="56311A4A">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53CB6763">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3D4A18A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23835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3285AFC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8</w:t>
                  </w:r>
                </w:p>
              </w:tc>
              <w:tc>
                <w:tcPr>
                  <w:tcW w:w="770" w:type="pct"/>
                  <w:vAlign w:val="center"/>
                </w:tcPr>
                <w:p w14:paraId="4DB59BB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出砖机</w:t>
                  </w:r>
                </w:p>
              </w:tc>
              <w:tc>
                <w:tcPr>
                  <w:tcW w:w="2227" w:type="pct"/>
                  <w:vAlign w:val="center"/>
                </w:tcPr>
                <w:p w14:paraId="4B24AD2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QT10-15</w:t>
                  </w:r>
                </w:p>
              </w:tc>
              <w:tc>
                <w:tcPr>
                  <w:tcW w:w="530" w:type="pct"/>
                  <w:shd w:val="clear" w:color="auto" w:fill="auto"/>
                  <w:vAlign w:val="center"/>
                </w:tcPr>
                <w:p w14:paraId="305495F3">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5914796D">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018341E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6DAAD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015B67D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9</w:t>
                  </w:r>
                </w:p>
              </w:tc>
              <w:tc>
                <w:tcPr>
                  <w:tcW w:w="770" w:type="pct"/>
                  <w:vAlign w:val="center"/>
                </w:tcPr>
                <w:p w14:paraId="2AAB9CF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叠板机</w:t>
                  </w:r>
                </w:p>
              </w:tc>
              <w:tc>
                <w:tcPr>
                  <w:tcW w:w="2227" w:type="pct"/>
                  <w:vAlign w:val="center"/>
                </w:tcPr>
                <w:p w14:paraId="14B1FA4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双排行走式</w:t>
                  </w:r>
                </w:p>
              </w:tc>
              <w:tc>
                <w:tcPr>
                  <w:tcW w:w="530" w:type="pct"/>
                  <w:shd w:val="clear" w:color="auto" w:fill="auto"/>
                  <w:vAlign w:val="center"/>
                </w:tcPr>
                <w:p w14:paraId="0FB4B6D6">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0ADC30A5">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3C42E72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4763E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4D632AA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10</w:t>
                  </w:r>
                </w:p>
              </w:tc>
              <w:tc>
                <w:tcPr>
                  <w:tcW w:w="770" w:type="pct"/>
                  <w:vAlign w:val="center"/>
                </w:tcPr>
                <w:p w14:paraId="7068E11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自动上板机</w:t>
                  </w:r>
                </w:p>
              </w:tc>
              <w:tc>
                <w:tcPr>
                  <w:tcW w:w="2227" w:type="pct"/>
                  <w:vAlign w:val="center"/>
                </w:tcPr>
                <w:p w14:paraId="02915DE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QT10-15</w:t>
                  </w:r>
                </w:p>
              </w:tc>
              <w:tc>
                <w:tcPr>
                  <w:tcW w:w="530" w:type="pct"/>
                  <w:shd w:val="clear" w:color="auto" w:fill="auto"/>
                  <w:vAlign w:val="center"/>
                </w:tcPr>
                <w:p w14:paraId="5BB79504">
                  <w:pPr>
                    <w:pStyle w:val="144"/>
                    <w:ind w:firstLine="0" w:firstLineChars="0"/>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1DCBE8F2">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r>
                    <w:rPr>
                      <w:rFonts w:ascii="Times New Roman" w:hAnsi="Times New Roman" w:eastAsiaTheme="minorEastAsia"/>
                      <w:color w:val="000000" w:themeColor="text1"/>
                      <w:szCs w:val="21"/>
                      <w:lang w:eastAsia="en-US"/>
                      <w14:textFill>
                        <w14:solidFill>
                          <w14:schemeClr w14:val="tx1"/>
                        </w14:solidFill>
                      </w14:textFill>
                    </w:rPr>
                    <w:t>套</w:t>
                  </w:r>
                </w:p>
              </w:tc>
              <w:tc>
                <w:tcPr>
                  <w:tcW w:w="555" w:type="pct"/>
                  <w:vAlign w:val="center"/>
                </w:tcPr>
                <w:p w14:paraId="32B43BB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142B9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5FBB5A0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11</w:t>
                  </w:r>
                </w:p>
              </w:tc>
              <w:tc>
                <w:tcPr>
                  <w:tcW w:w="770" w:type="pct"/>
                  <w:vMerge w:val="restart"/>
                  <w:vAlign w:val="center"/>
                </w:tcPr>
                <w:p w14:paraId="317A3B0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模具</w:t>
                  </w:r>
                </w:p>
              </w:tc>
              <w:tc>
                <w:tcPr>
                  <w:tcW w:w="2227" w:type="pct"/>
                  <w:vAlign w:val="center"/>
                </w:tcPr>
                <w:p w14:paraId="3938408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240*115*53（mm）</w:t>
                  </w:r>
                </w:p>
              </w:tc>
              <w:tc>
                <w:tcPr>
                  <w:tcW w:w="530" w:type="pct"/>
                  <w:shd w:val="clear" w:color="auto" w:fill="auto"/>
                  <w:vAlign w:val="center"/>
                </w:tcPr>
                <w:p w14:paraId="00CD2D79">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3E0F8C7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1套</w:t>
                  </w:r>
                </w:p>
              </w:tc>
              <w:tc>
                <w:tcPr>
                  <w:tcW w:w="555" w:type="pct"/>
                  <w:vAlign w:val="center"/>
                </w:tcPr>
                <w:p w14:paraId="758BEDB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1C982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66AB65C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12</w:t>
                  </w:r>
                </w:p>
              </w:tc>
              <w:tc>
                <w:tcPr>
                  <w:tcW w:w="770" w:type="pct"/>
                  <w:vMerge w:val="continue"/>
                  <w:vAlign w:val="center"/>
                </w:tcPr>
                <w:p w14:paraId="586BD8E2">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2227" w:type="pct"/>
                  <w:vAlign w:val="center"/>
                </w:tcPr>
                <w:p w14:paraId="3C6C374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240*115*90（mm）</w:t>
                  </w:r>
                </w:p>
              </w:tc>
              <w:tc>
                <w:tcPr>
                  <w:tcW w:w="530" w:type="pct"/>
                  <w:shd w:val="clear" w:color="auto" w:fill="auto"/>
                  <w:vAlign w:val="center"/>
                </w:tcPr>
                <w:p w14:paraId="67C39AF3">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1E91B58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1套</w:t>
                  </w:r>
                </w:p>
              </w:tc>
              <w:tc>
                <w:tcPr>
                  <w:tcW w:w="555" w:type="pct"/>
                  <w:vAlign w:val="center"/>
                </w:tcPr>
                <w:p w14:paraId="56EEA76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52A81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1423DB9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13</w:t>
                  </w:r>
                </w:p>
              </w:tc>
              <w:tc>
                <w:tcPr>
                  <w:tcW w:w="770" w:type="pct"/>
                  <w:vMerge w:val="continue"/>
                  <w:vAlign w:val="center"/>
                </w:tcPr>
                <w:p w14:paraId="3EACEFF3">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2227" w:type="pct"/>
                  <w:vAlign w:val="center"/>
                </w:tcPr>
                <w:p w14:paraId="0B7E15E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390*190*190（mm）</w:t>
                  </w:r>
                </w:p>
              </w:tc>
              <w:tc>
                <w:tcPr>
                  <w:tcW w:w="530" w:type="pct"/>
                  <w:shd w:val="clear" w:color="auto" w:fill="auto"/>
                  <w:vAlign w:val="center"/>
                </w:tcPr>
                <w:p w14:paraId="065DCBDF">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7F1BADA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1套</w:t>
                  </w:r>
                </w:p>
              </w:tc>
              <w:tc>
                <w:tcPr>
                  <w:tcW w:w="555" w:type="pct"/>
                  <w:vAlign w:val="center"/>
                </w:tcPr>
                <w:p w14:paraId="63E13B2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688E4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1647AA2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14</w:t>
                  </w:r>
                </w:p>
              </w:tc>
              <w:tc>
                <w:tcPr>
                  <w:tcW w:w="770" w:type="pct"/>
                  <w:vMerge w:val="continue"/>
                  <w:vAlign w:val="center"/>
                </w:tcPr>
                <w:p w14:paraId="56579F2A">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2227" w:type="pct"/>
                  <w:vAlign w:val="center"/>
                </w:tcPr>
                <w:p w14:paraId="7A81F7E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200*100*60（mm）</w:t>
                  </w:r>
                </w:p>
              </w:tc>
              <w:tc>
                <w:tcPr>
                  <w:tcW w:w="530" w:type="pct"/>
                  <w:shd w:val="clear" w:color="auto" w:fill="auto"/>
                  <w:vAlign w:val="center"/>
                </w:tcPr>
                <w:p w14:paraId="5D10D50B">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r>
                    <w:rPr>
                      <w:rFonts w:ascii="Times New Roman" w:hAnsi="Times New Roman" w:eastAsiaTheme="minorEastAsia"/>
                      <w:color w:val="000000" w:themeColor="text1"/>
                      <w:szCs w:val="21"/>
                      <w:lang w:eastAsia="en-US"/>
                      <w14:textFill>
                        <w14:solidFill>
                          <w14:schemeClr w14:val="tx1"/>
                        </w14:solidFill>
                      </w14:textFill>
                    </w:rPr>
                    <w:t>套</w:t>
                  </w:r>
                </w:p>
              </w:tc>
              <w:tc>
                <w:tcPr>
                  <w:tcW w:w="534" w:type="pct"/>
                  <w:vAlign w:val="center"/>
                </w:tcPr>
                <w:p w14:paraId="67105D7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1套</w:t>
                  </w:r>
                </w:p>
              </w:tc>
              <w:tc>
                <w:tcPr>
                  <w:tcW w:w="555" w:type="pct"/>
                  <w:vAlign w:val="center"/>
                </w:tcPr>
                <w:p w14:paraId="79DE848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依托</w:t>
                  </w:r>
                </w:p>
              </w:tc>
            </w:tr>
            <w:tr w14:paraId="77A5A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5000" w:type="pct"/>
                  <w:gridSpan w:val="6"/>
                  <w:vAlign w:val="center"/>
                </w:tcPr>
                <w:p w14:paraId="353CC6D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b/>
                      <w:bCs/>
                      <w:color w:val="000000" w:themeColor="text1"/>
                      <w:szCs w:val="21"/>
                      <w:lang w:eastAsia="en-US"/>
                      <w14:textFill>
                        <w14:solidFill>
                          <w14:schemeClr w14:val="tx1"/>
                        </w14:solidFill>
                      </w14:textFill>
                    </w:rPr>
                    <w:t>四、机制砂生产设备</w:t>
                  </w:r>
                </w:p>
              </w:tc>
            </w:tr>
            <w:tr w14:paraId="46771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28CF3AA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770" w:type="pct"/>
                  <w:vAlign w:val="center"/>
                </w:tcPr>
                <w:p w14:paraId="3109B83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给料机</w:t>
                  </w:r>
                </w:p>
              </w:tc>
              <w:tc>
                <w:tcPr>
                  <w:tcW w:w="2227" w:type="pct"/>
                  <w:vAlign w:val="center"/>
                </w:tcPr>
                <w:p w14:paraId="5CECDB8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530" w:type="pct"/>
                  <w:shd w:val="clear" w:color="auto" w:fill="auto"/>
                  <w:vAlign w:val="center"/>
                </w:tcPr>
                <w:p w14:paraId="23349CB9">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0</w:t>
                  </w:r>
                  <w:r>
                    <w:rPr>
                      <w:rFonts w:ascii="Times New Roman" w:hAnsi="Times New Roman" w:eastAsiaTheme="minorEastAsia"/>
                      <w:color w:val="000000" w:themeColor="text1"/>
                      <w:szCs w:val="21"/>
                      <w:lang w:eastAsia="en-US"/>
                      <w14:textFill>
                        <w14:solidFill>
                          <w14:schemeClr w14:val="tx1"/>
                        </w14:solidFill>
                      </w14:textFill>
                    </w:rPr>
                    <w:t>台</w:t>
                  </w:r>
                </w:p>
              </w:tc>
              <w:tc>
                <w:tcPr>
                  <w:tcW w:w="534" w:type="pct"/>
                  <w:vAlign w:val="center"/>
                </w:tcPr>
                <w:p w14:paraId="05AE200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040ECA6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新建</w:t>
                  </w:r>
                </w:p>
              </w:tc>
            </w:tr>
            <w:tr w14:paraId="340CA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613D9A2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770" w:type="pct"/>
                  <w:vAlign w:val="center"/>
                </w:tcPr>
                <w:p w14:paraId="134F5EC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破碎机</w:t>
                  </w:r>
                </w:p>
              </w:tc>
              <w:tc>
                <w:tcPr>
                  <w:tcW w:w="2227" w:type="pct"/>
                  <w:vAlign w:val="center"/>
                </w:tcPr>
                <w:p w14:paraId="66F3A9E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530" w:type="pct"/>
                  <w:shd w:val="clear" w:color="auto" w:fill="auto"/>
                  <w:vAlign w:val="center"/>
                </w:tcPr>
                <w:p w14:paraId="2380E451">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0</w:t>
                  </w:r>
                  <w:r>
                    <w:rPr>
                      <w:rFonts w:ascii="Times New Roman" w:hAnsi="Times New Roman" w:eastAsiaTheme="minorEastAsia"/>
                      <w:color w:val="000000" w:themeColor="text1"/>
                      <w:szCs w:val="21"/>
                      <w:lang w:eastAsia="en-US"/>
                      <w14:textFill>
                        <w14:solidFill>
                          <w14:schemeClr w14:val="tx1"/>
                        </w14:solidFill>
                      </w14:textFill>
                    </w:rPr>
                    <w:t>台</w:t>
                  </w:r>
                </w:p>
              </w:tc>
              <w:tc>
                <w:tcPr>
                  <w:tcW w:w="534" w:type="pct"/>
                  <w:vAlign w:val="center"/>
                </w:tcPr>
                <w:p w14:paraId="2CC9997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4D11844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新建</w:t>
                  </w:r>
                </w:p>
              </w:tc>
            </w:tr>
            <w:tr w14:paraId="32D63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64CAC54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770" w:type="pct"/>
                  <w:vAlign w:val="center"/>
                </w:tcPr>
                <w:p w14:paraId="52001DB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分级振动筛</w:t>
                  </w:r>
                </w:p>
              </w:tc>
              <w:tc>
                <w:tcPr>
                  <w:tcW w:w="2227" w:type="pct"/>
                  <w:vAlign w:val="center"/>
                </w:tcPr>
                <w:p w14:paraId="69811A9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530" w:type="pct"/>
                  <w:shd w:val="clear" w:color="auto" w:fill="auto"/>
                  <w:vAlign w:val="center"/>
                </w:tcPr>
                <w:p w14:paraId="5772145B">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0</w:t>
                  </w:r>
                  <w:r>
                    <w:rPr>
                      <w:rFonts w:ascii="Times New Roman" w:hAnsi="Times New Roman" w:eastAsiaTheme="minorEastAsia"/>
                      <w:color w:val="000000" w:themeColor="text1"/>
                      <w:szCs w:val="21"/>
                      <w:lang w:eastAsia="en-US"/>
                      <w14:textFill>
                        <w14:solidFill>
                          <w14:schemeClr w14:val="tx1"/>
                        </w14:solidFill>
                      </w14:textFill>
                    </w:rPr>
                    <w:t>台</w:t>
                  </w:r>
                </w:p>
              </w:tc>
              <w:tc>
                <w:tcPr>
                  <w:tcW w:w="534" w:type="pct"/>
                  <w:vAlign w:val="center"/>
                </w:tcPr>
                <w:p w14:paraId="18E72C7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1台</w:t>
                  </w:r>
                </w:p>
              </w:tc>
              <w:tc>
                <w:tcPr>
                  <w:tcW w:w="555" w:type="pct"/>
                  <w:vAlign w:val="center"/>
                </w:tcPr>
                <w:p w14:paraId="77A2925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新建</w:t>
                  </w:r>
                </w:p>
              </w:tc>
            </w:tr>
            <w:tr w14:paraId="636A3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80" w:type="pct"/>
                  <w:vAlign w:val="center"/>
                </w:tcPr>
                <w:p w14:paraId="5E950C8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770" w:type="pct"/>
                  <w:vAlign w:val="center"/>
                </w:tcPr>
                <w:p w14:paraId="170FA4C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输送带</w:t>
                  </w:r>
                </w:p>
              </w:tc>
              <w:tc>
                <w:tcPr>
                  <w:tcW w:w="2227" w:type="pct"/>
                  <w:vAlign w:val="center"/>
                </w:tcPr>
                <w:p w14:paraId="4E30AC5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B=800/7.5kW</w:t>
                  </w:r>
                </w:p>
              </w:tc>
              <w:tc>
                <w:tcPr>
                  <w:tcW w:w="530" w:type="pct"/>
                  <w:shd w:val="clear" w:color="auto" w:fill="auto"/>
                  <w:vAlign w:val="center"/>
                </w:tcPr>
                <w:p w14:paraId="5F5017FB">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0</w:t>
                  </w:r>
                  <w:r>
                    <w:rPr>
                      <w:rFonts w:ascii="Times New Roman" w:hAnsi="Times New Roman" w:eastAsiaTheme="minorEastAsia"/>
                      <w:color w:val="000000" w:themeColor="text1"/>
                      <w:szCs w:val="21"/>
                      <w:lang w:eastAsia="en-US"/>
                      <w14:textFill>
                        <w14:solidFill>
                          <w14:schemeClr w14:val="tx1"/>
                        </w14:solidFill>
                      </w14:textFill>
                    </w:rPr>
                    <w:t>条</w:t>
                  </w:r>
                </w:p>
              </w:tc>
              <w:tc>
                <w:tcPr>
                  <w:tcW w:w="534" w:type="pct"/>
                  <w:vAlign w:val="center"/>
                </w:tcPr>
                <w:p w14:paraId="3C51A90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5条</w:t>
                  </w:r>
                </w:p>
              </w:tc>
              <w:tc>
                <w:tcPr>
                  <w:tcW w:w="555" w:type="pct"/>
                  <w:vAlign w:val="center"/>
                </w:tcPr>
                <w:p w14:paraId="23CF512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新建</w:t>
                  </w:r>
                </w:p>
              </w:tc>
            </w:tr>
          </w:tbl>
          <w:p w14:paraId="7D9C54CB">
            <w:pPr>
              <w:ind w:firstLine="480"/>
              <w:rPr>
                <w:rFonts w:hint="eastAsia" w:asciiTheme="minorEastAsia" w:hAnsiTheme="minorEastAsia" w:eastAsiaTheme="minorEastAsia" w:cstheme="minorEastAsia"/>
                <w:color w:val="000000" w:themeColor="text1"/>
                <w:lang w:bidi="ar"/>
                <w14:textFill>
                  <w14:solidFill>
                    <w14:schemeClr w14:val="tx1"/>
                  </w14:solidFill>
                </w14:textFill>
              </w:rPr>
            </w:pPr>
            <w:r>
              <w:rPr>
                <w:rFonts w:hint="eastAsia" w:asciiTheme="minorEastAsia" w:hAnsiTheme="minorEastAsia" w:eastAsiaTheme="minorEastAsia" w:cstheme="minorEastAsia"/>
                <w:color w:val="000000" w:themeColor="text1"/>
                <w:lang w:bidi="ar"/>
                <w14:textFill>
                  <w14:solidFill>
                    <w14:schemeClr w14:val="tx1"/>
                  </w14:solidFill>
                </w14:textFill>
              </w:rPr>
              <w:t>主要设备与产能匹配性：</w:t>
            </w:r>
          </w:p>
          <w:p w14:paraId="2C4ACF7C">
            <w:pPr>
              <w:ind w:firstLine="480"/>
              <w:rPr>
                <w:rFonts w:eastAsiaTheme="minorEastAsia"/>
                <w:color w:val="000000" w:themeColor="text1"/>
                <w:highlight w:val="none"/>
                <w:lang w:bidi="ar"/>
                <w14:textFill>
                  <w14:solidFill>
                    <w14:schemeClr w14:val="tx1"/>
                  </w14:solidFill>
                </w14:textFill>
              </w:rPr>
            </w:pPr>
            <w:r>
              <w:rPr>
                <w:rFonts w:eastAsiaTheme="minorEastAsia"/>
                <w:color w:val="000000" w:themeColor="text1"/>
                <w:highlight w:val="none"/>
                <w:lang w:bidi="ar"/>
                <w14:textFill>
                  <w14:solidFill>
                    <w14:schemeClr w14:val="tx1"/>
                  </w14:solidFill>
                </w14:textFill>
              </w:rPr>
              <w:t>根据设备厂家提供的说明显示，该公司所设计12.98m断面移动隧道窑</w:t>
            </w:r>
            <w:r>
              <w:rPr>
                <w:rFonts w:hint="eastAsia" w:eastAsiaTheme="minorEastAsia"/>
                <w:color w:val="000000" w:themeColor="text1"/>
                <w:highlight w:val="none"/>
                <w:lang w:bidi="ar"/>
                <w14:textFill>
                  <w14:solidFill>
                    <w14:schemeClr w14:val="tx1"/>
                  </w14:solidFill>
                </w14:textFill>
              </w:rPr>
              <w:t>年产量规模为3000万块/年-20000万块/年</w:t>
            </w:r>
            <w:r>
              <w:rPr>
                <w:rFonts w:hint="eastAsia" w:eastAsiaTheme="minorEastAsia"/>
                <w:color w:val="000000" w:themeColor="text1"/>
                <w:highlight w:val="none"/>
                <w:lang w:eastAsia="zh-CN" w:bidi="ar"/>
                <w14:textFill>
                  <w14:solidFill>
                    <w14:schemeClr w14:val="tx1"/>
                  </w14:solidFill>
                </w14:textFill>
              </w:rPr>
              <w:t>，</w:t>
            </w:r>
            <w:r>
              <w:rPr>
                <w:rFonts w:hint="eastAsia" w:eastAsiaTheme="minorEastAsia"/>
                <w:color w:val="000000" w:themeColor="text1"/>
                <w:highlight w:val="none"/>
                <w:lang w:bidi="ar"/>
                <w14:textFill>
                  <w14:solidFill>
                    <w14:schemeClr w14:val="tx1"/>
                  </w14:solidFill>
                </w14:textFill>
              </w:rPr>
              <w:t>该断面窑炉可以根据客服需求产能而调整，该断面主要好处在于一次土建结构设计完成后期可根据生产产能而调整，机动性强，无需频繁更换</w:t>
            </w:r>
            <w:r>
              <w:rPr>
                <w:rFonts w:hint="eastAsia" w:eastAsiaTheme="minorEastAsia"/>
                <w:color w:val="000000" w:themeColor="text1"/>
                <w:highlight w:val="none"/>
                <w:lang w:eastAsia="zh-CN" w:bidi="ar"/>
                <w14:textFill>
                  <w14:solidFill>
                    <w14:schemeClr w14:val="tx1"/>
                  </w14:solidFill>
                </w14:textFill>
              </w:rPr>
              <w:t>（</w:t>
            </w:r>
            <w:r>
              <w:rPr>
                <w:rFonts w:hint="eastAsia" w:eastAsiaTheme="minorEastAsia"/>
                <w:color w:val="000000" w:themeColor="text1"/>
                <w:highlight w:val="none"/>
                <w:lang w:bidi="ar"/>
                <w14:textFill>
                  <w14:solidFill>
                    <w14:schemeClr w14:val="tx1"/>
                  </w14:solidFill>
                </w14:textFill>
              </w:rPr>
              <w:t>升级</w:t>
            </w:r>
            <w:r>
              <w:rPr>
                <w:rFonts w:hint="eastAsia" w:eastAsiaTheme="minorEastAsia"/>
                <w:color w:val="000000" w:themeColor="text1"/>
                <w:highlight w:val="none"/>
                <w:lang w:eastAsia="zh-CN" w:bidi="ar"/>
                <w14:textFill>
                  <w14:solidFill>
                    <w14:schemeClr w14:val="tx1"/>
                  </w14:solidFill>
                </w14:textFill>
              </w:rPr>
              <w:t>）</w:t>
            </w:r>
            <w:r>
              <w:rPr>
                <w:rFonts w:hint="eastAsia" w:eastAsiaTheme="minorEastAsia"/>
                <w:color w:val="000000" w:themeColor="text1"/>
                <w:highlight w:val="none"/>
                <w:lang w:bidi="ar"/>
                <w14:textFill>
                  <w14:solidFill>
                    <w14:schemeClr w14:val="tx1"/>
                  </w14:solidFill>
                </w14:textFill>
              </w:rPr>
              <w:t>设备，窑炉、陈化间及运输主体系统不需再调整，即可满足客户的可需性。陕西汇荣禾能源环保科技有限公司与我公司合作设计定制两套12.98m断面移动隧道窑，公司配套设备</w:t>
            </w:r>
            <w:r>
              <w:rPr>
                <w:rFonts w:hint="eastAsia" w:eastAsiaTheme="minorEastAsia"/>
                <w:color w:val="000000" w:themeColor="text1"/>
                <w:highlight w:val="none"/>
                <w:lang w:eastAsia="zh-CN" w:bidi="ar"/>
                <w14:textFill>
                  <w14:solidFill>
                    <w14:schemeClr w14:val="tx1"/>
                  </w14:solidFill>
                </w14:textFill>
              </w:rPr>
              <w:t>（</w:t>
            </w:r>
            <w:r>
              <w:rPr>
                <w:rFonts w:hint="eastAsia" w:eastAsiaTheme="minorEastAsia"/>
                <w:color w:val="000000" w:themeColor="text1"/>
                <w:highlight w:val="none"/>
                <w:lang w:bidi="ar"/>
                <w14:textFill>
                  <w14:solidFill>
                    <w14:schemeClr w14:val="tx1"/>
                  </w14:solidFill>
                </w14:textFill>
              </w:rPr>
              <w:t>破碎设备、陈化库设备、砖机设备、码坯设备、装运设备</w:t>
            </w:r>
            <w:r>
              <w:rPr>
                <w:rFonts w:hint="eastAsia" w:eastAsiaTheme="minorEastAsia"/>
                <w:color w:val="000000" w:themeColor="text1"/>
                <w:highlight w:val="none"/>
                <w:lang w:eastAsia="zh-CN" w:bidi="ar"/>
                <w14:textFill>
                  <w14:solidFill>
                    <w14:schemeClr w14:val="tx1"/>
                  </w14:solidFill>
                </w14:textFill>
              </w:rPr>
              <w:t>）</w:t>
            </w:r>
            <w:r>
              <w:rPr>
                <w:rFonts w:hint="eastAsia" w:eastAsiaTheme="minorEastAsia"/>
                <w:color w:val="000000" w:themeColor="text1"/>
                <w:highlight w:val="none"/>
                <w:lang w:bidi="ar"/>
                <w14:textFill>
                  <w14:solidFill>
                    <w14:schemeClr w14:val="tx1"/>
                  </w14:solidFill>
                </w14:textFill>
              </w:rPr>
              <w:t>配置满足产量3000万块/年-20000万块/年(单套)。该设计符合《墙材工业用移动式隧道窑》</w:t>
            </w:r>
            <w:r>
              <w:rPr>
                <w:rFonts w:hint="eastAsia" w:eastAsiaTheme="minorEastAsia"/>
                <w:color w:val="000000" w:themeColor="text1"/>
                <w:highlight w:val="none"/>
                <w:lang w:eastAsia="zh-CN" w:bidi="ar"/>
                <w14:textFill>
                  <w14:solidFill>
                    <w14:schemeClr w14:val="tx1"/>
                  </w14:solidFill>
                </w14:textFill>
              </w:rPr>
              <w:t>（</w:t>
            </w:r>
            <w:r>
              <w:rPr>
                <w:rFonts w:hint="eastAsia" w:eastAsiaTheme="minorEastAsia"/>
                <w:color w:val="000000" w:themeColor="text1"/>
                <w:highlight w:val="none"/>
                <w:lang w:bidi="ar"/>
                <w14:textFill>
                  <w14:solidFill>
                    <w14:schemeClr w14:val="tx1"/>
                  </w14:solidFill>
                </w14:textFill>
              </w:rPr>
              <w:t>JC/T2594-2021</w:t>
            </w:r>
            <w:r>
              <w:rPr>
                <w:rFonts w:hint="eastAsia" w:eastAsiaTheme="minorEastAsia"/>
                <w:color w:val="000000" w:themeColor="text1"/>
                <w:highlight w:val="none"/>
                <w:lang w:eastAsia="zh-CN" w:bidi="ar"/>
                <w14:textFill>
                  <w14:solidFill>
                    <w14:schemeClr w14:val="tx1"/>
                  </w14:solidFill>
                </w14:textFill>
              </w:rPr>
              <w:t>）（</w:t>
            </w:r>
            <w:r>
              <w:rPr>
                <w:rFonts w:hint="eastAsia" w:eastAsiaTheme="minorEastAsia"/>
                <w:color w:val="000000" w:themeColor="text1"/>
                <w:highlight w:val="none"/>
                <w:lang w:val="en-US" w:eastAsia="zh-CN" w:bidi="ar"/>
                <w14:textFill>
                  <w14:solidFill>
                    <w14:schemeClr w14:val="tx1"/>
                  </w14:solidFill>
                </w14:textFill>
              </w:rPr>
              <w:t>说明文件见附件</w:t>
            </w:r>
            <w:r>
              <w:rPr>
                <w:rFonts w:hint="eastAsia" w:eastAsiaTheme="minorEastAsia"/>
                <w:color w:val="000000" w:themeColor="text1"/>
                <w:highlight w:val="none"/>
                <w:lang w:eastAsia="zh-CN" w:bidi="ar"/>
                <w14:textFill>
                  <w14:solidFill>
                    <w14:schemeClr w14:val="tx1"/>
                  </w14:solidFill>
                </w14:textFill>
              </w:rPr>
              <w:t>）。</w:t>
            </w:r>
          </w:p>
          <w:p w14:paraId="4FEB704B">
            <w:pPr>
              <w:ind w:firstLine="480"/>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highlight w:val="none"/>
                <w:lang w:val="en-US" w:eastAsia="zh-CN" w:bidi="ar"/>
                <w14:textFill>
                  <w14:solidFill>
                    <w14:schemeClr w14:val="tx1"/>
                  </w14:solidFill>
                </w14:textFill>
              </w:rPr>
              <w:t>项目单台隧道窑原料皮带传送速度</w:t>
            </w:r>
            <w:r>
              <w:rPr>
                <w:rFonts w:eastAsiaTheme="minorEastAsia"/>
                <w:color w:val="000000" w:themeColor="text1"/>
                <w:highlight w:val="none"/>
                <w:lang w:eastAsia="en-US" w:bidi="ar"/>
                <w14:textFill>
                  <w14:solidFill>
                    <w14:schemeClr w14:val="tx1"/>
                  </w14:solidFill>
                </w14:textFill>
              </w:rPr>
              <w:t>V=1.6m/s，</w:t>
            </w:r>
            <w:r>
              <w:rPr>
                <w:rFonts w:hint="eastAsia" w:eastAsiaTheme="minorEastAsia"/>
                <w:color w:val="000000" w:themeColor="text1"/>
                <w:highlight w:val="none"/>
                <w:lang w:val="en-US" w:eastAsia="zh-CN" w:bidi="ar"/>
                <w14:textFill>
                  <w14:solidFill>
                    <w14:schemeClr w14:val="tx1"/>
                  </w14:solidFill>
                </w14:textFill>
              </w:rPr>
              <w:t>长度123m，宽度12.98m</w:t>
            </w:r>
            <w:r>
              <w:rPr>
                <w:rFonts w:hint="eastAsia" w:eastAsiaTheme="minorEastAsia"/>
                <w:color w:val="000000" w:themeColor="text1"/>
                <w:highlight w:val="none"/>
                <w:lang w:eastAsia="zh-CN" w:bidi="ar"/>
                <w14:textFill>
                  <w14:solidFill>
                    <w14:schemeClr w14:val="tx1"/>
                  </w14:solidFill>
                </w14:textFill>
              </w:rPr>
              <w:t>。</w:t>
            </w:r>
            <w:r>
              <w:rPr>
                <w:rFonts w:hint="eastAsia" w:eastAsiaTheme="minorEastAsia"/>
                <w:color w:val="000000" w:themeColor="text1"/>
                <w:highlight w:val="none"/>
                <w:lang w:val="en-US" w:eastAsia="zh-CN" w:bidi="ar"/>
                <w14:textFill>
                  <w14:solidFill>
                    <w14:schemeClr w14:val="tx1"/>
                  </w14:solidFill>
                </w14:textFill>
              </w:rPr>
              <w:t>根据</w:t>
            </w:r>
            <w:r>
              <w:rPr>
                <w:rFonts w:eastAsiaTheme="minorEastAsia"/>
                <w:color w:val="000000" w:themeColor="text1"/>
                <w:highlight w:val="none"/>
                <w:lang w:eastAsia="en-US" w:bidi="ar"/>
                <w14:textFill>
                  <w14:solidFill>
                    <w14:schemeClr w14:val="tx1"/>
                  </w14:solidFill>
                </w14:textFill>
              </w:rPr>
              <w:t>生产标准烧结普通砖（240×115×53mm），单块体积0.0014628m³，考虑砌筑灰缝与码坯间隙，实际码坯密度按行业常规值</w:t>
            </w:r>
            <w:r>
              <w:rPr>
                <w:rFonts w:hint="default" w:eastAsiaTheme="minorEastAsia"/>
                <w:color w:val="000000" w:themeColor="text1"/>
                <w:highlight w:val="none"/>
                <w:lang w:eastAsia="en-US" w:bidi="ar"/>
                <w14:textFill>
                  <w14:solidFill>
                    <w14:schemeClr w14:val="tx1"/>
                  </w14:solidFill>
                </w14:textFill>
              </w:rPr>
              <w:t>370块/m³</w:t>
            </w:r>
            <w:r>
              <w:rPr>
                <w:rFonts w:eastAsiaTheme="minorEastAsia"/>
                <w:color w:val="000000" w:themeColor="text1"/>
                <w:highlight w:val="none"/>
                <w:lang w:eastAsia="en-US" w:bidi="ar"/>
                <w14:textFill>
                  <w14:solidFill>
                    <w14:schemeClr w14:val="tx1"/>
                  </w14:solidFill>
                </w14:textFill>
              </w:rPr>
              <w:t>，</w:t>
            </w:r>
            <w:r>
              <w:rPr>
                <w:rFonts w:eastAsiaTheme="minorEastAsia"/>
                <w:color w:val="000000" w:themeColor="text1"/>
                <w:highlight w:val="none"/>
                <w:lang w:bidi="ar"/>
                <w14:textFill>
                  <w14:solidFill>
                    <w14:schemeClr w14:val="tx1"/>
                  </w14:solidFill>
                </w14:textFill>
              </w:rPr>
              <w:t>移动隧道窑的产能本质是“单位时间内通过窑体的有效砖坯体积×单体积砖数”，运行速度直接决定砖坯在窑内的停留时间（需满足24-36小时烧结需求）</w:t>
            </w:r>
            <w:r>
              <w:rPr>
                <w:rFonts w:hint="eastAsia" w:eastAsiaTheme="minorEastAsia"/>
                <w:color w:val="000000" w:themeColor="text1"/>
                <w:highlight w:val="none"/>
                <w:lang w:val="en-US" w:eastAsia="zh-CN" w:bidi="ar"/>
                <w14:textFill>
                  <w14:solidFill>
                    <w14:schemeClr w14:val="tx1"/>
                  </w14:solidFill>
                </w14:textFill>
              </w:rPr>
              <w:t>，根据年产能（块）=窑体断面面积×运行速度×年运行时长×码坯密度。</w:t>
            </w:r>
          </w:p>
          <w:p w14:paraId="2AB87922">
            <w:pPr>
              <w:ind w:firstLine="480"/>
              <w:rPr>
                <w:rFonts w:hint="default" w:eastAsiaTheme="minorEastAsia"/>
                <w:color w:val="000000" w:themeColor="text1"/>
                <w:highlight w:val="none"/>
                <w:lang w:val="en-US" w:eastAsia="zh-CN" w:bidi="ar"/>
                <w14:textFill>
                  <w14:solidFill>
                    <w14:schemeClr w14:val="tx1"/>
                  </w14:solidFill>
                </w14:textFill>
              </w:rPr>
            </w:pPr>
            <w:r>
              <w:rPr>
                <w:rFonts w:hint="eastAsia" w:eastAsiaTheme="minorEastAsia"/>
                <w:color w:val="000000" w:themeColor="text1"/>
                <w:highlight w:val="none"/>
                <w:lang w:val="en-US" w:eastAsia="zh-CN" w:bidi="ar"/>
                <w14:textFill>
                  <w14:solidFill>
                    <w14:schemeClr w14:val="tx1"/>
                  </w14:solidFill>
                </w14:textFill>
              </w:rPr>
              <w:t>根据计算，单条</w:t>
            </w:r>
            <w:r>
              <w:rPr>
                <w:rFonts w:hint="default" w:eastAsiaTheme="minorEastAsia"/>
                <w:color w:val="000000" w:themeColor="text1"/>
                <w:highlight w:val="none"/>
                <w:lang w:val="en-US" w:eastAsia="zh-CN" w:bidi="ar"/>
                <w14:textFill>
                  <w14:solidFill>
                    <w14:schemeClr w14:val="tx1"/>
                  </w14:solidFill>
                </w14:textFill>
              </w:rPr>
              <w:t>12.98m断面移动隧道窑，在年生产210天、24小时连续运行的条件下，完全能够实现年产1.5亿块烧结砖（实际产能可达1.68-2.9亿块），且原料皮带输送量远超需求，无产能瓶颈。</w:t>
            </w:r>
          </w:p>
          <w:p w14:paraId="208FBB21">
            <w:pPr>
              <w:ind w:firstLine="482"/>
              <w:rPr>
                <w:rFonts w:hint="eastAsia" w:asciiTheme="minorEastAsia" w:hAnsiTheme="minorEastAsia" w:eastAsiaTheme="minorEastAsia" w:cstheme="minorEastAsia"/>
                <w:b/>
                <w:bCs/>
                <w:color w:val="000000" w:themeColor="text1"/>
                <w:highlight w:val="none"/>
                <w14:textFill>
                  <w14:solidFill>
                    <w14:schemeClr w14:val="tx1"/>
                  </w14:solidFill>
                </w14:textFill>
              </w:rPr>
            </w:pPr>
            <w:r>
              <w:rPr>
                <w:rFonts w:hint="eastAsia" w:asciiTheme="minorEastAsia" w:hAnsiTheme="minorEastAsia" w:eastAsiaTheme="minorEastAsia" w:cstheme="minorEastAsia"/>
                <w:b/>
                <w:bCs/>
                <w:color w:val="000000" w:themeColor="text1"/>
                <w:highlight w:val="none"/>
                <w14:textFill>
                  <w14:solidFill>
                    <w14:schemeClr w14:val="tx1"/>
                  </w14:solidFill>
                </w14:textFill>
              </w:rPr>
              <w:t>5.产品方案</w:t>
            </w:r>
          </w:p>
          <w:p w14:paraId="450AA1A7">
            <w:pPr>
              <w:ind w:firstLine="480"/>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（1）产品情况</w:t>
            </w:r>
          </w:p>
          <w:p w14:paraId="43E85424">
            <w:pPr>
              <w:ind w:firstLine="48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本项目建成后生产线年产烧结砖</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highlight w:val="none"/>
                <w14:textFill>
                  <w14:solidFill>
                    <w14:schemeClr w14:val="tx1"/>
                  </w14:solidFill>
                </w14:textFill>
              </w:rPr>
              <w:t>亿块/年、免烧砖</w:t>
            </w:r>
            <w:r>
              <w:rPr>
                <w:rFonts w:hint="eastAsia" w:cs="Times New Roman" w:eastAsiaTheme="minorEastAsia"/>
                <w:color w:val="000000" w:themeColor="text1"/>
                <w:highlight w:val="none"/>
                <w:lang w:val="en-US" w:eastAsia="zh-CN"/>
                <w14:textFill>
                  <w14:solidFill>
                    <w14:schemeClr w14:val="tx1"/>
                  </w14:solidFill>
                </w14:textFill>
              </w:rPr>
              <w:t>1.6</w:t>
            </w:r>
            <w:r>
              <w:rPr>
                <w:rFonts w:hint="default" w:ascii="Times New Roman" w:hAnsi="Times New Roman" w:cs="Times New Roman" w:eastAsiaTheme="minorEastAsia"/>
                <w:color w:val="000000" w:themeColor="text1"/>
                <w:highlight w:val="none"/>
                <w14:textFill>
                  <w14:solidFill>
                    <w14:schemeClr w14:val="tx1"/>
                  </w14:solidFill>
                </w14:textFill>
              </w:rPr>
              <w:t>亿块/年，机制砂</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highlight w:val="none"/>
                <w14:textFill>
                  <w14:solidFill>
                    <w14:schemeClr w14:val="tx1"/>
                  </w14:solidFill>
                </w14:textFill>
              </w:rPr>
              <w:t>万吨/年。</w:t>
            </w:r>
          </w:p>
          <w:p w14:paraId="42F0C610">
            <w:pPr>
              <w:pStyle w:val="312"/>
              <w:widowControl w:val="0"/>
              <w:numPr>
                <w:ilvl w:val="0"/>
                <w:numId w:val="14"/>
              </w:numPr>
              <w:spacing w:line="240" w:lineRule="auto"/>
              <w:ind w:left="-2" w:firstLine="482" w:firstLineChars="0"/>
              <w:rPr>
                <w:rFonts w:hint="eastAsia" w:asciiTheme="minorEastAsia" w:hAnsiTheme="minorEastAsia" w:eastAsiaTheme="minorEastAsia" w:cstheme="minorEastAsia"/>
                <w:b/>
                <w:color w:val="000000" w:themeColor="text1"/>
                <w:highlight w:val="none"/>
                <w14:textFill>
                  <w14:solidFill>
                    <w14:schemeClr w14:val="tx1"/>
                  </w14:solidFill>
                </w14:textFill>
              </w:rPr>
            </w:pPr>
            <w:r>
              <w:rPr>
                <w:rFonts w:hint="eastAsia" w:asciiTheme="minorEastAsia" w:hAnsiTheme="minorEastAsia" w:eastAsiaTheme="minorEastAsia" w:cstheme="minorEastAsia"/>
                <w:b/>
                <w:color w:val="000000" w:themeColor="text1"/>
                <w:highlight w:val="none"/>
                <w14:textFill>
                  <w14:solidFill>
                    <w14:schemeClr w14:val="tx1"/>
                  </w14:solidFill>
                </w14:textFill>
              </w:rPr>
              <w:t xml:space="preserve">                 主要产品方案一览表</w:t>
            </w:r>
          </w:p>
          <w:tbl>
            <w:tblPr>
              <w:tblStyle w:val="8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850"/>
              <w:gridCol w:w="2378"/>
              <w:gridCol w:w="2130"/>
              <w:gridCol w:w="1003"/>
              <w:gridCol w:w="1257"/>
            </w:tblGrid>
            <w:tr w14:paraId="7B2F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0" w:type="pct"/>
                  <w:tcBorders>
                    <w:tl2br w:val="nil"/>
                    <w:tr2bl w:val="nil"/>
                  </w:tcBorders>
                  <w:vAlign w:val="center"/>
                </w:tcPr>
                <w:p w14:paraId="29EB3D9D">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lang w:val="zh-TW"/>
                      <w14:textFill>
                        <w14:solidFill>
                          <w14:schemeClr w14:val="tx1"/>
                        </w14:solidFill>
                      </w14:textFill>
                    </w:rPr>
                    <w:t>序号</w:t>
                  </w:r>
                </w:p>
              </w:tc>
              <w:tc>
                <w:tcPr>
                  <w:tcW w:w="757" w:type="pct"/>
                  <w:gridSpan w:val="2"/>
                  <w:tcBorders>
                    <w:tl2br w:val="nil"/>
                    <w:tr2bl w:val="nil"/>
                  </w:tcBorders>
                  <w:vAlign w:val="center"/>
                </w:tcPr>
                <w:p w14:paraId="40A775CB">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lang w:val="zh-TW"/>
                      <w14:textFill>
                        <w14:solidFill>
                          <w14:schemeClr w14:val="tx1"/>
                        </w14:solidFill>
                      </w14:textFill>
                    </w:rPr>
                    <w:t>产品名称</w:t>
                  </w:r>
                </w:p>
              </w:tc>
              <w:tc>
                <w:tcPr>
                  <w:tcW w:w="1397" w:type="pct"/>
                  <w:tcBorders>
                    <w:tl2br w:val="nil"/>
                    <w:tr2bl w:val="nil"/>
                  </w:tcBorders>
                  <w:vAlign w:val="center"/>
                </w:tcPr>
                <w:p w14:paraId="735ECAB4">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lang w:val="zh-TW"/>
                      <w14:textFill>
                        <w14:solidFill>
                          <w14:schemeClr w14:val="tx1"/>
                        </w14:solidFill>
                      </w14:textFill>
                    </w:rPr>
                    <w:t>规格</w:t>
                  </w:r>
                </w:p>
              </w:tc>
              <w:tc>
                <w:tcPr>
                  <w:tcW w:w="1252" w:type="pct"/>
                  <w:tcBorders>
                    <w:tl2br w:val="nil"/>
                    <w:tr2bl w:val="nil"/>
                  </w:tcBorders>
                  <w:vAlign w:val="center"/>
                </w:tcPr>
                <w:p w14:paraId="1693530E">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产品执行标准</w:t>
                  </w:r>
                </w:p>
              </w:tc>
              <w:tc>
                <w:tcPr>
                  <w:tcW w:w="597" w:type="pct"/>
                  <w:tcBorders>
                    <w:tl2br w:val="nil"/>
                    <w:tr2bl w:val="nil"/>
                  </w:tcBorders>
                  <w:vAlign w:val="center"/>
                </w:tcPr>
                <w:p w14:paraId="2CE5F6B6">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改建前</w:t>
                  </w:r>
                </w:p>
              </w:tc>
              <w:tc>
                <w:tcPr>
                  <w:tcW w:w="745" w:type="pct"/>
                  <w:tcBorders>
                    <w:tl2br w:val="nil"/>
                    <w:tr2bl w:val="nil"/>
                  </w:tcBorders>
                  <w:vAlign w:val="center"/>
                </w:tcPr>
                <w:p w14:paraId="0D36678E">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改建后</w:t>
                  </w:r>
                </w:p>
              </w:tc>
            </w:tr>
            <w:tr w14:paraId="722D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7"/>
                  <w:tcBorders>
                    <w:tl2br w:val="nil"/>
                    <w:tr2bl w:val="nil"/>
                  </w:tcBorders>
                  <w:vAlign w:val="center"/>
                </w:tcPr>
                <w:p w14:paraId="4BF9C503">
                  <w:pPr>
                    <w:pStyle w:val="144"/>
                    <w:rPr>
                      <w:rFonts w:hint="default"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eastAsiaTheme="minorEastAsia"/>
                      <w:b/>
                      <w:bCs/>
                      <w:color w:val="000000" w:themeColor="text1"/>
                      <w:szCs w:val="21"/>
                      <w:highlight w:val="none"/>
                      <w:lang w:val="en-US" w:eastAsia="zh-CN"/>
                      <w14:textFill>
                        <w14:solidFill>
                          <w14:schemeClr w14:val="tx1"/>
                        </w14:solidFill>
                      </w14:textFill>
                    </w:rPr>
                    <w:t>一、烧结砖</w:t>
                  </w:r>
                </w:p>
              </w:tc>
            </w:tr>
            <w:tr w14:paraId="7F3B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0" w:type="pct"/>
                  <w:tcBorders>
                    <w:tl2br w:val="nil"/>
                    <w:tr2bl w:val="nil"/>
                  </w:tcBorders>
                  <w:vAlign w:val="center"/>
                </w:tcPr>
                <w:p w14:paraId="6728A5ED">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1</w:t>
                  </w:r>
                </w:p>
              </w:tc>
              <w:tc>
                <w:tcPr>
                  <w:tcW w:w="757" w:type="pct"/>
                  <w:gridSpan w:val="2"/>
                  <w:tcBorders>
                    <w:tl2br w:val="nil"/>
                    <w:tr2bl w:val="nil"/>
                  </w:tcBorders>
                  <w:vAlign w:val="center"/>
                </w:tcPr>
                <w:p w14:paraId="1D726CE9">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烧结普通砖</w:t>
                  </w:r>
                </w:p>
              </w:tc>
              <w:tc>
                <w:tcPr>
                  <w:tcW w:w="1397" w:type="pct"/>
                  <w:tcBorders>
                    <w:tl2br w:val="nil"/>
                    <w:tr2bl w:val="nil"/>
                  </w:tcBorders>
                  <w:vAlign w:val="center"/>
                </w:tcPr>
                <w:p w14:paraId="49C8EB21">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240mm×115mm×53mm（2.4kg/块）</w:t>
                  </w:r>
                </w:p>
              </w:tc>
              <w:tc>
                <w:tcPr>
                  <w:tcW w:w="1252" w:type="pct"/>
                  <w:tcBorders>
                    <w:tl2br w:val="nil"/>
                    <w:tr2bl w:val="nil"/>
                  </w:tcBorders>
                  <w:vAlign w:val="center"/>
                </w:tcPr>
                <w:p w14:paraId="3BF12B94">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满足《烧结普通砖》</w:t>
                  </w:r>
                </w:p>
                <w:p w14:paraId="2E219765">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（GB/T50101-2017）</w:t>
                  </w:r>
                </w:p>
              </w:tc>
              <w:tc>
                <w:tcPr>
                  <w:tcW w:w="597" w:type="pct"/>
                  <w:tcBorders>
                    <w:tl2br w:val="nil"/>
                    <w:tr2bl w:val="nil"/>
                  </w:tcBorders>
                  <w:vAlign w:val="center"/>
                </w:tcPr>
                <w:p w14:paraId="59B9D43B">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0.6亿块（折标砖）/年</w:t>
                  </w:r>
                </w:p>
              </w:tc>
              <w:tc>
                <w:tcPr>
                  <w:tcW w:w="745" w:type="pct"/>
                  <w:tcBorders>
                    <w:tl2br w:val="nil"/>
                    <w:tr2bl w:val="nil"/>
                  </w:tcBorders>
                  <w:vAlign w:val="center"/>
                </w:tcPr>
                <w:p w14:paraId="490FD3C5">
                  <w:pPr>
                    <w:pStyle w:val="144"/>
                    <w:rPr>
                      <w:rFonts w:ascii="Times New Roman" w:hAnsi="Times New Roman" w:eastAsiaTheme="minorEastAsia"/>
                      <w:color w:val="000000" w:themeColor="text1"/>
                      <w:szCs w:val="21"/>
                      <w:highlight w:val="none"/>
                      <w14:textFill>
                        <w14:solidFill>
                          <w14:schemeClr w14:val="tx1"/>
                        </w14:solidFill>
                      </w14:textFill>
                    </w:rPr>
                  </w:pP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3</w:t>
                  </w:r>
                  <w:r>
                    <w:rPr>
                      <w:rFonts w:ascii="Times New Roman" w:hAnsi="Times New Roman" w:eastAsiaTheme="minorEastAsia"/>
                      <w:color w:val="000000" w:themeColor="text1"/>
                      <w:szCs w:val="21"/>
                      <w:highlight w:val="none"/>
                      <w14:textFill>
                        <w14:solidFill>
                          <w14:schemeClr w14:val="tx1"/>
                        </w14:solidFill>
                      </w14:textFill>
                    </w:rPr>
                    <w:t>亿块（折标砖）/年</w:t>
                  </w:r>
                </w:p>
              </w:tc>
            </w:tr>
            <w:tr w14:paraId="0FEC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7"/>
                  <w:tcBorders>
                    <w:tl2br w:val="nil"/>
                    <w:tr2bl w:val="nil"/>
                  </w:tcBorders>
                  <w:vAlign w:val="center"/>
                </w:tcPr>
                <w:p w14:paraId="78CB50AA">
                  <w:pPr>
                    <w:pStyle w:val="144"/>
                    <w:rPr>
                      <w:rFonts w:hint="eastAsia" w:ascii="Times New Roman" w:hAnsi="Times New Roman" w:eastAsiaTheme="minorEastAsia"/>
                      <w:color w:val="000000" w:themeColor="text1"/>
                      <w:szCs w:val="21"/>
                      <w:highlight w:val="none"/>
                      <w:lang w:val="en-US" w:eastAsia="zh-CN"/>
                      <w14:textFill>
                        <w14:solidFill>
                          <w14:schemeClr w14:val="tx1"/>
                        </w14:solidFill>
                      </w14:textFill>
                    </w:rPr>
                  </w:pPr>
                  <w:r>
                    <w:rPr>
                      <w:rFonts w:hint="eastAsia" w:ascii="Times New Roman" w:hAnsi="Times New Roman" w:eastAsiaTheme="minorEastAsia"/>
                      <w:b/>
                      <w:bCs/>
                      <w:color w:val="000000" w:themeColor="text1"/>
                      <w:szCs w:val="21"/>
                      <w:highlight w:val="none"/>
                      <w:lang w:val="en-US" w:eastAsia="zh-CN"/>
                      <w14:textFill>
                        <w14:solidFill>
                          <w14:schemeClr w14:val="tx1"/>
                        </w14:solidFill>
                      </w14:textFill>
                    </w:rPr>
                    <w:t>二、免烧砖</w:t>
                  </w:r>
                </w:p>
              </w:tc>
            </w:tr>
            <w:tr w14:paraId="15ED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0" w:type="pct"/>
                  <w:tcBorders>
                    <w:tl2br w:val="nil"/>
                    <w:tr2bl w:val="nil"/>
                  </w:tcBorders>
                  <w:vAlign w:val="center"/>
                </w:tcPr>
                <w:p w14:paraId="3B2AE856">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2</w:t>
                  </w:r>
                </w:p>
              </w:tc>
              <w:tc>
                <w:tcPr>
                  <w:tcW w:w="250" w:type="pct"/>
                  <w:vMerge w:val="restart"/>
                  <w:tcBorders>
                    <w:tl2br w:val="nil"/>
                    <w:tr2bl w:val="nil"/>
                  </w:tcBorders>
                  <w:vAlign w:val="center"/>
                </w:tcPr>
                <w:p w14:paraId="781FF87D">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多功能地面砖</w:t>
                  </w:r>
                </w:p>
              </w:tc>
              <w:tc>
                <w:tcPr>
                  <w:tcW w:w="506" w:type="pct"/>
                  <w:tcBorders>
                    <w:tl2br w:val="nil"/>
                    <w:tr2bl w:val="nil"/>
                  </w:tcBorders>
                  <w:vAlign w:val="center"/>
                </w:tcPr>
                <w:p w14:paraId="7D8CDE06">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路缘石</w:t>
                  </w:r>
                </w:p>
              </w:tc>
              <w:tc>
                <w:tcPr>
                  <w:tcW w:w="1397" w:type="pct"/>
                  <w:tcBorders>
                    <w:tl2br w:val="nil"/>
                    <w:tr2bl w:val="nil"/>
                  </w:tcBorders>
                  <w:vAlign w:val="center"/>
                </w:tcPr>
                <w:p w14:paraId="202E8DE2">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800mm×400mm×150mm</w:t>
                  </w:r>
                </w:p>
              </w:tc>
              <w:tc>
                <w:tcPr>
                  <w:tcW w:w="1252" w:type="pct"/>
                  <w:tcBorders>
                    <w:tl2br w:val="nil"/>
                    <w:tr2bl w:val="nil"/>
                  </w:tcBorders>
                  <w:vAlign w:val="center"/>
                </w:tcPr>
                <w:p w14:paraId="3505DAC3">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执行《混凝土路缘石》（JC/T899-2016）</w:t>
                  </w:r>
                </w:p>
              </w:tc>
              <w:tc>
                <w:tcPr>
                  <w:tcW w:w="597" w:type="pct"/>
                  <w:tcBorders>
                    <w:tl2br w:val="nil"/>
                    <w:tr2bl w:val="nil"/>
                  </w:tcBorders>
                  <w:vAlign w:val="center"/>
                </w:tcPr>
                <w:p w14:paraId="3CA64581">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1.6亿块/年</w:t>
                  </w:r>
                </w:p>
              </w:tc>
              <w:tc>
                <w:tcPr>
                  <w:tcW w:w="745" w:type="pct"/>
                  <w:tcBorders>
                    <w:tl2br w:val="nil"/>
                    <w:tr2bl w:val="nil"/>
                  </w:tcBorders>
                  <w:vAlign w:val="center"/>
                </w:tcPr>
                <w:p w14:paraId="51C53776">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0.</w:t>
                  </w: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25</w:t>
                  </w:r>
                  <w:r>
                    <w:rPr>
                      <w:rFonts w:ascii="Times New Roman" w:hAnsi="Times New Roman" w:eastAsiaTheme="minorEastAsia"/>
                      <w:color w:val="000000" w:themeColor="text1"/>
                      <w:szCs w:val="21"/>
                      <w:highlight w:val="none"/>
                      <w14:textFill>
                        <w14:solidFill>
                          <w14:schemeClr w14:val="tx1"/>
                        </w14:solidFill>
                      </w14:textFill>
                    </w:rPr>
                    <w:t>亿块/年</w:t>
                  </w:r>
                </w:p>
              </w:tc>
            </w:tr>
            <w:tr w14:paraId="688B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0" w:type="pct"/>
                  <w:tcBorders>
                    <w:tl2br w:val="nil"/>
                    <w:tr2bl w:val="nil"/>
                  </w:tcBorders>
                  <w:vAlign w:val="center"/>
                </w:tcPr>
                <w:p w14:paraId="52C5F53A">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3</w:t>
                  </w:r>
                </w:p>
              </w:tc>
              <w:tc>
                <w:tcPr>
                  <w:tcW w:w="250" w:type="pct"/>
                  <w:vMerge w:val="continue"/>
                  <w:tcBorders>
                    <w:tl2br w:val="nil"/>
                    <w:tr2bl w:val="nil"/>
                  </w:tcBorders>
                  <w:vAlign w:val="center"/>
                </w:tcPr>
                <w:p w14:paraId="0F5DA3D1">
                  <w:pPr>
                    <w:pStyle w:val="144"/>
                    <w:rPr>
                      <w:rFonts w:ascii="Times New Roman" w:hAnsi="Times New Roman" w:eastAsiaTheme="minorEastAsia"/>
                      <w:color w:val="000000" w:themeColor="text1"/>
                      <w:szCs w:val="21"/>
                      <w:highlight w:val="none"/>
                      <w:lang w:val="zh-TW"/>
                      <w14:textFill>
                        <w14:solidFill>
                          <w14:schemeClr w14:val="tx1"/>
                        </w14:solidFill>
                      </w14:textFill>
                    </w:rPr>
                  </w:pPr>
                </w:p>
              </w:tc>
              <w:tc>
                <w:tcPr>
                  <w:tcW w:w="506" w:type="pct"/>
                  <w:tcBorders>
                    <w:tl2br w:val="nil"/>
                    <w:tr2bl w:val="nil"/>
                  </w:tcBorders>
                  <w:vAlign w:val="center"/>
                </w:tcPr>
                <w:p w14:paraId="16623210">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路面砖</w:t>
                  </w:r>
                </w:p>
              </w:tc>
              <w:tc>
                <w:tcPr>
                  <w:tcW w:w="1397" w:type="pct"/>
                  <w:tcBorders>
                    <w:tl2br w:val="nil"/>
                    <w:tr2bl w:val="nil"/>
                  </w:tcBorders>
                  <w:vAlign w:val="center"/>
                </w:tcPr>
                <w:p w14:paraId="50275EF0">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600mm×300mm×60mm</w:t>
                  </w:r>
                </w:p>
              </w:tc>
              <w:tc>
                <w:tcPr>
                  <w:tcW w:w="1252" w:type="pct"/>
                  <w:vMerge w:val="restart"/>
                  <w:tcBorders>
                    <w:tl2br w:val="nil"/>
                    <w:tr2bl w:val="nil"/>
                  </w:tcBorders>
                  <w:vAlign w:val="center"/>
                </w:tcPr>
                <w:p w14:paraId="1171EFD6">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执行《混凝土路面砖》（GB28635-2012）</w:t>
                  </w:r>
                </w:p>
              </w:tc>
              <w:tc>
                <w:tcPr>
                  <w:tcW w:w="597" w:type="pct"/>
                  <w:tcBorders>
                    <w:tl2br w:val="nil"/>
                    <w:tr2bl w:val="nil"/>
                  </w:tcBorders>
                  <w:vAlign w:val="center"/>
                </w:tcPr>
                <w:p w14:paraId="5B0AA5A1">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1.6亿块/年</w:t>
                  </w:r>
                </w:p>
              </w:tc>
              <w:tc>
                <w:tcPr>
                  <w:tcW w:w="745" w:type="pct"/>
                  <w:tcBorders>
                    <w:tl2br w:val="nil"/>
                    <w:tr2bl w:val="nil"/>
                  </w:tcBorders>
                  <w:vAlign w:val="center"/>
                </w:tcPr>
                <w:p w14:paraId="4280F6DE">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0.</w:t>
                  </w: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58</w:t>
                  </w:r>
                  <w:r>
                    <w:rPr>
                      <w:rFonts w:ascii="Times New Roman" w:hAnsi="Times New Roman" w:eastAsiaTheme="minorEastAsia"/>
                      <w:color w:val="000000" w:themeColor="text1"/>
                      <w:szCs w:val="21"/>
                      <w:highlight w:val="none"/>
                      <w14:textFill>
                        <w14:solidFill>
                          <w14:schemeClr w14:val="tx1"/>
                        </w14:solidFill>
                      </w14:textFill>
                    </w:rPr>
                    <w:t>亿块/年</w:t>
                  </w:r>
                </w:p>
              </w:tc>
            </w:tr>
            <w:tr w14:paraId="60F4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0" w:type="pct"/>
                  <w:tcBorders>
                    <w:tl2br w:val="nil"/>
                    <w:tr2bl w:val="nil"/>
                  </w:tcBorders>
                  <w:vAlign w:val="center"/>
                </w:tcPr>
                <w:p w14:paraId="48D208FD">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4</w:t>
                  </w:r>
                </w:p>
              </w:tc>
              <w:tc>
                <w:tcPr>
                  <w:tcW w:w="250" w:type="pct"/>
                  <w:vMerge w:val="continue"/>
                  <w:tcBorders>
                    <w:tl2br w:val="nil"/>
                    <w:tr2bl w:val="nil"/>
                  </w:tcBorders>
                  <w:vAlign w:val="center"/>
                </w:tcPr>
                <w:p w14:paraId="3CAFB378">
                  <w:pPr>
                    <w:pStyle w:val="144"/>
                    <w:rPr>
                      <w:rFonts w:ascii="Times New Roman" w:hAnsi="Times New Roman" w:eastAsiaTheme="minorEastAsia"/>
                      <w:color w:val="000000" w:themeColor="text1"/>
                      <w:szCs w:val="21"/>
                      <w:highlight w:val="none"/>
                      <w:lang w:val="zh-TW"/>
                      <w14:textFill>
                        <w14:solidFill>
                          <w14:schemeClr w14:val="tx1"/>
                        </w14:solidFill>
                      </w14:textFill>
                    </w:rPr>
                  </w:pPr>
                </w:p>
              </w:tc>
              <w:tc>
                <w:tcPr>
                  <w:tcW w:w="506" w:type="pct"/>
                  <w:tcBorders>
                    <w:tl2br w:val="nil"/>
                    <w:tr2bl w:val="nil"/>
                  </w:tcBorders>
                  <w:vAlign w:val="center"/>
                </w:tcPr>
                <w:p w14:paraId="3B84C91A">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工字路</w:t>
                  </w:r>
                </w:p>
                <w:p w14:paraId="7023C15C">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面砖</w:t>
                  </w:r>
                </w:p>
              </w:tc>
              <w:tc>
                <w:tcPr>
                  <w:tcW w:w="1397" w:type="pct"/>
                  <w:tcBorders>
                    <w:tl2br w:val="nil"/>
                    <w:tr2bl w:val="nil"/>
                  </w:tcBorders>
                  <w:vAlign w:val="center"/>
                </w:tcPr>
                <w:p w14:paraId="26BDDB3D">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200mm×160mm×60mm</w:t>
                  </w:r>
                </w:p>
              </w:tc>
              <w:tc>
                <w:tcPr>
                  <w:tcW w:w="1252" w:type="pct"/>
                  <w:vMerge w:val="continue"/>
                  <w:tcBorders>
                    <w:tl2br w:val="nil"/>
                    <w:tr2bl w:val="nil"/>
                  </w:tcBorders>
                  <w:vAlign w:val="center"/>
                </w:tcPr>
                <w:p w14:paraId="5C906D87">
                  <w:pPr>
                    <w:pStyle w:val="144"/>
                    <w:rPr>
                      <w:rFonts w:ascii="Times New Roman" w:hAnsi="Times New Roman" w:eastAsiaTheme="minorEastAsia"/>
                      <w:color w:val="000000" w:themeColor="text1"/>
                      <w:szCs w:val="21"/>
                      <w:highlight w:val="none"/>
                      <w14:textFill>
                        <w14:solidFill>
                          <w14:schemeClr w14:val="tx1"/>
                        </w14:solidFill>
                      </w14:textFill>
                    </w:rPr>
                  </w:pPr>
                </w:p>
              </w:tc>
              <w:tc>
                <w:tcPr>
                  <w:tcW w:w="597" w:type="pct"/>
                  <w:tcBorders>
                    <w:tl2br w:val="nil"/>
                    <w:tr2bl w:val="nil"/>
                  </w:tcBorders>
                  <w:vAlign w:val="center"/>
                </w:tcPr>
                <w:p w14:paraId="2BC6C0FE">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2.5亿块/年</w:t>
                  </w:r>
                </w:p>
              </w:tc>
              <w:tc>
                <w:tcPr>
                  <w:tcW w:w="745" w:type="pct"/>
                  <w:tcBorders>
                    <w:tl2br w:val="nil"/>
                    <w:tr2bl w:val="nil"/>
                  </w:tcBorders>
                  <w:vAlign w:val="center"/>
                </w:tcPr>
                <w:p w14:paraId="02E687CD">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0.</w:t>
                  </w: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4</w:t>
                  </w:r>
                  <w:r>
                    <w:rPr>
                      <w:rFonts w:ascii="Times New Roman" w:hAnsi="Times New Roman" w:eastAsiaTheme="minorEastAsia"/>
                      <w:color w:val="000000" w:themeColor="text1"/>
                      <w:szCs w:val="21"/>
                      <w:highlight w:val="none"/>
                      <w14:textFill>
                        <w14:solidFill>
                          <w14:schemeClr w14:val="tx1"/>
                        </w14:solidFill>
                      </w14:textFill>
                    </w:rPr>
                    <w:t>亿块/年</w:t>
                  </w:r>
                </w:p>
              </w:tc>
            </w:tr>
            <w:tr w14:paraId="326E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0" w:type="pct"/>
                  <w:tcBorders>
                    <w:tl2br w:val="nil"/>
                    <w:tr2bl w:val="nil"/>
                  </w:tcBorders>
                  <w:vAlign w:val="center"/>
                </w:tcPr>
                <w:p w14:paraId="1B3114B9">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5</w:t>
                  </w:r>
                </w:p>
              </w:tc>
              <w:tc>
                <w:tcPr>
                  <w:tcW w:w="757" w:type="pct"/>
                  <w:gridSpan w:val="2"/>
                  <w:tcBorders>
                    <w:tl2br w:val="nil"/>
                    <w:tr2bl w:val="nil"/>
                  </w:tcBorders>
                  <w:vAlign w:val="center"/>
                </w:tcPr>
                <w:p w14:paraId="44F4D04D">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标砖</w:t>
                  </w:r>
                </w:p>
              </w:tc>
              <w:tc>
                <w:tcPr>
                  <w:tcW w:w="1397" w:type="pct"/>
                  <w:tcBorders>
                    <w:tl2br w:val="nil"/>
                    <w:tr2bl w:val="nil"/>
                  </w:tcBorders>
                  <w:vAlign w:val="center"/>
                </w:tcPr>
                <w:p w14:paraId="7EE804AB">
                  <w:pPr>
                    <w:pStyle w:val="144"/>
                    <w:rPr>
                      <w:rFonts w:ascii="Times New Roman" w:hAnsi="Times New Roman" w:eastAsiaTheme="minorEastAsia"/>
                      <w:color w:val="000000" w:themeColor="text1"/>
                      <w:szCs w:val="21"/>
                      <w:highlight w:val="none"/>
                      <w:lang w:val="zh-TW"/>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240mm×115mm×53mm</w:t>
                  </w:r>
                </w:p>
              </w:tc>
              <w:tc>
                <w:tcPr>
                  <w:tcW w:w="1252" w:type="pct"/>
                  <w:tcBorders>
                    <w:tl2br w:val="nil"/>
                    <w:tr2bl w:val="nil"/>
                  </w:tcBorders>
                  <w:vAlign w:val="center"/>
                </w:tcPr>
                <w:p w14:paraId="26080723">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执行GB/T8239-2014《普通混凝土小型砌块》</w:t>
                  </w:r>
                </w:p>
              </w:tc>
              <w:tc>
                <w:tcPr>
                  <w:tcW w:w="597" w:type="pct"/>
                  <w:tcBorders>
                    <w:tl2br w:val="nil"/>
                    <w:tr2bl w:val="nil"/>
                  </w:tcBorders>
                  <w:vAlign w:val="center"/>
                </w:tcPr>
                <w:p w14:paraId="1D069CAA">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2.3亿块/年</w:t>
                  </w:r>
                </w:p>
              </w:tc>
              <w:tc>
                <w:tcPr>
                  <w:tcW w:w="745" w:type="pct"/>
                  <w:tcBorders>
                    <w:tl2br w:val="nil"/>
                    <w:tr2bl w:val="nil"/>
                  </w:tcBorders>
                  <w:vAlign w:val="center"/>
                </w:tcPr>
                <w:p w14:paraId="21B4DC28">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0.</w:t>
                  </w: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37</w:t>
                  </w:r>
                  <w:r>
                    <w:rPr>
                      <w:rFonts w:ascii="Times New Roman" w:hAnsi="Times New Roman" w:eastAsiaTheme="minorEastAsia"/>
                      <w:color w:val="000000" w:themeColor="text1"/>
                      <w:szCs w:val="21"/>
                      <w:highlight w:val="none"/>
                      <w14:textFill>
                        <w14:solidFill>
                          <w14:schemeClr w14:val="tx1"/>
                        </w14:solidFill>
                      </w14:textFill>
                    </w:rPr>
                    <w:t>亿块/年</w:t>
                  </w:r>
                </w:p>
              </w:tc>
            </w:tr>
            <w:tr w14:paraId="3BCB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7"/>
                  <w:tcBorders>
                    <w:tl2br w:val="nil"/>
                    <w:tr2bl w:val="nil"/>
                  </w:tcBorders>
                  <w:vAlign w:val="center"/>
                </w:tcPr>
                <w:p w14:paraId="3B2E8517">
                  <w:pPr>
                    <w:pStyle w:val="144"/>
                    <w:rPr>
                      <w:rFonts w:ascii="Times New Roman" w:hAnsi="Times New Roman" w:eastAsiaTheme="minorEastAsia"/>
                      <w:color w:val="000000" w:themeColor="text1"/>
                      <w:szCs w:val="21"/>
                      <w:highlight w:val="none"/>
                      <w14:textFill>
                        <w14:solidFill>
                          <w14:schemeClr w14:val="tx1"/>
                        </w14:solidFill>
                      </w14:textFill>
                    </w:rPr>
                  </w:pPr>
                  <w:r>
                    <w:rPr>
                      <w:rFonts w:hint="eastAsia" w:ascii="Times New Roman" w:hAnsi="Times New Roman" w:eastAsiaTheme="minorEastAsia"/>
                      <w:b/>
                      <w:bCs/>
                      <w:color w:val="000000" w:themeColor="text1"/>
                      <w:szCs w:val="21"/>
                      <w:highlight w:val="none"/>
                      <w:lang w:val="en-US" w:eastAsia="zh-CN"/>
                      <w14:textFill>
                        <w14:solidFill>
                          <w14:schemeClr w14:val="tx1"/>
                        </w14:solidFill>
                      </w14:textFill>
                    </w:rPr>
                    <w:t>三、机制砂</w:t>
                  </w:r>
                </w:p>
              </w:tc>
            </w:tr>
            <w:tr w14:paraId="3815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0" w:type="pct"/>
                  <w:tcBorders>
                    <w:tl2br w:val="nil"/>
                    <w:tr2bl w:val="nil"/>
                  </w:tcBorders>
                  <w:vAlign w:val="center"/>
                </w:tcPr>
                <w:p w14:paraId="5DB28AB8">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6</w:t>
                  </w:r>
                </w:p>
              </w:tc>
              <w:tc>
                <w:tcPr>
                  <w:tcW w:w="757" w:type="pct"/>
                  <w:gridSpan w:val="2"/>
                  <w:tcBorders>
                    <w:tl2br w:val="nil"/>
                    <w:tr2bl w:val="nil"/>
                  </w:tcBorders>
                  <w:vAlign w:val="center"/>
                </w:tcPr>
                <w:p w14:paraId="258091AF">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机制砂</w:t>
                  </w:r>
                </w:p>
              </w:tc>
              <w:tc>
                <w:tcPr>
                  <w:tcW w:w="1397" w:type="pct"/>
                  <w:tcBorders>
                    <w:tl2br w:val="nil"/>
                    <w:tr2bl w:val="nil"/>
                  </w:tcBorders>
                  <w:vAlign w:val="center"/>
                </w:tcPr>
                <w:p w14:paraId="50619C13">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粒径2.5mm-5mm</w:t>
                  </w:r>
                </w:p>
              </w:tc>
              <w:tc>
                <w:tcPr>
                  <w:tcW w:w="1252" w:type="pct"/>
                  <w:tcBorders>
                    <w:tl2br w:val="nil"/>
                    <w:tr2bl w:val="nil"/>
                  </w:tcBorders>
                  <w:vAlign w:val="center"/>
                </w:tcPr>
                <w:p w14:paraId="4BAD52E7">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《建设用砂》（GB/T14684-2011）中Ⅱ类机制砂标准</w:t>
                  </w:r>
                </w:p>
              </w:tc>
              <w:tc>
                <w:tcPr>
                  <w:tcW w:w="597" w:type="pct"/>
                  <w:tcBorders>
                    <w:tl2br w:val="nil"/>
                    <w:tr2bl w:val="nil"/>
                  </w:tcBorders>
                  <w:vAlign w:val="center"/>
                </w:tcPr>
                <w:p w14:paraId="53524521">
                  <w:pPr>
                    <w:pStyle w:val="144"/>
                    <w:rPr>
                      <w:rFonts w:ascii="Times New Roman" w:hAnsi="Times New Roman" w:eastAsiaTheme="minorEastAsia"/>
                      <w:color w:val="000000" w:themeColor="text1"/>
                      <w:szCs w:val="21"/>
                      <w:highlight w:val="none"/>
                      <w14:textFill>
                        <w14:solidFill>
                          <w14:schemeClr w14:val="tx1"/>
                        </w14:solidFill>
                      </w14:textFill>
                    </w:rPr>
                  </w:pPr>
                  <w:r>
                    <w:rPr>
                      <w:rFonts w:ascii="Times New Roman" w:hAnsi="Times New Roman" w:eastAsiaTheme="minorEastAsia"/>
                      <w:color w:val="000000" w:themeColor="text1"/>
                      <w:szCs w:val="21"/>
                      <w:highlight w:val="none"/>
                      <w14:textFill>
                        <w14:solidFill>
                          <w14:schemeClr w14:val="tx1"/>
                        </w14:solidFill>
                      </w14:textFill>
                    </w:rPr>
                    <w:t>0万吨/年</w:t>
                  </w:r>
                </w:p>
              </w:tc>
              <w:tc>
                <w:tcPr>
                  <w:tcW w:w="745" w:type="pct"/>
                  <w:tcBorders>
                    <w:tl2br w:val="nil"/>
                    <w:tr2bl w:val="nil"/>
                  </w:tcBorders>
                  <w:vAlign w:val="center"/>
                </w:tcPr>
                <w:p w14:paraId="1632DB55">
                  <w:pPr>
                    <w:pStyle w:val="144"/>
                    <w:rPr>
                      <w:rFonts w:ascii="Times New Roman" w:hAnsi="Times New Roman" w:eastAsiaTheme="minorEastAsia"/>
                      <w:color w:val="000000" w:themeColor="text1"/>
                      <w:szCs w:val="21"/>
                      <w:highlight w:val="none"/>
                      <w14:textFill>
                        <w14:solidFill>
                          <w14:schemeClr w14:val="tx1"/>
                        </w14:solidFill>
                      </w14:textFill>
                    </w:rPr>
                  </w:pP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25</w:t>
                  </w:r>
                  <w:r>
                    <w:rPr>
                      <w:rFonts w:ascii="Times New Roman" w:hAnsi="Times New Roman" w:eastAsiaTheme="minorEastAsia"/>
                      <w:color w:val="000000" w:themeColor="text1"/>
                      <w:szCs w:val="21"/>
                      <w:highlight w:val="none"/>
                      <w14:textFill>
                        <w14:solidFill>
                          <w14:schemeClr w14:val="tx1"/>
                        </w14:solidFill>
                      </w14:textFill>
                    </w:rPr>
                    <w:t>万吨/年</w:t>
                  </w:r>
                </w:p>
              </w:tc>
            </w:tr>
            <w:tr w14:paraId="58CC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0" w:type="pct"/>
                  <w:tcBorders>
                    <w:tl2br w:val="nil"/>
                    <w:tr2bl w:val="nil"/>
                  </w:tcBorders>
                  <w:vAlign w:val="center"/>
                </w:tcPr>
                <w:p w14:paraId="19782D84">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7</w:t>
                  </w:r>
                </w:p>
              </w:tc>
              <w:tc>
                <w:tcPr>
                  <w:tcW w:w="757" w:type="pct"/>
                  <w:gridSpan w:val="2"/>
                  <w:tcBorders>
                    <w:tl2br w:val="nil"/>
                    <w:tr2bl w:val="nil"/>
                  </w:tcBorders>
                  <w:shd w:val="clear" w:color="auto" w:fill="auto"/>
                  <w:vAlign w:val="center"/>
                </w:tcPr>
                <w:p w14:paraId="3276E7B0">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小料</w:t>
                  </w:r>
                  <w:r>
                    <w:rPr>
                      <w:rFonts w:hint="eastAsia" w:ascii="Times New Roman" w:hAnsi="Times New Roman" w:eastAsiaTheme="minorEastAsia"/>
                      <w:color w:val="000000" w:themeColor="text1"/>
                      <w:szCs w:val="21"/>
                      <w14:textFill>
                        <w14:solidFill>
                          <w14:schemeClr w14:val="tx1"/>
                        </w14:solidFill>
                      </w14:textFill>
                    </w:rPr>
                    <w:t>（副产品）</w:t>
                  </w:r>
                </w:p>
              </w:tc>
              <w:tc>
                <w:tcPr>
                  <w:tcW w:w="1397" w:type="pct"/>
                  <w:tcBorders>
                    <w:tl2br w:val="nil"/>
                    <w:tr2bl w:val="nil"/>
                  </w:tcBorders>
                  <w:vAlign w:val="center"/>
                </w:tcPr>
                <w:p w14:paraId="16A31066">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粒径5mm-20mm</w:t>
                  </w:r>
                </w:p>
              </w:tc>
              <w:tc>
                <w:tcPr>
                  <w:tcW w:w="1252" w:type="pct"/>
                  <w:tcBorders>
                    <w:tl2br w:val="nil"/>
                    <w:tr2bl w:val="nil"/>
                  </w:tcBorders>
                  <w:vAlign w:val="center"/>
                </w:tcPr>
                <w:p w14:paraId="08B8DB25">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《建设用卵石、碎石》（GB/T14685-2011）中Ⅱ类碎石标准</w:t>
                  </w:r>
                </w:p>
              </w:tc>
              <w:tc>
                <w:tcPr>
                  <w:tcW w:w="597" w:type="pct"/>
                  <w:tcBorders>
                    <w:tl2br w:val="nil"/>
                    <w:tr2bl w:val="nil"/>
                  </w:tcBorders>
                  <w:vAlign w:val="center"/>
                </w:tcPr>
                <w:p w14:paraId="36BBD5DC">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0万吨/年</w:t>
                  </w:r>
                </w:p>
              </w:tc>
              <w:tc>
                <w:tcPr>
                  <w:tcW w:w="745" w:type="pct"/>
                  <w:tcBorders>
                    <w:tl2br w:val="nil"/>
                    <w:tr2bl w:val="nil"/>
                  </w:tcBorders>
                  <w:vAlign w:val="center"/>
                </w:tcPr>
                <w:p w14:paraId="5F083455">
                  <w:pPr>
                    <w:pStyle w:val="144"/>
                    <w:ind w:firstLine="0" w:firstLineChars="0"/>
                    <w:rPr>
                      <w:rFonts w:ascii="Times New Roman" w:hAnsi="Times New Roman" w:eastAsiaTheme="minorEastAsia"/>
                      <w:color w:val="000000" w:themeColor="text1"/>
                      <w:szCs w:val="21"/>
                      <w:highlight w:val="red"/>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30.5</w:t>
                  </w:r>
                  <w:r>
                    <w:rPr>
                      <w:rFonts w:ascii="Times New Roman" w:hAnsi="Times New Roman" w:eastAsiaTheme="minorEastAsia"/>
                      <w:color w:val="000000" w:themeColor="text1"/>
                      <w:szCs w:val="21"/>
                      <w14:textFill>
                        <w14:solidFill>
                          <w14:schemeClr w14:val="tx1"/>
                        </w14:solidFill>
                      </w14:textFill>
                    </w:rPr>
                    <w:t>万吨/年</w:t>
                  </w:r>
                </w:p>
              </w:tc>
            </w:tr>
            <w:tr w14:paraId="5F71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0" w:type="pct"/>
                  <w:tcBorders>
                    <w:tl2br w:val="nil"/>
                    <w:tr2bl w:val="nil"/>
                  </w:tcBorders>
                  <w:vAlign w:val="center"/>
                </w:tcPr>
                <w:p w14:paraId="3B020EAF">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8</w:t>
                  </w:r>
                </w:p>
              </w:tc>
              <w:tc>
                <w:tcPr>
                  <w:tcW w:w="757" w:type="pct"/>
                  <w:gridSpan w:val="2"/>
                  <w:tcBorders>
                    <w:tl2br w:val="nil"/>
                    <w:tr2bl w:val="nil"/>
                  </w:tcBorders>
                  <w:shd w:val="clear" w:color="auto" w:fill="auto"/>
                  <w:vAlign w:val="center"/>
                </w:tcPr>
                <w:p w14:paraId="58FA25A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中料</w:t>
                  </w:r>
                  <w:r>
                    <w:rPr>
                      <w:rFonts w:hint="eastAsia" w:ascii="Times New Roman" w:hAnsi="Times New Roman" w:eastAsiaTheme="minorEastAsia"/>
                      <w:color w:val="000000" w:themeColor="text1"/>
                      <w:szCs w:val="21"/>
                      <w14:textFill>
                        <w14:solidFill>
                          <w14:schemeClr w14:val="tx1"/>
                        </w14:solidFill>
                      </w14:textFill>
                    </w:rPr>
                    <w:t>（副产品）</w:t>
                  </w:r>
                </w:p>
              </w:tc>
              <w:tc>
                <w:tcPr>
                  <w:tcW w:w="1397" w:type="pct"/>
                  <w:tcBorders>
                    <w:tl2br w:val="nil"/>
                    <w:tr2bl w:val="nil"/>
                  </w:tcBorders>
                  <w:vAlign w:val="center"/>
                </w:tcPr>
                <w:p w14:paraId="0F83DFA6">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粒径大于20mm</w:t>
                  </w:r>
                </w:p>
              </w:tc>
              <w:tc>
                <w:tcPr>
                  <w:tcW w:w="1252" w:type="pct"/>
                  <w:tcBorders>
                    <w:tl2br w:val="nil"/>
                    <w:tr2bl w:val="nil"/>
                  </w:tcBorders>
                  <w:vAlign w:val="center"/>
                </w:tcPr>
                <w:p w14:paraId="5127A491">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《建设用卵石、碎石》（GB/T14685-2011）中Ⅱ类碎石标准</w:t>
                  </w:r>
                </w:p>
              </w:tc>
              <w:tc>
                <w:tcPr>
                  <w:tcW w:w="597" w:type="pct"/>
                  <w:tcBorders>
                    <w:tl2br w:val="nil"/>
                    <w:tr2bl w:val="nil"/>
                  </w:tcBorders>
                  <w:vAlign w:val="center"/>
                </w:tcPr>
                <w:p w14:paraId="78E13087">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0万吨/年</w:t>
                  </w:r>
                </w:p>
              </w:tc>
              <w:tc>
                <w:tcPr>
                  <w:tcW w:w="745" w:type="pct"/>
                  <w:tcBorders>
                    <w:tl2br w:val="nil"/>
                    <w:tr2bl w:val="nil"/>
                  </w:tcBorders>
                  <w:vAlign w:val="center"/>
                </w:tcPr>
                <w:p w14:paraId="720FB3C9">
                  <w:pPr>
                    <w:pStyle w:val="144"/>
                    <w:ind w:firstLine="0" w:firstLineChars="0"/>
                    <w:rPr>
                      <w:rFonts w:ascii="Times New Roman" w:hAnsi="Times New Roman" w:eastAsiaTheme="minorEastAsia"/>
                      <w:color w:val="000000" w:themeColor="text1"/>
                      <w:szCs w:val="21"/>
                      <w:highlight w:val="red"/>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23.875</w:t>
                  </w:r>
                  <w:r>
                    <w:rPr>
                      <w:rFonts w:ascii="Times New Roman" w:hAnsi="Times New Roman" w:eastAsiaTheme="minorEastAsia"/>
                      <w:color w:val="000000" w:themeColor="text1"/>
                      <w:szCs w:val="21"/>
                      <w14:textFill>
                        <w14:solidFill>
                          <w14:schemeClr w14:val="tx1"/>
                        </w14:solidFill>
                      </w14:textFill>
                    </w:rPr>
                    <w:t>万吨/年</w:t>
                  </w:r>
                </w:p>
              </w:tc>
            </w:tr>
          </w:tbl>
          <w:p w14:paraId="219FF9AE">
            <w:pPr>
              <w:pStyle w:val="312"/>
              <w:widowControl w:val="0"/>
              <w:numPr>
                <w:ilvl w:val="0"/>
                <w:numId w:val="14"/>
              </w:numPr>
              <w:spacing w:line="240" w:lineRule="auto"/>
              <w:ind w:left="-2" w:firstLine="482" w:firstLineChars="0"/>
              <w:rPr>
                <w:rFonts w:hint="eastAsia" w:asciiTheme="minorEastAsia" w:hAnsiTheme="minorEastAsia" w:eastAsiaTheme="minorEastAsia" w:cstheme="minorEastAsia"/>
                <w:b/>
                <w:color w:val="000000" w:themeColor="text1"/>
                <w14:textFill>
                  <w14:solidFill>
                    <w14:schemeClr w14:val="tx1"/>
                  </w14:solidFill>
                </w14:textFill>
              </w:rPr>
            </w:pPr>
            <w:r>
              <w:rPr>
                <w:rFonts w:hint="eastAsia" w:asciiTheme="minorEastAsia" w:hAnsiTheme="minorEastAsia" w:eastAsiaTheme="minorEastAsia" w:cstheme="minorEastAsia"/>
                <w:b/>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14:textFill>
                  <w14:solidFill>
                    <w14:schemeClr w14:val="tx1"/>
                  </w14:solidFill>
                </w14:textFill>
              </w:rPr>
              <w:t>产品质量标准及方案表</w:t>
            </w:r>
          </w:p>
          <w:tbl>
            <w:tblPr>
              <w:tblStyle w:val="8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278"/>
              <w:gridCol w:w="2389"/>
              <w:gridCol w:w="4147"/>
            </w:tblGrid>
            <w:tr w14:paraId="7EAE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shd w:val="clear" w:color="auto" w:fill="auto"/>
                  <w:vAlign w:val="center"/>
                </w:tcPr>
                <w:p w14:paraId="4D07CD0D">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序号</w:t>
                  </w:r>
                </w:p>
              </w:tc>
              <w:tc>
                <w:tcPr>
                  <w:tcW w:w="754" w:type="pct"/>
                  <w:shd w:val="clear" w:color="auto" w:fill="auto"/>
                  <w:vAlign w:val="center"/>
                </w:tcPr>
                <w:p w14:paraId="3F524304">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产品名称</w:t>
                  </w:r>
                </w:p>
              </w:tc>
              <w:tc>
                <w:tcPr>
                  <w:tcW w:w="1410" w:type="pct"/>
                  <w:shd w:val="clear" w:color="auto" w:fill="auto"/>
                  <w:vAlign w:val="center"/>
                </w:tcPr>
                <w:p w14:paraId="51E1BB61">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执行标准</w:t>
                  </w:r>
                </w:p>
              </w:tc>
              <w:tc>
                <w:tcPr>
                  <w:tcW w:w="2447" w:type="pct"/>
                  <w:shd w:val="clear" w:color="auto" w:fill="auto"/>
                  <w:vAlign w:val="center"/>
                </w:tcPr>
                <w:p w14:paraId="5BDE6AA7">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技术要求</w:t>
                  </w:r>
                </w:p>
              </w:tc>
            </w:tr>
            <w:tr w14:paraId="00F7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shd w:val="clear" w:color="auto" w:fill="auto"/>
                  <w:vAlign w:val="center"/>
                </w:tcPr>
                <w:p w14:paraId="051F6EB8">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w:t>
                  </w:r>
                </w:p>
              </w:tc>
              <w:tc>
                <w:tcPr>
                  <w:tcW w:w="754" w:type="pct"/>
                  <w:shd w:val="clear" w:color="auto" w:fill="auto"/>
                  <w:vAlign w:val="center"/>
                </w:tcPr>
                <w:p w14:paraId="21E73893">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烧结普通砖</w:t>
                  </w:r>
                </w:p>
              </w:tc>
              <w:tc>
                <w:tcPr>
                  <w:tcW w:w="1410" w:type="pct"/>
                  <w:shd w:val="clear" w:color="auto" w:fill="auto"/>
                  <w:vAlign w:val="center"/>
                </w:tcPr>
                <w:p w14:paraId="6F6E3B6E">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《烧结普通砖》（GB/T50101-2017）</w:t>
                  </w:r>
                </w:p>
                <w:p w14:paraId="3E722DED">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中要求</w:t>
                  </w:r>
                </w:p>
              </w:tc>
              <w:tc>
                <w:tcPr>
                  <w:tcW w:w="2447" w:type="pct"/>
                  <w:shd w:val="clear" w:color="auto" w:fill="auto"/>
                  <w:vAlign w:val="center"/>
                </w:tcPr>
                <w:p w14:paraId="3D58C4B9">
                  <w:pPr>
                    <w:pStyle w:val="144"/>
                    <w:jc w:val="both"/>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尺寸（长×宽×高）：240mm×115mm×90m</w:t>
                  </w:r>
                </w:p>
                <w:p w14:paraId="117FCF11">
                  <w:pPr>
                    <w:pStyle w:val="144"/>
                    <w:jc w:val="both"/>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强度等级：MU10.0</w:t>
                  </w:r>
                </w:p>
                <w:p w14:paraId="6F377B31">
                  <w:pPr>
                    <w:pStyle w:val="144"/>
                    <w:jc w:val="both"/>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吸水率（%）：≤18</w:t>
                  </w:r>
                </w:p>
                <w:p w14:paraId="3E7DF399">
                  <w:pPr>
                    <w:pStyle w:val="144"/>
                    <w:jc w:val="both"/>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产品单重（kg/块）：2.4</w:t>
                  </w:r>
                </w:p>
              </w:tc>
            </w:tr>
            <w:tr w14:paraId="3493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shd w:val="clear" w:color="auto" w:fill="auto"/>
                  <w:vAlign w:val="center"/>
                </w:tcPr>
                <w:p w14:paraId="1F75A7FB">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w:t>
                  </w:r>
                </w:p>
              </w:tc>
              <w:tc>
                <w:tcPr>
                  <w:tcW w:w="754" w:type="pct"/>
                  <w:shd w:val="clear" w:color="auto" w:fill="auto"/>
                  <w:vAlign w:val="center"/>
                </w:tcPr>
                <w:p w14:paraId="5B959ADF">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路面砖</w:t>
                  </w:r>
                </w:p>
                <w:p w14:paraId="7FBA021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（免烧砖）</w:t>
                  </w:r>
                </w:p>
              </w:tc>
              <w:tc>
                <w:tcPr>
                  <w:tcW w:w="1410" w:type="pct"/>
                  <w:shd w:val="clear" w:color="auto" w:fill="auto"/>
                  <w:vAlign w:val="center"/>
                </w:tcPr>
                <w:p w14:paraId="05299993">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《混凝土路面砖》（GB28635-2012）</w:t>
                  </w:r>
                </w:p>
                <w:p w14:paraId="1DEF9473">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中要求</w:t>
                  </w:r>
                </w:p>
              </w:tc>
              <w:tc>
                <w:tcPr>
                  <w:tcW w:w="2447" w:type="pct"/>
                  <w:shd w:val="clear" w:color="auto" w:fill="auto"/>
                  <w:vAlign w:val="center"/>
                </w:tcPr>
                <w:p w14:paraId="0B1EB85A">
                  <w:pPr>
                    <w:pStyle w:val="144"/>
                    <w:jc w:val="both"/>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原材料、外形、外观质量、尺寸允许偏差、强度等级、物理性能等满足《混凝土路面砖》（GB28635-2012）</w:t>
                  </w:r>
                </w:p>
              </w:tc>
            </w:tr>
            <w:tr w14:paraId="7ADD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shd w:val="clear" w:color="auto" w:fill="auto"/>
                  <w:vAlign w:val="center"/>
                </w:tcPr>
                <w:p w14:paraId="1F7CD011">
                  <w:pPr>
                    <w:pStyle w:val="144"/>
                    <w:rPr>
                      <w:rFonts w:hint="eastAsia"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3</w:t>
                  </w:r>
                </w:p>
              </w:tc>
              <w:tc>
                <w:tcPr>
                  <w:tcW w:w="754" w:type="pct"/>
                  <w:shd w:val="clear" w:color="auto" w:fill="auto"/>
                  <w:vAlign w:val="center"/>
                </w:tcPr>
                <w:p w14:paraId="1026DDB3">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路缘石</w:t>
                  </w:r>
                </w:p>
                <w:p w14:paraId="557897EE">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（免烧砖）</w:t>
                  </w:r>
                </w:p>
              </w:tc>
              <w:tc>
                <w:tcPr>
                  <w:tcW w:w="1410" w:type="pct"/>
                  <w:shd w:val="clear" w:color="auto" w:fill="auto"/>
                  <w:vAlign w:val="center"/>
                </w:tcPr>
                <w:p w14:paraId="429D64C1">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《混凝土路缘石》</w:t>
                  </w:r>
                </w:p>
                <w:p w14:paraId="67CDA1D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（JC/T 899-2016）</w:t>
                  </w:r>
                </w:p>
              </w:tc>
              <w:tc>
                <w:tcPr>
                  <w:tcW w:w="2447" w:type="pct"/>
                  <w:shd w:val="clear" w:color="auto" w:fill="auto"/>
                  <w:vAlign w:val="center"/>
                </w:tcPr>
                <w:p w14:paraId="38D4182D">
                  <w:pPr>
                    <w:pStyle w:val="144"/>
                    <w:jc w:val="both"/>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原材料、外形、外观质量、尺寸允许偏差、强度等级、物理性能等满足《混凝土路缘石》（JC/T 899-2016）</w:t>
                  </w:r>
                </w:p>
              </w:tc>
            </w:tr>
            <w:tr w14:paraId="21AE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shd w:val="clear" w:color="auto" w:fill="auto"/>
                  <w:vAlign w:val="center"/>
                </w:tcPr>
                <w:p w14:paraId="61558FF1">
                  <w:pPr>
                    <w:pStyle w:val="144"/>
                    <w:rPr>
                      <w:rFonts w:hint="eastAsia"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4</w:t>
                  </w:r>
                </w:p>
              </w:tc>
              <w:tc>
                <w:tcPr>
                  <w:tcW w:w="754" w:type="pct"/>
                  <w:shd w:val="clear" w:color="auto" w:fill="auto"/>
                  <w:vAlign w:val="center"/>
                </w:tcPr>
                <w:p w14:paraId="6F0D260F">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标砖</w:t>
                  </w:r>
                </w:p>
                <w:p w14:paraId="5B4838F4">
                  <w:pPr>
                    <w:pStyle w:val="144"/>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eastAsiaTheme="minorEastAsia"/>
                      <w:color w:val="000000" w:themeColor="text1"/>
                      <w:szCs w:val="21"/>
                      <w:lang w:eastAsia="zh-CN"/>
                      <w14:textFill>
                        <w14:solidFill>
                          <w14:schemeClr w14:val="tx1"/>
                        </w14:solidFill>
                      </w14:textFill>
                    </w:rPr>
                    <w:t>（</w:t>
                  </w:r>
                  <w:r>
                    <w:rPr>
                      <w:rFonts w:hint="eastAsia" w:ascii="Times New Roman" w:hAnsi="Times New Roman" w:eastAsiaTheme="minorEastAsia"/>
                      <w:color w:val="000000" w:themeColor="text1"/>
                      <w:szCs w:val="21"/>
                      <w:lang w:val="en-US" w:eastAsia="zh-CN"/>
                      <w14:textFill>
                        <w14:solidFill>
                          <w14:schemeClr w14:val="tx1"/>
                        </w14:solidFill>
                      </w14:textFill>
                    </w:rPr>
                    <w:t>免烧砖</w:t>
                  </w:r>
                  <w:r>
                    <w:rPr>
                      <w:rFonts w:hint="eastAsia" w:ascii="Times New Roman" w:hAnsi="Times New Roman" w:eastAsiaTheme="minorEastAsia"/>
                      <w:color w:val="000000" w:themeColor="text1"/>
                      <w:szCs w:val="21"/>
                      <w:lang w:eastAsia="zh-CN"/>
                      <w14:textFill>
                        <w14:solidFill>
                          <w14:schemeClr w14:val="tx1"/>
                        </w14:solidFill>
                      </w14:textFill>
                    </w:rPr>
                    <w:t>）</w:t>
                  </w:r>
                </w:p>
              </w:tc>
              <w:tc>
                <w:tcPr>
                  <w:tcW w:w="1410" w:type="pct"/>
                  <w:shd w:val="clear" w:color="auto" w:fill="auto"/>
                  <w:vAlign w:val="center"/>
                </w:tcPr>
                <w:p w14:paraId="4B1C394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《普通混凝土小型砌块》</w:t>
                  </w:r>
                  <w:r>
                    <w:rPr>
                      <w:rFonts w:hint="eastAsia" w:ascii="Times New Roman" w:hAnsi="Times New Roman" w:eastAsiaTheme="minorEastAsia"/>
                      <w:color w:val="000000" w:themeColor="text1"/>
                      <w:szCs w:val="21"/>
                      <w:lang w:eastAsia="zh-CN"/>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GB/T8239-2014</w:t>
                  </w:r>
                  <w:r>
                    <w:rPr>
                      <w:rFonts w:hint="eastAsia" w:ascii="Times New Roman" w:hAnsi="Times New Roman" w:eastAsiaTheme="minorEastAsia"/>
                      <w:color w:val="000000" w:themeColor="text1"/>
                      <w:szCs w:val="21"/>
                      <w:lang w:eastAsia="zh-CN"/>
                      <w14:textFill>
                        <w14:solidFill>
                          <w14:schemeClr w14:val="tx1"/>
                        </w14:solidFill>
                      </w14:textFill>
                    </w:rPr>
                    <w:t>）</w:t>
                  </w:r>
                </w:p>
              </w:tc>
              <w:tc>
                <w:tcPr>
                  <w:tcW w:w="2447" w:type="pct"/>
                  <w:shd w:val="clear" w:color="auto" w:fill="auto"/>
                  <w:vAlign w:val="center"/>
                </w:tcPr>
                <w:p w14:paraId="42105449">
                  <w:pPr>
                    <w:pStyle w:val="144"/>
                    <w:jc w:val="both"/>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原材料、外形、外观质量、尺寸允许偏差、强度等级、物理性能等满足《普通混凝土小型砌块》</w:t>
                  </w:r>
                  <w:r>
                    <w:rPr>
                      <w:rFonts w:hint="eastAsia" w:ascii="Times New Roman" w:hAnsi="Times New Roman" w:eastAsiaTheme="minorEastAsia"/>
                      <w:color w:val="000000" w:themeColor="text1"/>
                      <w:szCs w:val="21"/>
                      <w:lang w:eastAsia="zh-CN"/>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GB/T8239-2014</w:t>
                  </w:r>
                  <w:r>
                    <w:rPr>
                      <w:rFonts w:hint="eastAsia" w:ascii="Times New Roman" w:hAnsi="Times New Roman" w:eastAsiaTheme="minorEastAsia"/>
                      <w:color w:val="000000" w:themeColor="text1"/>
                      <w:szCs w:val="21"/>
                      <w:lang w:eastAsia="zh-CN"/>
                      <w14:textFill>
                        <w14:solidFill>
                          <w14:schemeClr w14:val="tx1"/>
                        </w14:solidFill>
                      </w14:textFill>
                    </w:rPr>
                    <w:t>）</w:t>
                  </w:r>
                </w:p>
              </w:tc>
            </w:tr>
            <w:tr w14:paraId="51BF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shd w:val="clear" w:color="auto" w:fill="auto"/>
                  <w:vAlign w:val="center"/>
                </w:tcPr>
                <w:p w14:paraId="0879687A">
                  <w:pPr>
                    <w:pStyle w:val="144"/>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5</w:t>
                  </w:r>
                </w:p>
              </w:tc>
              <w:tc>
                <w:tcPr>
                  <w:tcW w:w="754" w:type="pct"/>
                  <w:shd w:val="clear" w:color="auto" w:fill="auto"/>
                  <w:vAlign w:val="center"/>
                </w:tcPr>
                <w:p w14:paraId="34A9D1A9">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机制砂</w:t>
                  </w:r>
                </w:p>
              </w:tc>
              <w:tc>
                <w:tcPr>
                  <w:tcW w:w="1410" w:type="pct"/>
                  <w:shd w:val="clear" w:color="auto" w:fill="auto"/>
                  <w:vAlign w:val="center"/>
                </w:tcPr>
                <w:p w14:paraId="1388766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《建设用砂》（GB/T14684-2011）</w:t>
                  </w:r>
                </w:p>
                <w:p w14:paraId="71DD02D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中Ⅱ类机制砂标准</w:t>
                  </w:r>
                </w:p>
              </w:tc>
              <w:tc>
                <w:tcPr>
                  <w:tcW w:w="2447" w:type="pct"/>
                  <w:shd w:val="clear" w:color="auto" w:fill="auto"/>
                  <w:vAlign w:val="center"/>
                </w:tcPr>
                <w:p w14:paraId="46C369D1">
                  <w:pPr>
                    <w:pStyle w:val="144"/>
                    <w:jc w:val="both"/>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颗粒级配及类别；MB值≤1.4或快速法试验合格时，要求MB值≤1.0，石粉含量≤10.0%，泥块含量≤1.0%；MB值＞1.4或快速法试验不和格时，要求石粉含量≤3.0%，泥块含量≤1.0%；有害物质限量；坚固性指标（质量损失≤8%）；单级最大压碎指标≤25%；表观密度不小于2500kg/m</w:t>
                  </w:r>
                  <w:r>
                    <w:rPr>
                      <w:rFonts w:ascii="Times New Roman" w:hAnsi="Times New Roman" w:eastAsiaTheme="minorEastAsia"/>
                      <w:color w:val="000000" w:themeColor="text1"/>
                      <w:szCs w:val="21"/>
                      <w:vertAlign w:val="superscript"/>
                      <w14:textFill>
                        <w14:solidFill>
                          <w14:schemeClr w14:val="tx1"/>
                        </w14:solidFill>
                      </w14:textFill>
                    </w:rPr>
                    <w:t>3</w:t>
                  </w:r>
                  <w:r>
                    <w:rPr>
                      <w:rFonts w:ascii="Times New Roman" w:hAnsi="Times New Roman" w:eastAsiaTheme="minorEastAsia"/>
                      <w:color w:val="000000" w:themeColor="text1"/>
                      <w:szCs w:val="21"/>
                      <w14:textFill>
                        <w14:solidFill>
                          <w14:schemeClr w14:val="tx1"/>
                        </w14:solidFill>
                      </w14:textFill>
                    </w:rPr>
                    <w:t>、松散堆积密度不小于1400kg/m</w:t>
                  </w:r>
                  <w:r>
                    <w:rPr>
                      <w:rFonts w:ascii="Times New Roman" w:hAnsi="Times New Roman" w:eastAsiaTheme="minorEastAsia"/>
                      <w:color w:val="000000" w:themeColor="text1"/>
                      <w:szCs w:val="21"/>
                      <w:vertAlign w:val="superscript"/>
                      <w14:textFill>
                        <w14:solidFill>
                          <w14:schemeClr w14:val="tx1"/>
                        </w14:solidFill>
                      </w14:textFill>
                    </w:rPr>
                    <w:t>3</w:t>
                  </w:r>
                  <w:r>
                    <w:rPr>
                      <w:rFonts w:ascii="Times New Roman" w:hAnsi="Times New Roman" w:eastAsiaTheme="minorEastAsia"/>
                      <w:color w:val="000000" w:themeColor="text1"/>
                      <w:szCs w:val="21"/>
                      <w14:textFill>
                        <w14:solidFill>
                          <w14:schemeClr w14:val="tx1"/>
                        </w14:solidFill>
                      </w14:textFill>
                    </w:rPr>
                    <w:t>、孔隙率不大于44%；经碱集料反应试验后，试件应无裂缝、酥裂、胶体外溢等现象，在规定的试验龄期膨胀率应小0.10%</w:t>
                  </w:r>
                </w:p>
              </w:tc>
            </w:tr>
            <w:tr w14:paraId="3BDD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shd w:val="clear" w:color="auto" w:fill="auto"/>
                  <w:vAlign w:val="center"/>
                </w:tcPr>
                <w:p w14:paraId="36759F40">
                  <w:pPr>
                    <w:pStyle w:val="144"/>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6</w:t>
                  </w:r>
                </w:p>
              </w:tc>
              <w:tc>
                <w:tcPr>
                  <w:tcW w:w="754" w:type="pct"/>
                  <w:shd w:val="clear" w:color="auto" w:fill="auto"/>
                  <w:vAlign w:val="center"/>
                </w:tcPr>
                <w:p w14:paraId="596B3656">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小料</w:t>
                  </w:r>
                </w:p>
              </w:tc>
              <w:tc>
                <w:tcPr>
                  <w:tcW w:w="1410" w:type="pct"/>
                  <w:vMerge w:val="restart"/>
                  <w:shd w:val="clear" w:color="auto" w:fill="auto"/>
                  <w:vAlign w:val="center"/>
                </w:tcPr>
                <w:p w14:paraId="4E804188">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《建设用卵石、碎石》（GB/T14685-2011）</w:t>
                  </w:r>
                </w:p>
                <w:p w14:paraId="01106427">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中Ⅱ类碎石标准</w:t>
                  </w:r>
                </w:p>
              </w:tc>
              <w:tc>
                <w:tcPr>
                  <w:tcW w:w="2447" w:type="pct"/>
                  <w:vMerge w:val="restart"/>
                  <w:shd w:val="clear" w:color="auto" w:fill="auto"/>
                  <w:vAlign w:val="center"/>
                </w:tcPr>
                <w:p w14:paraId="6CDED6A6">
                  <w:pPr>
                    <w:pStyle w:val="144"/>
                    <w:jc w:val="both"/>
                    <w:rPr>
                      <w:rFonts w:hint="eastAsia" w:ascii="Times New Roman" w:hAnsi="Times New Roman" w:eastAsiaTheme="minorEastAsia"/>
                      <w:color w:val="000000" w:themeColor="text1"/>
                      <w:szCs w:val="21"/>
                      <w:lang w:eastAsia="zh-CN"/>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颗粒级配；含泥量≤1.0%，泥块含量≤0.2%，针、片状颗粒总含量≤10%；有害物质限量；坚固性指标（质量损失≤8%）；岩石抗压强度；压碎指标≤20%；表观密度不小于2600kg/m</w:t>
                  </w:r>
                  <w:r>
                    <w:rPr>
                      <w:rFonts w:ascii="Times New Roman" w:hAnsi="Times New Roman" w:eastAsiaTheme="minorEastAsia"/>
                      <w:color w:val="000000" w:themeColor="text1"/>
                      <w:szCs w:val="21"/>
                      <w:vertAlign w:val="superscript"/>
                      <w14:textFill>
                        <w14:solidFill>
                          <w14:schemeClr w14:val="tx1"/>
                        </w14:solidFill>
                      </w14:textFill>
                    </w:rPr>
                    <w:t>3</w:t>
                  </w:r>
                  <w:r>
                    <w:rPr>
                      <w:rFonts w:ascii="Times New Roman" w:hAnsi="Times New Roman" w:eastAsiaTheme="minorEastAsia"/>
                      <w:color w:val="000000" w:themeColor="text1"/>
                      <w:szCs w:val="21"/>
                      <w14:textFill>
                        <w14:solidFill>
                          <w14:schemeClr w14:val="tx1"/>
                        </w14:solidFill>
                      </w14:textFill>
                    </w:rPr>
                    <w:t>；空隙率≤45%；吸水率≤2%；经碱集料反应试验后，试件应无裂缝、酥裂、胶体外溢等现象，在规定的试验龄期膨胀率应小于0.10%</w:t>
                  </w:r>
                </w:p>
              </w:tc>
            </w:tr>
            <w:tr w14:paraId="5B0D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shd w:val="clear" w:color="auto" w:fill="auto"/>
                  <w:vAlign w:val="center"/>
                </w:tcPr>
                <w:p w14:paraId="40085F16">
                  <w:pPr>
                    <w:pStyle w:val="144"/>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7</w:t>
                  </w:r>
                </w:p>
              </w:tc>
              <w:tc>
                <w:tcPr>
                  <w:tcW w:w="754" w:type="pct"/>
                  <w:shd w:val="clear" w:color="auto" w:fill="auto"/>
                  <w:vAlign w:val="center"/>
                </w:tcPr>
                <w:p w14:paraId="1C349594">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中料</w:t>
                  </w:r>
                </w:p>
              </w:tc>
              <w:tc>
                <w:tcPr>
                  <w:tcW w:w="1410" w:type="pct"/>
                  <w:vMerge w:val="continue"/>
                  <w:shd w:val="clear" w:color="auto" w:fill="auto"/>
                  <w:vAlign w:val="center"/>
                </w:tcPr>
                <w:p w14:paraId="285B064A">
                  <w:pPr>
                    <w:pStyle w:val="144"/>
                    <w:rPr>
                      <w:rFonts w:ascii="Times New Roman" w:hAnsi="Times New Roman" w:eastAsiaTheme="minorEastAsia"/>
                      <w:color w:val="000000" w:themeColor="text1"/>
                      <w:szCs w:val="21"/>
                      <w14:textFill>
                        <w14:solidFill>
                          <w14:schemeClr w14:val="tx1"/>
                        </w14:solidFill>
                      </w14:textFill>
                    </w:rPr>
                  </w:pPr>
                </w:p>
              </w:tc>
              <w:tc>
                <w:tcPr>
                  <w:tcW w:w="2447" w:type="pct"/>
                  <w:vMerge w:val="continue"/>
                  <w:shd w:val="clear" w:color="auto" w:fill="auto"/>
                  <w:vAlign w:val="center"/>
                </w:tcPr>
                <w:p w14:paraId="470D0F36">
                  <w:pPr>
                    <w:pStyle w:val="144"/>
                    <w:rPr>
                      <w:rFonts w:ascii="Times New Roman" w:hAnsi="Times New Roman" w:eastAsiaTheme="minorEastAsia"/>
                      <w:color w:val="000000" w:themeColor="text1"/>
                      <w:szCs w:val="21"/>
                      <w14:textFill>
                        <w14:solidFill>
                          <w14:schemeClr w14:val="tx1"/>
                        </w14:solidFill>
                      </w14:textFill>
                    </w:rPr>
                  </w:pPr>
                </w:p>
              </w:tc>
            </w:tr>
          </w:tbl>
          <w:p w14:paraId="7A721482">
            <w:pPr>
              <w:ind w:firstLine="480"/>
              <w:rPr>
                <w:rFonts w:eastAsiaTheme="minorEastAsia"/>
                <w:color w:val="000000" w:themeColor="text1"/>
                <w14:textFill>
                  <w14:solidFill>
                    <w14:schemeClr w14:val="tx1"/>
                  </w14:solidFill>
                </w14:textFill>
              </w:rPr>
            </w:pPr>
          </w:p>
          <w:p w14:paraId="5AB4FB6E">
            <w:pPr>
              <w:keepNext w:val="0"/>
              <w:keepLines w:val="0"/>
              <w:pageBreakBefore w:val="0"/>
              <w:kinsoku/>
              <w:wordWrap/>
              <w:overflowPunct/>
              <w:topLinePunct w:val="0"/>
              <w:autoSpaceDE/>
              <w:autoSpaceDN/>
              <w:bidi w:val="0"/>
              <w:adjustRightInd w:val="0"/>
              <w:snapToGrid w:val="0"/>
              <w:ind w:firstLine="480"/>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（2）工艺可行性</w:t>
            </w:r>
          </w:p>
          <w:p w14:paraId="6C1E8985">
            <w:pPr>
              <w:keepNext w:val="0"/>
              <w:keepLines w:val="0"/>
              <w:pageBreakBefore w:val="0"/>
              <w:kinsoku/>
              <w:wordWrap/>
              <w:overflowPunct/>
              <w:topLinePunct w:val="0"/>
              <w:autoSpaceDE/>
              <w:autoSpaceDN/>
              <w:bidi w:val="0"/>
              <w:adjustRightInd w:val="0"/>
              <w:snapToGrid w:val="0"/>
              <w:ind w:firstLine="480"/>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① 烧结砖、免烧砖</w:t>
            </w:r>
          </w:p>
          <w:p w14:paraId="6A8E95FF">
            <w:pPr>
              <w:keepNext w:val="0"/>
              <w:keepLines w:val="0"/>
              <w:pageBreakBefore w:val="0"/>
              <w:kinsoku/>
              <w:wordWrap/>
              <w:overflowPunct/>
              <w:topLinePunct w:val="0"/>
              <w:autoSpaceDE/>
              <w:autoSpaceDN/>
              <w:bidi w:val="0"/>
              <w:adjustRightInd w:val="0"/>
              <w:snapToGrid w:val="0"/>
              <w:ind w:firstLine="480"/>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陕西汇荣禾能源环保科技有限公司目前生产状况稳定，《新建300万吨/年矿物及工业固废综合处置再利用项目》已通过环保验收，本项目改建前后烧结砖及免烧砖的原辅材料种类来源无变化，生产工艺无变化，故本次评价不再论证工艺可行性。</w:t>
            </w:r>
          </w:p>
          <w:p w14:paraId="7B1D3A04">
            <w:pPr>
              <w:keepNext w:val="0"/>
              <w:keepLines w:val="0"/>
              <w:pageBreakBefore w:val="0"/>
              <w:kinsoku/>
              <w:wordWrap/>
              <w:overflowPunct/>
              <w:topLinePunct w:val="0"/>
              <w:autoSpaceDE/>
              <w:autoSpaceDN/>
              <w:bidi w:val="0"/>
              <w:adjustRightInd w:val="0"/>
              <w:snapToGrid w:val="0"/>
              <w:ind w:firstLine="480"/>
              <w:textAlignment w:val="auto"/>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② 煤矸石制砂产品可利用性分析</w:t>
            </w:r>
          </w:p>
          <w:p w14:paraId="2B479840">
            <w:pPr>
              <w:pStyle w:val="1307"/>
              <w:keepNext w:val="0"/>
              <w:keepLines w:val="0"/>
              <w:pageBreakBefore w:val="0"/>
              <w:kinsoku/>
              <w:wordWrap/>
              <w:overflowPunct/>
              <w:topLinePunct w:val="0"/>
              <w:autoSpaceDE/>
              <w:autoSpaceDN/>
              <w:bidi w:val="0"/>
              <w:adjustRightInd w:val="0"/>
              <w:snapToGrid w:val="0"/>
              <w:ind w:firstLine="480"/>
              <w:textAlignment w:val="auto"/>
              <w:rPr>
                <w:rFonts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14:textFill>
                  <w14:solidFill>
                    <w14:schemeClr w14:val="tx1"/>
                  </w14:solidFill>
                </w14:textFill>
              </w:rPr>
              <w:t>A、煤矸石理化性质</w:t>
            </w:r>
          </w:p>
          <w:p w14:paraId="74A89F32">
            <w:pPr>
              <w:pStyle w:val="1307"/>
              <w:keepNext w:val="0"/>
              <w:keepLines w:val="0"/>
              <w:pageBreakBefore w:val="0"/>
              <w:kinsoku/>
              <w:wordWrap/>
              <w:overflowPunct/>
              <w:topLinePunct w:val="0"/>
              <w:autoSpaceDE/>
              <w:autoSpaceDN/>
              <w:bidi w:val="0"/>
              <w:adjustRightInd w:val="0"/>
              <w:snapToGrid w:val="0"/>
              <w:ind w:firstLine="480"/>
              <w:textAlignment w:val="auto"/>
              <w:rPr>
                <w:rFonts w:hint="eastAsia" w:eastAsia="宋体"/>
                <w:color w:val="000000" w:themeColor="text1"/>
                <w:sz w:val="24"/>
                <w:szCs w:val="22"/>
                <w:lang w:eastAsia="zh-CN"/>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企业提供的煤矸石检测报告</w:t>
            </w:r>
            <w:r>
              <w:rPr>
                <w:rFonts w:hint="eastAsia"/>
                <w:color w:val="000000" w:themeColor="text1"/>
                <w:sz w:val="24"/>
                <w:lang w:eastAsia="zh-CN"/>
                <w14:textFill>
                  <w14:solidFill>
                    <w14:schemeClr w14:val="tx1"/>
                  </w14:solidFill>
                </w14:textFill>
              </w:rPr>
              <w:t>：</w:t>
            </w:r>
          </w:p>
          <w:p w14:paraId="03F03A1A">
            <w:pPr>
              <w:pStyle w:val="1307"/>
              <w:keepNext w:val="0"/>
              <w:keepLines w:val="0"/>
              <w:pageBreakBefore w:val="0"/>
              <w:kinsoku/>
              <w:wordWrap/>
              <w:overflowPunct/>
              <w:topLinePunct w:val="0"/>
              <w:autoSpaceDE/>
              <w:autoSpaceDN/>
              <w:bidi w:val="0"/>
              <w:adjustRightInd w:val="0"/>
              <w:snapToGrid w:val="0"/>
              <w:ind w:firstLine="480"/>
              <w:textAlignment w:val="auto"/>
              <w:rPr>
                <w:rFonts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14:textFill>
                  <w14:solidFill>
                    <w14:schemeClr w14:val="tx1"/>
                  </w14:solidFill>
                </w14:textFill>
              </w:rPr>
              <w:t>a、物理性质</w:t>
            </w:r>
          </w:p>
          <w:p w14:paraId="31F1B184">
            <w:pPr>
              <w:pStyle w:val="1307"/>
              <w:keepNext w:val="0"/>
              <w:keepLines w:val="0"/>
              <w:pageBreakBefore w:val="0"/>
              <w:kinsoku/>
              <w:wordWrap/>
              <w:overflowPunct/>
              <w:topLinePunct w:val="0"/>
              <w:autoSpaceDE/>
              <w:autoSpaceDN/>
              <w:bidi w:val="0"/>
              <w:adjustRightInd w:val="0"/>
              <w:snapToGrid w:val="0"/>
              <w:ind w:firstLine="480"/>
              <w:textAlignment w:val="auto"/>
              <w:rPr>
                <w:rFonts w:hint="eastAsia"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lang w:val="en-US" w:eastAsia="zh-CN"/>
                <w14:textFill>
                  <w14:solidFill>
                    <w14:schemeClr w14:val="tx1"/>
                  </w14:solidFill>
                </w14:textFill>
              </w:rPr>
              <w:t>本项目对</w:t>
            </w:r>
            <w:r>
              <w:rPr>
                <w:rFonts w:hint="eastAsia" w:eastAsiaTheme="minorEastAsia"/>
                <w:color w:val="000000" w:themeColor="text1"/>
                <w:sz w:val="24"/>
                <w:szCs w:val="22"/>
                <w14:textFill>
                  <w14:solidFill>
                    <w14:schemeClr w14:val="tx1"/>
                  </w14:solidFill>
                </w14:textFill>
              </w:rPr>
              <w:t>煤矸石的物理化学性质进行了检测，煤矸石的物理性质主要包含了其密度、堆积密度、力学性能、可塑性、粘性、硬度、收缩性、烧结温度、脱炭温度、烧失量及含水率等方面。煤矸石物理性质见下表。</w:t>
            </w:r>
          </w:p>
          <w:p w14:paraId="568670CC">
            <w:pPr>
              <w:pStyle w:val="1307"/>
              <w:keepNext w:val="0"/>
              <w:keepLines w:val="0"/>
              <w:pageBreakBefore w:val="0"/>
              <w:kinsoku/>
              <w:wordWrap/>
              <w:overflowPunct/>
              <w:topLinePunct w:val="0"/>
              <w:autoSpaceDE/>
              <w:autoSpaceDN/>
              <w:bidi w:val="0"/>
              <w:adjustRightInd w:val="0"/>
              <w:snapToGrid w:val="0"/>
              <w:ind w:firstLine="480"/>
              <w:textAlignment w:val="auto"/>
              <w:rPr>
                <w:rFonts w:hint="eastAsia" w:eastAsiaTheme="minorEastAsia"/>
                <w:color w:val="000000" w:themeColor="text1"/>
                <w:sz w:val="24"/>
                <w:szCs w:val="22"/>
                <w14:textFill>
                  <w14:solidFill>
                    <w14:schemeClr w14:val="tx1"/>
                  </w14:solidFill>
                </w14:textFill>
              </w:rPr>
            </w:pPr>
          </w:p>
          <w:p w14:paraId="4EEB0C05">
            <w:pPr>
              <w:pStyle w:val="1307"/>
              <w:keepNext w:val="0"/>
              <w:keepLines w:val="0"/>
              <w:pageBreakBefore w:val="0"/>
              <w:kinsoku/>
              <w:wordWrap/>
              <w:overflowPunct/>
              <w:topLinePunct w:val="0"/>
              <w:autoSpaceDE/>
              <w:autoSpaceDN/>
              <w:bidi w:val="0"/>
              <w:adjustRightInd w:val="0"/>
              <w:snapToGrid w:val="0"/>
              <w:ind w:firstLine="480"/>
              <w:textAlignment w:val="auto"/>
              <w:rPr>
                <w:rFonts w:hint="eastAsia" w:eastAsiaTheme="minorEastAsia"/>
                <w:color w:val="000000" w:themeColor="text1"/>
                <w:sz w:val="24"/>
                <w:szCs w:val="22"/>
                <w14:textFill>
                  <w14:solidFill>
                    <w14:schemeClr w14:val="tx1"/>
                  </w14:solidFill>
                </w14:textFill>
              </w:rPr>
            </w:pPr>
          </w:p>
          <w:p w14:paraId="1AA00EF3">
            <w:pPr>
              <w:pStyle w:val="1307"/>
              <w:keepNext w:val="0"/>
              <w:keepLines w:val="0"/>
              <w:pageBreakBefore w:val="0"/>
              <w:kinsoku/>
              <w:wordWrap/>
              <w:overflowPunct/>
              <w:topLinePunct w:val="0"/>
              <w:autoSpaceDE/>
              <w:autoSpaceDN/>
              <w:bidi w:val="0"/>
              <w:adjustRightInd w:val="0"/>
              <w:snapToGrid w:val="0"/>
              <w:ind w:firstLine="480"/>
              <w:textAlignment w:val="auto"/>
              <w:rPr>
                <w:rFonts w:hint="eastAsia" w:eastAsiaTheme="minorEastAsia"/>
                <w:color w:val="000000" w:themeColor="text1"/>
                <w:sz w:val="24"/>
                <w:szCs w:val="22"/>
                <w14:textFill>
                  <w14:solidFill>
                    <w14:schemeClr w14:val="tx1"/>
                  </w14:solidFill>
                </w14:textFill>
              </w:rPr>
            </w:pPr>
          </w:p>
          <w:p w14:paraId="1592A207">
            <w:pPr>
              <w:pStyle w:val="1307"/>
              <w:keepNext w:val="0"/>
              <w:keepLines w:val="0"/>
              <w:pageBreakBefore w:val="0"/>
              <w:kinsoku/>
              <w:wordWrap/>
              <w:overflowPunct/>
              <w:topLinePunct w:val="0"/>
              <w:autoSpaceDE/>
              <w:autoSpaceDN/>
              <w:bidi w:val="0"/>
              <w:adjustRightInd w:val="0"/>
              <w:snapToGrid w:val="0"/>
              <w:ind w:firstLine="480"/>
              <w:textAlignment w:val="auto"/>
              <w:rPr>
                <w:rFonts w:hint="eastAsia" w:eastAsiaTheme="minorEastAsia"/>
                <w:color w:val="000000" w:themeColor="text1"/>
                <w:sz w:val="24"/>
                <w:szCs w:val="22"/>
                <w14:textFill>
                  <w14:solidFill>
                    <w14:schemeClr w14:val="tx1"/>
                  </w14:solidFill>
                </w14:textFill>
              </w:rPr>
            </w:pPr>
          </w:p>
          <w:p w14:paraId="020C628E">
            <w:pPr>
              <w:pStyle w:val="312"/>
              <w:widowControl w:val="0"/>
              <w:numPr>
                <w:ilvl w:val="0"/>
                <w:numId w:val="14"/>
              </w:numPr>
              <w:spacing w:line="240" w:lineRule="auto"/>
              <w:ind w:left="-2" w:firstLine="482" w:firstLineChars="0"/>
              <w:rPr>
                <w:rFonts w:hint="eastAsia" w:asciiTheme="minorEastAsia" w:hAnsiTheme="minorEastAsia" w:eastAsiaTheme="minorEastAsia" w:cstheme="minorEastAsia"/>
                <w:b/>
                <w:color w:val="000000" w:themeColor="text1"/>
                <w14:textFill>
                  <w14:solidFill>
                    <w14:schemeClr w14:val="tx1"/>
                  </w14:solidFill>
                </w14:textFill>
              </w:rPr>
            </w:pPr>
            <w:r>
              <w:rPr>
                <w:rFonts w:hint="eastAsia" w:asciiTheme="minorEastAsia" w:hAnsiTheme="minorEastAsia" w:eastAsiaTheme="minorEastAsia" w:cstheme="minorEastAsia"/>
                <w:b/>
                <w:color w:val="000000" w:themeColor="text1"/>
                <w14:textFill>
                  <w14:solidFill>
                    <w14:schemeClr w14:val="tx1"/>
                  </w14:solidFill>
                </w14:textFill>
              </w:rPr>
              <w:t xml:space="preserve">               煤矸石物理性质一览表</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630"/>
              <w:gridCol w:w="4116"/>
            </w:tblGrid>
            <w:tr w14:paraId="0F2B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2571" w:type="pct"/>
                  <w:gridSpan w:val="2"/>
                  <w:shd w:val="clear" w:color="auto" w:fill="auto"/>
                  <w:vAlign w:val="center"/>
                </w:tcPr>
                <w:p w14:paraId="302D840E">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物理性质</w:t>
                  </w:r>
                </w:p>
              </w:tc>
              <w:tc>
                <w:tcPr>
                  <w:tcW w:w="2429" w:type="pct"/>
                  <w:shd w:val="clear" w:color="auto" w:fill="auto"/>
                  <w:vAlign w:val="center"/>
                </w:tcPr>
                <w:p w14:paraId="5D2FD5D8">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数值</w:t>
                  </w:r>
                </w:p>
              </w:tc>
            </w:tr>
            <w:tr w14:paraId="13BD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pct"/>
                  <w:gridSpan w:val="2"/>
                  <w:shd w:val="clear" w:color="auto" w:fill="auto"/>
                  <w:vAlign w:val="center"/>
                </w:tcPr>
                <w:p w14:paraId="167CFF2F">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密度</w:t>
                  </w:r>
                </w:p>
              </w:tc>
              <w:tc>
                <w:tcPr>
                  <w:tcW w:w="2429" w:type="pct"/>
                  <w:shd w:val="clear" w:color="auto" w:fill="auto"/>
                  <w:vAlign w:val="center"/>
                </w:tcPr>
                <w:p w14:paraId="5456746E">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1200-1800kg/m</w:t>
                  </w:r>
                  <w:r>
                    <w:rPr>
                      <w:rFonts w:hint="eastAsia" w:ascii="Times New Roman" w:hAnsi="Times New Roman" w:eastAsiaTheme="minorEastAsia"/>
                      <w:color w:val="000000" w:themeColor="text1"/>
                      <w:szCs w:val="21"/>
                      <w:vertAlign w:val="superscript"/>
                      <w14:textFill>
                        <w14:solidFill>
                          <w14:schemeClr w14:val="tx1"/>
                        </w14:solidFill>
                      </w14:textFill>
                    </w:rPr>
                    <w:t>3</w:t>
                  </w:r>
                </w:p>
              </w:tc>
            </w:tr>
            <w:tr w14:paraId="728D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pct"/>
                  <w:gridSpan w:val="2"/>
                  <w:shd w:val="clear" w:color="auto" w:fill="auto"/>
                  <w:vAlign w:val="center"/>
                </w:tcPr>
                <w:p w14:paraId="6A2F7A07">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堆积密度</w:t>
                  </w:r>
                </w:p>
              </w:tc>
              <w:tc>
                <w:tcPr>
                  <w:tcW w:w="2429" w:type="pct"/>
                  <w:shd w:val="clear" w:color="auto" w:fill="auto"/>
                  <w:vAlign w:val="center"/>
                </w:tcPr>
                <w:p w14:paraId="3A693E74">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900-1300kg/m</w:t>
                  </w:r>
                  <w:r>
                    <w:rPr>
                      <w:rFonts w:hint="eastAsia" w:ascii="Times New Roman" w:hAnsi="Times New Roman" w:eastAsiaTheme="minorEastAsia"/>
                      <w:color w:val="000000" w:themeColor="text1"/>
                      <w:szCs w:val="21"/>
                      <w:vertAlign w:val="superscript"/>
                      <w14:textFill>
                        <w14:solidFill>
                          <w14:schemeClr w14:val="tx1"/>
                        </w14:solidFill>
                      </w14:textFill>
                    </w:rPr>
                    <w:t>3</w:t>
                  </w:r>
                </w:p>
              </w:tc>
            </w:tr>
            <w:tr w14:paraId="2FB1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 w:type="pct"/>
                  <w:vMerge w:val="restart"/>
                  <w:shd w:val="clear" w:color="auto" w:fill="auto"/>
                  <w:vAlign w:val="center"/>
                </w:tcPr>
                <w:p w14:paraId="4077ACF7">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力学性能</w:t>
                  </w:r>
                </w:p>
              </w:tc>
              <w:tc>
                <w:tcPr>
                  <w:tcW w:w="1552" w:type="pct"/>
                  <w:shd w:val="clear" w:color="auto" w:fill="auto"/>
                  <w:vAlign w:val="center"/>
                </w:tcPr>
                <w:p w14:paraId="4A33461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硬度</w:t>
                  </w:r>
                </w:p>
              </w:tc>
              <w:tc>
                <w:tcPr>
                  <w:tcW w:w="2429" w:type="pct"/>
                  <w:shd w:val="clear" w:color="auto" w:fill="auto"/>
                  <w:vAlign w:val="center"/>
                </w:tcPr>
                <w:p w14:paraId="2C14A95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2-5</w:t>
                  </w:r>
                </w:p>
              </w:tc>
            </w:tr>
            <w:tr w14:paraId="0364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 w:type="pct"/>
                  <w:vMerge w:val="continue"/>
                  <w:shd w:val="clear" w:color="auto" w:fill="auto"/>
                  <w:vAlign w:val="center"/>
                </w:tcPr>
                <w:p w14:paraId="38FC96BC">
                  <w:pPr>
                    <w:pStyle w:val="144"/>
                    <w:rPr>
                      <w:rFonts w:ascii="Times New Roman" w:hAnsi="Times New Roman" w:eastAsiaTheme="minorEastAsia"/>
                      <w:color w:val="000000" w:themeColor="text1"/>
                      <w:szCs w:val="21"/>
                      <w14:textFill>
                        <w14:solidFill>
                          <w14:schemeClr w14:val="tx1"/>
                        </w14:solidFill>
                      </w14:textFill>
                    </w:rPr>
                  </w:pPr>
                </w:p>
              </w:tc>
              <w:tc>
                <w:tcPr>
                  <w:tcW w:w="1552" w:type="pct"/>
                  <w:shd w:val="clear" w:color="auto" w:fill="auto"/>
                  <w:vAlign w:val="center"/>
                </w:tcPr>
                <w:p w14:paraId="4D2F70F4">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抗压强度</w:t>
                  </w:r>
                </w:p>
              </w:tc>
              <w:tc>
                <w:tcPr>
                  <w:tcW w:w="2429" w:type="pct"/>
                  <w:shd w:val="clear" w:color="auto" w:fill="auto"/>
                  <w:vAlign w:val="center"/>
                </w:tcPr>
                <w:p w14:paraId="300D257F">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300-4700Pa</w:t>
                  </w:r>
                </w:p>
              </w:tc>
            </w:tr>
            <w:tr w14:paraId="03EA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pct"/>
                  <w:gridSpan w:val="2"/>
                  <w:shd w:val="clear" w:color="auto" w:fill="auto"/>
                  <w:vAlign w:val="center"/>
                </w:tcPr>
                <w:p w14:paraId="37DEF460">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可塑性</w:t>
                  </w:r>
                </w:p>
              </w:tc>
              <w:tc>
                <w:tcPr>
                  <w:tcW w:w="2429" w:type="pct"/>
                  <w:shd w:val="clear" w:color="auto" w:fill="auto"/>
                  <w:vAlign w:val="center"/>
                </w:tcPr>
                <w:p w14:paraId="7F51E5CE">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218-310</w:t>
                  </w:r>
                </w:p>
              </w:tc>
            </w:tr>
            <w:tr w14:paraId="3D3C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pct"/>
                  <w:gridSpan w:val="2"/>
                  <w:shd w:val="clear" w:color="auto" w:fill="auto"/>
                  <w:vAlign w:val="center"/>
                </w:tcPr>
                <w:p w14:paraId="4642384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粘性</w:t>
                  </w:r>
                </w:p>
              </w:tc>
              <w:tc>
                <w:tcPr>
                  <w:tcW w:w="2429" w:type="pct"/>
                  <w:shd w:val="clear" w:color="auto" w:fill="auto"/>
                  <w:vAlign w:val="center"/>
                </w:tcPr>
                <w:p w14:paraId="7575A4B3">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可成型时可达到注浆要求</w:t>
                  </w:r>
                </w:p>
              </w:tc>
            </w:tr>
            <w:tr w14:paraId="29BC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pct"/>
                  <w:gridSpan w:val="2"/>
                  <w:shd w:val="clear" w:color="auto" w:fill="auto"/>
                  <w:vAlign w:val="center"/>
                </w:tcPr>
                <w:p w14:paraId="5253C88A">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线收缩性</w:t>
                  </w:r>
                </w:p>
              </w:tc>
              <w:tc>
                <w:tcPr>
                  <w:tcW w:w="2429" w:type="pct"/>
                  <w:shd w:val="clear" w:color="auto" w:fill="auto"/>
                  <w:vAlign w:val="center"/>
                </w:tcPr>
                <w:p w14:paraId="7341433A">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215-310%</w:t>
                  </w:r>
                </w:p>
              </w:tc>
            </w:tr>
            <w:tr w14:paraId="5C38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571" w:type="pct"/>
                  <w:gridSpan w:val="2"/>
                  <w:shd w:val="clear" w:color="auto" w:fill="auto"/>
                  <w:vAlign w:val="center"/>
                </w:tcPr>
                <w:p w14:paraId="50E55A5A">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烧结后线收缩性</w:t>
                  </w:r>
                </w:p>
              </w:tc>
              <w:tc>
                <w:tcPr>
                  <w:tcW w:w="2429" w:type="pct"/>
                  <w:shd w:val="clear" w:color="auto" w:fill="auto"/>
                  <w:vAlign w:val="center"/>
                </w:tcPr>
                <w:p w14:paraId="09C81773">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212-214%</w:t>
                  </w:r>
                </w:p>
              </w:tc>
            </w:tr>
            <w:tr w14:paraId="6CB9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pct"/>
                  <w:gridSpan w:val="2"/>
                  <w:shd w:val="clear" w:color="auto" w:fill="auto"/>
                  <w:vAlign w:val="center"/>
                </w:tcPr>
                <w:p w14:paraId="7623B5AE">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烧结温度</w:t>
                  </w:r>
                </w:p>
              </w:tc>
              <w:tc>
                <w:tcPr>
                  <w:tcW w:w="2429" w:type="pct"/>
                  <w:shd w:val="clear" w:color="auto" w:fill="auto"/>
                  <w:vAlign w:val="center"/>
                </w:tcPr>
                <w:p w14:paraId="52FDC6A0">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1050℃</w:t>
                  </w:r>
                </w:p>
              </w:tc>
            </w:tr>
            <w:tr w14:paraId="73FC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pct"/>
                  <w:gridSpan w:val="2"/>
                  <w:shd w:val="clear" w:color="auto" w:fill="auto"/>
                  <w:vAlign w:val="center"/>
                </w:tcPr>
                <w:p w14:paraId="2F6F5A17">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烧失量</w:t>
                  </w:r>
                </w:p>
              </w:tc>
              <w:tc>
                <w:tcPr>
                  <w:tcW w:w="2429" w:type="pct"/>
                  <w:shd w:val="clear" w:color="auto" w:fill="auto"/>
                  <w:vAlign w:val="center"/>
                </w:tcPr>
                <w:p w14:paraId="5DDFF667">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3%-8%</w:t>
                  </w:r>
                </w:p>
              </w:tc>
            </w:tr>
            <w:tr w14:paraId="4164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1" w:type="pct"/>
                  <w:gridSpan w:val="2"/>
                  <w:shd w:val="clear" w:color="auto" w:fill="auto"/>
                  <w:vAlign w:val="center"/>
                </w:tcPr>
                <w:p w14:paraId="3E110781">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含水率</w:t>
                  </w:r>
                </w:p>
              </w:tc>
              <w:tc>
                <w:tcPr>
                  <w:tcW w:w="2429" w:type="pct"/>
                  <w:shd w:val="clear" w:color="auto" w:fill="auto"/>
                  <w:vAlign w:val="center"/>
                </w:tcPr>
                <w:p w14:paraId="2E59AD91">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5%-15%</w:t>
                  </w:r>
                </w:p>
              </w:tc>
            </w:tr>
          </w:tbl>
          <w:p w14:paraId="411E3CEA">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b、化学性质</w:t>
            </w:r>
          </w:p>
          <w:p w14:paraId="4013BB45">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化学性质主要包括煤矸石的化学组成、化学成分特征、岩石类型和毒性等。</w:t>
            </w:r>
          </w:p>
          <w:p w14:paraId="50040CDF">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1）化学组成</w:t>
            </w:r>
          </w:p>
          <w:p w14:paraId="466EB9CD">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化学成分是决定煤矸石利用途径的重要依据，其化学成分会随其岩层的种类和矿物组成不同而变化，经过检测发现煤矸石的化学成分主要包括SiO</w:t>
            </w:r>
            <w:r>
              <w:rPr>
                <w:rFonts w:hint="eastAsia" w:eastAsiaTheme="minorEastAsia"/>
                <w:color w:val="000000" w:themeColor="text1"/>
                <w:sz w:val="24"/>
                <w:szCs w:val="22"/>
                <w:highlight w:val="none"/>
                <w:vertAlign w:val="subscript"/>
                <w14:textFill>
                  <w14:solidFill>
                    <w14:schemeClr w14:val="tx1"/>
                  </w14:solidFill>
                </w14:textFill>
              </w:rPr>
              <w:t>2</w:t>
            </w:r>
            <w:r>
              <w:rPr>
                <w:rFonts w:hint="eastAsia" w:eastAsiaTheme="minorEastAsia"/>
                <w:color w:val="000000" w:themeColor="text1"/>
                <w:sz w:val="24"/>
                <w:szCs w:val="22"/>
                <w:highlight w:val="none"/>
                <w14:textFill>
                  <w14:solidFill>
                    <w14:schemeClr w14:val="tx1"/>
                  </w14:solidFill>
                </w14:textFill>
              </w:rPr>
              <w:t>、Al</w:t>
            </w:r>
            <w:r>
              <w:rPr>
                <w:rFonts w:hint="eastAsia" w:eastAsiaTheme="minorEastAsia"/>
                <w:color w:val="000000" w:themeColor="text1"/>
                <w:sz w:val="24"/>
                <w:szCs w:val="22"/>
                <w:highlight w:val="none"/>
                <w:vertAlign w:val="subscript"/>
                <w14:textFill>
                  <w14:solidFill>
                    <w14:schemeClr w14:val="tx1"/>
                  </w14:solidFill>
                </w14:textFill>
              </w:rPr>
              <w:t>2</w:t>
            </w:r>
            <w:r>
              <w:rPr>
                <w:rFonts w:hint="eastAsia" w:eastAsiaTheme="minorEastAsia"/>
                <w:color w:val="000000" w:themeColor="text1"/>
                <w:sz w:val="24"/>
                <w:szCs w:val="22"/>
                <w:highlight w:val="none"/>
                <w14:textFill>
                  <w14:solidFill>
                    <w14:schemeClr w14:val="tx1"/>
                  </w14:solidFill>
                </w14:textFill>
              </w:rPr>
              <w:t>O</w:t>
            </w:r>
            <w:r>
              <w:rPr>
                <w:rFonts w:hint="eastAsia" w:eastAsiaTheme="minorEastAsia"/>
                <w:color w:val="000000" w:themeColor="text1"/>
                <w:sz w:val="24"/>
                <w:szCs w:val="22"/>
                <w:highlight w:val="none"/>
                <w:vertAlign w:val="subscript"/>
                <w14:textFill>
                  <w14:solidFill>
                    <w14:schemeClr w14:val="tx1"/>
                  </w14:solidFill>
                </w14:textFill>
              </w:rPr>
              <w:t>3</w:t>
            </w:r>
            <w:r>
              <w:rPr>
                <w:rFonts w:hint="eastAsia" w:eastAsiaTheme="minorEastAsia"/>
                <w:color w:val="000000" w:themeColor="text1"/>
                <w:sz w:val="24"/>
                <w:szCs w:val="22"/>
                <w:highlight w:val="none"/>
                <w14:textFill>
                  <w14:solidFill>
                    <w14:schemeClr w14:val="tx1"/>
                  </w14:solidFill>
                </w14:textFill>
              </w:rPr>
              <w:t>、C、Fe</w:t>
            </w:r>
            <w:r>
              <w:rPr>
                <w:rFonts w:hint="eastAsia" w:eastAsiaTheme="minorEastAsia"/>
                <w:color w:val="000000" w:themeColor="text1"/>
                <w:sz w:val="24"/>
                <w:szCs w:val="22"/>
                <w:highlight w:val="none"/>
                <w:vertAlign w:val="subscript"/>
                <w14:textFill>
                  <w14:solidFill>
                    <w14:schemeClr w14:val="tx1"/>
                  </w14:solidFill>
                </w14:textFill>
              </w:rPr>
              <w:t>2</w:t>
            </w:r>
            <w:r>
              <w:rPr>
                <w:rFonts w:hint="eastAsia" w:eastAsiaTheme="minorEastAsia"/>
                <w:color w:val="000000" w:themeColor="text1"/>
                <w:sz w:val="24"/>
                <w:szCs w:val="22"/>
                <w:highlight w:val="none"/>
                <w14:textFill>
                  <w14:solidFill>
                    <w14:schemeClr w14:val="tx1"/>
                  </w14:solidFill>
                </w14:textFill>
              </w:rPr>
              <w:t>O</w:t>
            </w:r>
            <w:r>
              <w:rPr>
                <w:rFonts w:hint="eastAsia" w:eastAsiaTheme="minorEastAsia"/>
                <w:color w:val="000000" w:themeColor="text1"/>
                <w:sz w:val="24"/>
                <w:szCs w:val="22"/>
                <w:highlight w:val="none"/>
                <w:vertAlign w:val="subscript"/>
                <w14:textFill>
                  <w14:solidFill>
                    <w14:schemeClr w14:val="tx1"/>
                  </w14:solidFill>
                </w14:textFill>
              </w:rPr>
              <w:t>3</w:t>
            </w:r>
            <w:r>
              <w:rPr>
                <w:rFonts w:hint="eastAsia" w:eastAsiaTheme="minorEastAsia"/>
                <w:color w:val="000000" w:themeColor="text1"/>
                <w:sz w:val="24"/>
                <w:szCs w:val="22"/>
                <w:highlight w:val="none"/>
                <w14:textFill>
                  <w14:solidFill>
                    <w14:schemeClr w14:val="tx1"/>
                  </w14:solidFill>
                </w14:textFill>
              </w:rPr>
              <w:t>、CaO，其次为Na</w:t>
            </w:r>
            <w:r>
              <w:rPr>
                <w:rFonts w:hint="eastAsia" w:eastAsiaTheme="minorEastAsia"/>
                <w:color w:val="000000" w:themeColor="text1"/>
                <w:sz w:val="24"/>
                <w:szCs w:val="22"/>
                <w:highlight w:val="none"/>
                <w:vertAlign w:val="subscript"/>
                <w14:textFill>
                  <w14:solidFill>
                    <w14:schemeClr w14:val="tx1"/>
                  </w14:solidFill>
                </w14:textFill>
              </w:rPr>
              <w:t>2</w:t>
            </w:r>
            <w:r>
              <w:rPr>
                <w:rFonts w:hint="eastAsia" w:eastAsiaTheme="minorEastAsia"/>
                <w:color w:val="000000" w:themeColor="text1"/>
                <w:sz w:val="24"/>
                <w:szCs w:val="22"/>
                <w:highlight w:val="none"/>
                <w14:textFill>
                  <w14:solidFill>
                    <w14:schemeClr w14:val="tx1"/>
                  </w14:solidFill>
                </w14:textFill>
              </w:rPr>
              <w:t>O、K</w:t>
            </w:r>
            <w:r>
              <w:rPr>
                <w:rFonts w:hint="eastAsia" w:eastAsiaTheme="minorEastAsia"/>
                <w:color w:val="000000" w:themeColor="text1"/>
                <w:sz w:val="24"/>
                <w:szCs w:val="22"/>
                <w:highlight w:val="none"/>
                <w:vertAlign w:val="subscript"/>
                <w14:textFill>
                  <w14:solidFill>
                    <w14:schemeClr w14:val="tx1"/>
                  </w14:solidFill>
                </w14:textFill>
              </w:rPr>
              <w:t>2</w:t>
            </w:r>
            <w:r>
              <w:rPr>
                <w:rFonts w:hint="eastAsia" w:eastAsiaTheme="minorEastAsia"/>
                <w:color w:val="000000" w:themeColor="text1"/>
                <w:sz w:val="24"/>
                <w:szCs w:val="22"/>
                <w:highlight w:val="none"/>
                <w14:textFill>
                  <w14:solidFill>
                    <w14:schemeClr w14:val="tx1"/>
                  </w14:solidFill>
                </w14:textFill>
              </w:rPr>
              <w:t>O、MgO等。</w:t>
            </w:r>
          </w:p>
          <w:p w14:paraId="20DAD1CE">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2）化学成分特征</w:t>
            </w:r>
          </w:p>
          <w:p w14:paraId="05AF87A2">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经过检测发现煤矸石是无机质和少量有机质的混合物质，无机质中包括矿物质和水。构成矿物质的元素数十种，主要包括Si、Al、Fe、Ca、Mg、K、Na、S、P等，大多数以铝、硅酸盐的形式存在，有机质成分随含煤量含量的增加而增加，主要包括C、H、N、S、O等，其中C是有机质组成的重要元素，含C量越高发热量越高。另外发现煤矸石含有的岩石种类的不同，砂矸石的SiO</w:t>
            </w:r>
            <w:r>
              <w:rPr>
                <w:rFonts w:hint="eastAsia" w:eastAsiaTheme="minorEastAsia"/>
                <w:color w:val="000000" w:themeColor="text1"/>
                <w:sz w:val="24"/>
                <w:szCs w:val="22"/>
                <w:highlight w:val="none"/>
                <w:vertAlign w:val="subscript"/>
                <w14:textFill>
                  <w14:solidFill>
                    <w14:schemeClr w14:val="tx1"/>
                  </w14:solidFill>
                </w14:textFill>
              </w:rPr>
              <w:t>2</w:t>
            </w:r>
            <w:r>
              <w:rPr>
                <w:rFonts w:hint="eastAsia" w:eastAsiaTheme="minorEastAsia"/>
                <w:color w:val="000000" w:themeColor="text1"/>
                <w:sz w:val="24"/>
                <w:szCs w:val="22"/>
                <w:highlight w:val="none"/>
                <w14:textFill>
                  <w14:solidFill>
                    <w14:schemeClr w14:val="tx1"/>
                  </w14:solidFill>
                </w14:textFill>
              </w:rPr>
              <w:t>最高可达55.62%，铝质盐矸石Al</w:t>
            </w:r>
            <w:r>
              <w:rPr>
                <w:rFonts w:hint="eastAsia" w:eastAsiaTheme="minorEastAsia"/>
                <w:color w:val="000000" w:themeColor="text1"/>
                <w:sz w:val="24"/>
                <w:szCs w:val="22"/>
                <w:highlight w:val="none"/>
                <w:vertAlign w:val="subscript"/>
                <w14:textFill>
                  <w14:solidFill>
                    <w14:schemeClr w14:val="tx1"/>
                  </w14:solidFill>
                </w14:textFill>
              </w:rPr>
              <w:t>2</w:t>
            </w:r>
            <w:r>
              <w:rPr>
                <w:rFonts w:hint="eastAsia" w:eastAsiaTheme="minorEastAsia"/>
                <w:color w:val="000000" w:themeColor="text1"/>
                <w:sz w:val="24"/>
                <w:szCs w:val="22"/>
                <w:highlight w:val="none"/>
                <w14:textFill>
                  <w14:solidFill>
                    <w14:schemeClr w14:val="tx1"/>
                  </w14:solidFill>
                </w14:textFill>
              </w:rPr>
              <w:t>O</w:t>
            </w:r>
            <w:r>
              <w:rPr>
                <w:rFonts w:hint="eastAsia" w:eastAsiaTheme="minorEastAsia"/>
                <w:color w:val="000000" w:themeColor="text1"/>
                <w:sz w:val="24"/>
                <w:szCs w:val="22"/>
                <w:highlight w:val="none"/>
                <w:vertAlign w:val="subscript"/>
                <w14:textFill>
                  <w14:solidFill>
                    <w14:schemeClr w14:val="tx1"/>
                  </w14:solidFill>
                </w14:textFill>
              </w:rPr>
              <w:t>3</w:t>
            </w:r>
            <w:r>
              <w:rPr>
                <w:rFonts w:hint="eastAsia" w:eastAsiaTheme="minorEastAsia"/>
                <w:color w:val="000000" w:themeColor="text1"/>
                <w:sz w:val="24"/>
                <w:szCs w:val="22"/>
                <w:highlight w:val="none"/>
                <w14:textFill>
                  <w14:solidFill>
                    <w14:schemeClr w14:val="tx1"/>
                  </w14:solidFill>
                </w14:textFill>
              </w:rPr>
              <w:t>含量可达19.61%。</w:t>
            </w:r>
          </w:p>
          <w:p w14:paraId="39F30361">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3）煤矸石岩石类型</w:t>
            </w:r>
          </w:p>
          <w:p w14:paraId="3AD57C8D">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煤矸石主要岩石类型为粉砂质高岭石泥岩、高岭石泥岩、粉砂岩、中细粒石英砂岩、中粒长石石英砂岩、碳质碳酸盐岩。</w:t>
            </w:r>
          </w:p>
          <w:p w14:paraId="2B17FEAC">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煤矸石中泥岩、粉砂质泥岩和粉砂岩的主要矿物成分为高岭石族矿物（高岭石和少量的地开石）、伊利石、绢云母、极少量的蒙脱石；石英含量较高；钠长石和钾长石的特征峰明显。其次，粉砂质高岭石泥岩和粉砂岩中含有少量碳酸盐矿物，主要为方解石。其他碳酸盐矿物如菱铁矿、菱镁矿、文石、黄铁矿、赤铁矿等的特征峰偶有出现。</w:t>
            </w:r>
          </w:p>
          <w:p w14:paraId="5291D0F8">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煤矸石的矿物成分以粘土矿物和石英为主，常见矿物为高岭土、蒙脱石、伊利石、石英、长石、云母和绿泥石类。除石英和长石外，以上矿物均属于层状结构硅酸盐，这是煤矸石矿物成分的一个特点。</w:t>
            </w:r>
          </w:p>
          <w:p w14:paraId="3F0A94AF">
            <w:pPr>
              <w:pStyle w:val="1307"/>
              <w:ind w:firstLine="480"/>
              <w:rPr>
                <w:rFonts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4）有害杂质</w:t>
            </w:r>
          </w:p>
          <w:p w14:paraId="13F6C835">
            <w:pPr>
              <w:pStyle w:val="1307"/>
              <w:ind w:firstLine="480"/>
              <w:rPr>
                <w:rFonts w:hint="eastAsia" w:eastAsiaTheme="minorEastAsia"/>
                <w:color w:val="000000" w:themeColor="text1"/>
                <w:sz w:val="24"/>
                <w:szCs w:val="22"/>
                <w:highlight w:val="none"/>
                <w14:textFill>
                  <w14:solidFill>
                    <w14:schemeClr w14:val="tx1"/>
                  </w14:solidFill>
                </w14:textFill>
              </w:rPr>
            </w:pPr>
            <w:r>
              <w:rPr>
                <w:rFonts w:hint="eastAsia" w:eastAsiaTheme="minorEastAsia"/>
                <w:color w:val="000000" w:themeColor="text1"/>
                <w:sz w:val="24"/>
                <w:szCs w:val="22"/>
                <w:highlight w:val="none"/>
                <w14:textFill>
                  <w14:solidFill>
                    <w14:schemeClr w14:val="tx1"/>
                  </w14:solidFill>
                </w14:textFill>
              </w:rPr>
              <w:t>经化学检验发现煤矸石中含有的有害杂质主要是硫化物和碳酸盐类混合物，其中硫单质元素含量为0.23%，故煤矸石含硫量也较低，而煤矸石中的硫通常以有机硫、无机硫两种形式存在。本项目所用煤矸石中微量元素，总体来看富集程度均较低。除个别元素接近或略高于全球泥岩平均值和地壳丰度值外，基本上都低于全球泥岩平均值和地壳丰度值。</w:t>
            </w:r>
          </w:p>
          <w:p w14:paraId="7D6B496E">
            <w:pPr>
              <w:pStyle w:val="312"/>
              <w:widowControl w:val="0"/>
              <w:numPr>
                <w:ilvl w:val="0"/>
                <w:numId w:val="14"/>
              </w:numPr>
              <w:spacing w:line="240" w:lineRule="auto"/>
              <w:ind w:left="-2" w:firstLine="482" w:firstLineChars="0"/>
              <w:rPr>
                <w:rFonts w:hint="eastAsia" w:asciiTheme="minorEastAsia" w:hAnsiTheme="minorEastAsia" w:eastAsiaTheme="minorEastAsia" w:cstheme="minorEastAsia"/>
                <w:b/>
                <w:color w:val="000000" w:themeColor="text1"/>
                <w14:textFill>
                  <w14:solidFill>
                    <w14:schemeClr w14:val="tx1"/>
                  </w14:solidFill>
                </w14:textFill>
              </w:rPr>
            </w:pPr>
            <w:r>
              <w:rPr>
                <w:rFonts w:hint="eastAsia" w:asciiTheme="minorEastAsia" w:hAnsiTheme="minorEastAsia" w:eastAsiaTheme="minorEastAsia" w:cstheme="minorEastAsia"/>
                <w:b/>
                <w:color w:val="000000" w:themeColor="text1"/>
                <w:lang w:val="zh-CN"/>
                <w14:textFill>
                  <w14:solidFill>
                    <w14:schemeClr w14:val="tx1"/>
                  </w14:solidFill>
                </w14:textFill>
              </w:rPr>
              <w:t xml:space="preserve"> </w:t>
            </w:r>
            <w:r>
              <w:rPr>
                <w:rFonts w:hint="eastAsia" w:asciiTheme="minorEastAsia" w:hAnsiTheme="minorEastAsia" w:eastAsiaTheme="minorEastAsia" w:cstheme="minorEastAsia"/>
                <w:b/>
                <w:color w:val="000000" w:themeColor="text1"/>
                <w14:textFill>
                  <w14:solidFill>
                    <w14:schemeClr w14:val="tx1"/>
                  </w14:solidFill>
                </w14:textFill>
              </w:rPr>
              <w:t xml:space="preserve">      </w:t>
            </w:r>
            <w:r>
              <w:rPr>
                <w:rFonts w:hint="eastAsia" w:asciiTheme="minorEastAsia" w:hAnsiTheme="minorEastAsia" w:eastAsiaTheme="minorEastAsia" w:cstheme="minorEastAsia"/>
                <w:b/>
                <w:color w:val="000000" w:themeColor="text1"/>
                <w:lang w:val="en-US" w:eastAsia="zh-CN"/>
                <w14:textFill>
                  <w14:solidFill>
                    <w14:schemeClr w14:val="tx1"/>
                  </w14:solidFill>
                </w14:textFill>
              </w:rPr>
              <w:t xml:space="preserve">  </w:t>
            </w:r>
            <w:r>
              <w:rPr>
                <w:rFonts w:hint="eastAsia"/>
                <w:b/>
                <w:bCs/>
                <w:color w:val="000000" w:themeColor="text1"/>
                <w:szCs w:val="21"/>
                <w14:textFill>
                  <w14:solidFill>
                    <w14:schemeClr w14:val="tx1"/>
                  </w14:solidFill>
                </w14:textFill>
              </w:rPr>
              <w:t>煤矸石洗选工段产出的尾矸和尾泥分析</w:t>
            </w:r>
            <w:r>
              <w:rPr>
                <w:b/>
                <w:bCs/>
                <w:color w:val="000000" w:themeColor="text1"/>
                <w:szCs w:val="21"/>
                <w14:textFill>
                  <w14:solidFill>
                    <w14:schemeClr w14:val="tx1"/>
                  </w14:solidFill>
                </w14:textFill>
              </w:rPr>
              <w:t>一览表</w:t>
            </w:r>
          </w:p>
          <w:tbl>
            <w:tblPr>
              <w:tblStyle w:val="8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895"/>
              <w:gridCol w:w="941"/>
              <w:gridCol w:w="970"/>
              <w:gridCol w:w="970"/>
              <w:gridCol w:w="880"/>
              <w:gridCol w:w="910"/>
              <w:gridCol w:w="941"/>
              <w:gridCol w:w="1275"/>
            </w:tblGrid>
            <w:tr w14:paraId="50DF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4" w:type="pct"/>
                  <w:vAlign w:val="center"/>
                </w:tcPr>
                <w:p w14:paraId="17ECF94C">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类别</w:t>
                  </w:r>
                </w:p>
              </w:tc>
              <w:tc>
                <w:tcPr>
                  <w:tcW w:w="528" w:type="pct"/>
                  <w:vAlign w:val="center"/>
                </w:tcPr>
                <w:p w14:paraId="7924A7A8">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Fe</w:t>
                  </w:r>
                  <w:r>
                    <w:rPr>
                      <w:rFonts w:hint="eastAsia" w:ascii="Times New Roman" w:hAnsi="Times New Roman" w:eastAsiaTheme="minorEastAsia"/>
                      <w:color w:val="000000" w:themeColor="text1"/>
                      <w:szCs w:val="21"/>
                      <w:vertAlign w:val="subscript"/>
                      <w14:textFill>
                        <w14:solidFill>
                          <w14:schemeClr w14:val="tx1"/>
                        </w14:solidFill>
                      </w14:textFill>
                    </w:rPr>
                    <w:t>2</w:t>
                  </w:r>
                  <w:r>
                    <w:rPr>
                      <w:rFonts w:hint="eastAsia" w:ascii="Times New Roman" w:hAnsi="Times New Roman" w:eastAsiaTheme="minorEastAsia"/>
                      <w:color w:val="000000" w:themeColor="text1"/>
                      <w:szCs w:val="21"/>
                      <w14:textFill>
                        <w14:solidFill>
                          <w14:schemeClr w14:val="tx1"/>
                        </w14:solidFill>
                      </w14:textFill>
                    </w:rPr>
                    <w:t>O</w:t>
                  </w:r>
                  <w:r>
                    <w:rPr>
                      <w:rFonts w:hint="eastAsia" w:ascii="Times New Roman" w:hAnsi="Times New Roman" w:eastAsiaTheme="minorEastAsia"/>
                      <w:color w:val="000000" w:themeColor="text1"/>
                      <w:szCs w:val="21"/>
                      <w:vertAlign w:val="subscript"/>
                      <w14:textFill>
                        <w14:solidFill>
                          <w14:schemeClr w14:val="tx1"/>
                        </w14:solidFill>
                      </w14:textFill>
                    </w:rPr>
                    <w:t>3</w:t>
                  </w:r>
                </w:p>
              </w:tc>
              <w:tc>
                <w:tcPr>
                  <w:tcW w:w="555" w:type="pct"/>
                  <w:vAlign w:val="center"/>
                </w:tcPr>
                <w:p w14:paraId="0E40CA13">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Al</w:t>
                  </w:r>
                  <w:r>
                    <w:rPr>
                      <w:rFonts w:hint="eastAsia" w:ascii="Times New Roman" w:hAnsi="Times New Roman" w:eastAsiaTheme="minorEastAsia"/>
                      <w:color w:val="000000" w:themeColor="text1"/>
                      <w:szCs w:val="21"/>
                      <w:vertAlign w:val="subscript"/>
                      <w14:textFill>
                        <w14:solidFill>
                          <w14:schemeClr w14:val="tx1"/>
                        </w14:solidFill>
                      </w14:textFill>
                    </w:rPr>
                    <w:t>2</w:t>
                  </w:r>
                  <w:r>
                    <w:rPr>
                      <w:rFonts w:hint="eastAsia" w:ascii="Times New Roman" w:hAnsi="Times New Roman" w:eastAsiaTheme="minorEastAsia"/>
                      <w:color w:val="000000" w:themeColor="text1"/>
                      <w:szCs w:val="21"/>
                      <w14:textFill>
                        <w14:solidFill>
                          <w14:schemeClr w14:val="tx1"/>
                        </w14:solidFill>
                      </w14:textFill>
                    </w:rPr>
                    <w:t>O</w:t>
                  </w:r>
                  <w:r>
                    <w:rPr>
                      <w:rFonts w:hint="eastAsia" w:ascii="Times New Roman" w:hAnsi="Times New Roman" w:eastAsiaTheme="minorEastAsia"/>
                      <w:color w:val="000000" w:themeColor="text1"/>
                      <w:szCs w:val="21"/>
                      <w:vertAlign w:val="subscript"/>
                      <w14:textFill>
                        <w14:solidFill>
                          <w14:schemeClr w14:val="tx1"/>
                        </w14:solidFill>
                      </w14:textFill>
                    </w:rPr>
                    <w:t>3</w:t>
                  </w:r>
                </w:p>
              </w:tc>
              <w:tc>
                <w:tcPr>
                  <w:tcW w:w="572" w:type="pct"/>
                  <w:vAlign w:val="center"/>
                </w:tcPr>
                <w:p w14:paraId="6695000F">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CaO</w:t>
                  </w:r>
                </w:p>
              </w:tc>
              <w:tc>
                <w:tcPr>
                  <w:tcW w:w="572" w:type="pct"/>
                  <w:vAlign w:val="center"/>
                </w:tcPr>
                <w:p w14:paraId="7D303263">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MgO</w:t>
                  </w:r>
                </w:p>
              </w:tc>
              <w:tc>
                <w:tcPr>
                  <w:tcW w:w="519" w:type="pct"/>
                  <w:vAlign w:val="center"/>
                </w:tcPr>
                <w:p w14:paraId="3D09F23B">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SiO</w:t>
                  </w:r>
                  <w:r>
                    <w:rPr>
                      <w:rFonts w:hint="eastAsia" w:ascii="Times New Roman" w:hAnsi="Times New Roman" w:eastAsiaTheme="minorEastAsia"/>
                      <w:color w:val="000000" w:themeColor="text1"/>
                      <w:szCs w:val="21"/>
                      <w:vertAlign w:val="subscript"/>
                      <w14:textFill>
                        <w14:solidFill>
                          <w14:schemeClr w14:val="tx1"/>
                        </w14:solidFill>
                      </w14:textFill>
                    </w:rPr>
                    <w:t>2</w:t>
                  </w:r>
                </w:p>
              </w:tc>
              <w:tc>
                <w:tcPr>
                  <w:tcW w:w="537" w:type="pct"/>
                  <w:vAlign w:val="center"/>
                </w:tcPr>
                <w:p w14:paraId="419E9B6C">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SO</w:t>
                  </w:r>
                  <w:r>
                    <w:rPr>
                      <w:rFonts w:hint="eastAsia" w:ascii="Times New Roman" w:hAnsi="Times New Roman" w:eastAsiaTheme="minorEastAsia"/>
                      <w:color w:val="000000" w:themeColor="text1"/>
                      <w:szCs w:val="21"/>
                      <w:vertAlign w:val="subscript"/>
                      <w14:textFill>
                        <w14:solidFill>
                          <w14:schemeClr w14:val="tx1"/>
                        </w14:solidFill>
                      </w14:textFill>
                    </w:rPr>
                    <w:t>3</w:t>
                  </w:r>
                </w:p>
              </w:tc>
              <w:tc>
                <w:tcPr>
                  <w:tcW w:w="555" w:type="pct"/>
                  <w:vAlign w:val="center"/>
                </w:tcPr>
                <w:p w14:paraId="7CBD5DD7">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K</w:t>
                  </w:r>
                  <w:r>
                    <w:rPr>
                      <w:rFonts w:hint="eastAsia" w:ascii="Times New Roman" w:hAnsi="Times New Roman" w:eastAsiaTheme="minorEastAsia"/>
                      <w:color w:val="000000" w:themeColor="text1"/>
                      <w:szCs w:val="21"/>
                      <w:vertAlign w:val="subscript"/>
                      <w14:textFill>
                        <w14:solidFill>
                          <w14:schemeClr w14:val="tx1"/>
                        </w14:solidFill>
                      </w14:textFill>
                    </w:rPr>
                    <w:t>2</w:t>
                  </w:r>
                  <w:r>
                    <w:rPr>
                      <w:rFonts w:hint="eastAsia" w:ascii="Times New Roman" w:hAnsi="Times New Roman" w:eastAsiaTheme="minorEastAsia"/>
                      <w:color w:val="000000" w:themeColor="text1"/>
                      <w:szCs w:val="21"/>
                      <w14:textFill>
                        <w14:solidFill>
                          <w14:schemeClr w14:val="tx1"/>
                        </w14:solidFill>
                      </w14:textFill>
                    </w:rPr>
                    <w:t>O</w:t>
                  </w:r>
                </w:p>
              </w:tc>
              <w:tc>
                <w:tcPr>
                  <w:tcW w:w="752" w:type="pct"/>
                  <w:vAlign w:val="center"/>
                </w:tcPr>
                <w:p w14:paraId="07C5F89F">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Na</w:t>
                  </w:r>
                  <w:r>
                    <w:rPr>
                      <w:rFonts w:hint="eastAsia" w:ascii="Times New Roman" w:hAnsi="Times New Roman" w:eastAsiaTheme="minorEastAsia"/>
                      <w:color w:val="000000" w:themeColor="text1"/>
                      <w:szCs w:val="21"/>
                      <w:vertAlign w:val="subscript"/>
                      <w14:textFill>
                        <w14:solidFill>
                          <w14:schemeClr w14:val="tx1"/>
                        </w14:solidFill>
                      </w14:textFill>
                    </w:rPr>
                    <w:t>2</w:t>
                  </w:r>
                  <w:r>
                    <w:rPr>
                      <w:rFonts w:hint="eastAsia" w:ascii="Times New Roman" w:hAnsi="Times New Roman" w:eastAsiaTheme="minorEastAsia"/>
                      <w:color w:val="000000" w:themeColor="text1"/>
                      <w:szCs w:val="21"/>
                      <w14:textFill>
                        <w14:solidFill>
                          <w14:schemeClr w14:val="tx1"/>
                        </w14:solidFill>
                      </w14:textFill>
                    </w:rPr>
                    <w:t>O</w:t>
                  </w:r>
                </w:p>
              </w:tc>
            </w:tr>
            <w:tr w14:paraId="6A24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2C4ECB75">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尾矸</w:t>
                  </w:r>
                </w:p>
              </w:tc>
              <w:tc>
                <w:tcPr>
                  <w:tcW w:w="528" w:type="pct"/>
                  <w:vAlign w:val="center"/>
                </w:tcPr>
                <w:p w14:paraId="65E00C83">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3.17</w:t>
                  </w:r>
                </w:p>
              </w:tc>
              <w:tc>
                <w:tcPr>
                  <w:tcW w:w="555" w:type="pct"/>
                  <w:vAlign w:val="center"/>
                </w:tcPr>
                <w:p w14:paraId="5F4CE297">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19.61</w:t>
                  </w:r>
                </w:p>
              </w:tc>
              <w:tc>
                <w:tcPr>
                  <w:tcW w:w="572" w:type="pct"/>
                  <w:vAlign w:val="center"/>
                </w:tcPr>
                <w:p w14:paraId="239DB55E">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0.5</w:t>
                  </w:r>
                </w:p>
              </w:tc>
              <w:tc>
                <w:tcPr>
                  <w:tcW w:w="572" w:type="pct"/>
                  <w:vAlign w:val="center"/>
                </w:tcPr>
                <w:p w14:paraId="744389F2">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0.5</w:t>
                  </w:r>
                </w:p>
              </w:tc>
              <w:tc>
                <w:tcPr>
                  <w:tcW w:w="519" w:type="pct"/>
                  <w:vAlign w:val="center"/>
                </w:tcPr>
                <w:p w14:paraId="5E100EF6">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55.62</w:t>
                  </w:r>
                </w:p>
              </w:tc>
              <w:tc>
                <w:tcPr>
                  <w:tcW w:w="537" w:type="pct"/>
                  <w:vAlign w:val="center"/>
                </w:tcPr>
                <w:p w14:paraId="291ACB8F">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0.19</w:t>
                  </w:r>
                </w:p>
              </w:tc>
              <w:tc>
                <w:tcPr>
                  <w:tcW w:w="555" w:type="pct"/>
                  <w:vAlign w:val="center"/>
                </w:tcPr>
                <w:p w14:paraId="03FFFEC6">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1.4</w:t>
                  </w:r>
                </w:p>
              </w:tc>
              <w:tc>
                <w:tcPr>
                  <w:tcW w:w="752" w:type="pct"/>
                  <w:vAlign w:val="center"/>
                </w:tcPr>
                <w:p w14:paraId="0EDDB2E5">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0.82</w:t>
                  </w:r>
                </w:p>
              </w:tc>
            </w:tr>
            <w:tr w14:paraId="7C8E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14:paraId="1F13A7DA">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尾泥</w:t>
                  </w:r>
                </w:p>
              </w:tc>
              <w:tc>
                <w:tcPr>
                  <w:tcW w:w="528" w:type="pct"/>
                  <w:vAlign w:val="center"/>
                </w:tcPr>
                <w:p w14:paraId="501B1B21">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3.24</w:t>
                  </w:r>
                </w:p>
              </w:tc>
              <w:tc>
                <w:tcPr>
                  <w:tcW w:w="555" w:type="pct"/>
                  <w:vAlign w:val="center"/>
                </w:tcPr>
                <w:p w14:paraId="3AEC9F06">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19.53</w:t>
                  </w:r>
                </w:p>
              </w:tc>
              <w:tc>
                <w:tcPr>
                  <w:tcW w:w="572" w:type="pct"/>
                  <w:vAlign w:val="center"/>
                </w:tcPr>
                <w:p w14:paraId="229D8173">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3.20</w:t>
                  </w:r>
                </w:p>
              </w:tc>
              <w:tc>
                <w:tcPr>
                  <w:tcW w:w="572" w:type="pct"/>
                  <w:vAlign w:val="center"/>
                </w:tcPr>
                <w:p w14:paraId="0F7BCB35">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1.05</w:t>
                  </w:r>
                </w:p>
              </w:tc>
              <w:tc>
                <w:tcPr>
                  <w:tcW w:w="519" w:type="pct"/>
                  <w:vAlign w:val="center"/>
                </w:tcPr>
                <w:p w14:paraId="1B2F6D19">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59.40</w:t>
                  </w:r>
                </w:p>
              </w:tc>
              <w:tc>
                <w:tcPr>
                  <w:tcW w:w="537" w:type="pct"/>
                  <w:vAlign w:val="center"/>
                </w:tcPr>
                <w:p w14:paraId="05791E72">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0.20</w:t>
                  </w:r>
                </w:p>
              </w:tc>
              <w:tc>
                <w:tcPr>
                  <w:tcW w:w="555" w:type="pct"/>
                  <w:vAlign w:val="center"/>
                </w:tcPr>
                <w:p w14:paraId="12919E09">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1.6</w:t>
                  </w:r>
                </w:p>
              </w:tc>
              <w:tc>
                <w:tcPr>
                  <w:tcW w:w="752" w:type="pct"/>
                  <w:vAlign w:val="center"/>
                </w:tcPr>
                <w:p w14:paraId="77686F98">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0.79</w:t>
                  </w:r>
                </w:p>
              </w:tc>
            </w:tr>
          </w:tbl>
          <w:p w14:paraId="5299266B">
            <w:pPr>
              <w:pStyle w:val="1307"/>
              <w:ind w:firstLine="480"/>
              <w:rPr>
                <w:rFonts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14:textFill>
                  <w14:solidFill>
                    <w14:schemeClr w14:val="tx1"/>
                  </w14:solidFill>
                </w14:textFill>
              </w:rPr>
              <w:t>B、制混凝土粗骨料和机制砂</w:t>
            </w:r>
          </w:p>
          <w:p w14:paraId="5863C8B0">
            <w:pPr>
              <w:pStyle w:val="1307"/>
              <w:ind w:firstLine="480"/>
              <w:rPr>
                <w:rFonts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14:textFill>
                  <w14:solidFill>
                    <w14:schemeClr w14:val="tx1"/>
                  </w14:solidFill>
                </w14:textFill>
              </w:rPr>
              <w:t>该项目制备的混凝土粗骨料和机制砂主要销售给混凝土拌合站、沥青拌合站以及砖厂等建材行业，可能影响煤矸石制混凝土粗骨料和机制砂的主要为煤矸石含有的污染因子和制成的混凝土强度</w:t>
            </w:r>
          </w:p>
          <w:p w14:paraId="0716DE69">
            <w:pPr>
              <w:pStyle w:val="1307"/>
              <w:ind w:firstLine="480"/>
              <w:rPr>
                <w:rFonts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14:textFill>
                  <w14:solidFill>
                    <w14:schemeClr w14:val="tx1"/>
                  </w14:solidFill>
                </w14:textFill>
              </w:rPr>
              <w:t>a、煤矸石污染影响分析</w:t>
            </w:r>
          </w:p>
          <w:p w14:paraId="135F06CA">
            <w:pPr>
              <w:pStyle w:val="1307"/>
              <w:ind w:firstLine="480"/>
              <w:rPr>
                <w:rFonts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14:textFill>
                  <w14:solidFill>
                    <w14:schemeClr w14:val="tx1"/>
                  </w14:solidFill>
                </w14:textFill>
              </w:rPr>
              <w:t>为进一步分析本项目煤矸石制混凝土粗骨料时污染情况，本次取30mg的煤矸石样品使用布鲁克AXS公司生产的X射线衍射仪对该地区的煤矸石进行XRD分析。不同煤矸石的XRD数据图见图</w:t>
            </w:r>
            <w:r>
              <w:rPr>
                <w:rFonts w:hint="eastAsia" w:eastAsiaTheme="minorEastAsia"/>
                <w:color w:val="000000" w:themeColor="text1"/>
                <w:sz w:val="24"/>
                <w:szCs w:val="22"/>
                <w:lang w:val="en-US" w:eastAsia="zh-CN"/>
                <w14:textFill>
                  <w14:solidFill>
                    <w14:schemeClr w14:val="tx1"/>
                  </w14:solidFill>
                </w14:textFill>
              </w:rPr>
              <w:t>1</w:t>
            </w:r>
            <w:r>
              <w:rPr>
                <w:rFonts w:hint="eastAsia" w:eastAsiaTheme="minorEastAsia"/>
                <w:color w:val="000000" w:themeColor="text1"/>
                <w:sz w:val="24"/>
                <w:szCs w:val="22"/>
                <w14:textFill>
                  <w14:solidFill>
                    <w14:schemeClr w14:val="tx1"/>
                  </w14:solidFill>
                </w14:textFill>
              </w:rPr>
              <w:t>。</w:t>
            </w:r>
          </w:p>
          <w:p w14:paraId="3F94200A">
            <w:pPr>
              <w:spacing w:before="171" w:beforeLines="50"/>
              <w:ind w:firstLine="480"/>
              <w:rPr>
                <w:rFonts w:hint="eastAsia" w:asciiTheme="minorEastAsia" w:hAnsiTheme="minorEastAsia" w:eastAsiaTheme="minorEastAsia" w:cstheme="minorEastAsia"/>
                <w:bCs/>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drawing>
                <wp:inline distT="0" distB="0" distL="114300" distR="114300">
                  <wp:extent cx="4162425" cy="32861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4162425" cy="3286125"/>
                          </a:xfrm>
                          <a:prstGeom prst="rect">
                            <a:avLst/>
                          </a:prstGeom>
                          <a:noFill/>
                          <a:ln>
                            <a:noFill/>
                          </a:ln>
                        </pic:spPr>
                      </pic:pic>
                    </a:graphicData>
                  </a:graphic>
                </wp:inline>
              </w:drawing>
            </w:r>
          </w:p>
          <w:p w14:paraId="309E035D">
            <w:pPr>
              <w:spacing w:before="171" w:beforeLines="50"/>
              <w:ind w:firstLine="482"/>
              <w:jc w:val="center"/>
              <w:rPr>
                <w:rFonts w:eastAsiaTheme="minorEastAsia"/>
                <w:bCs/>
                <w:color w:val="000000" w:themeColor="text1"/>
                <w:szCs w:val="24"/>
                <w14:textFill>
                  <w14:solidFill>
                    <w14:schemeClr w14:val="tx1"/>
                  </w14:solidFill>
                </w14:textFill>
              </w:rPr>
            </w:pPr>
            <w:r>
              <w:rPr>
                <w:rFonts w:eastAsiaTheme="minorEastAsia"/>
                <w:b/>
                <w:color w:val="000000" w:themeColor="text1"/>
                <w:szCs w:val="24"/>
                <w14:textFill>
                  <w14:solidFill>
                    <w14:schemeClr w14:val="tx1"/>
                  </w14:solidFill>
                </w14:textFill>
              </w:rPr>
              <w:t>图</w:t>
            </w:r>
            <w:r>
              <w:rPr>
                <w:rFonts w:hint="eastAsia" w:eastAsiaTheme="minorEastAsia"/>
                <w:b/>
                <w:color w:val="000000" w:themeColor="text1"/>
                <w:szCs w:val="24"/>
                <w14:textFill>
                  <w14:solidFill>
                    <w14:schemeClr w14:val="tx1"/>
                  </w14:solidFill>
                </w14:textFill>
              </w:rPr>
              <w:t>1</w:t>
            </w:r>
            <w:r>
              <w:rPr>
                <w:rFonts w:eastAsiaTheme="minorEastAsia"/>
                <w:b/>
                <w:color w:val="000000" w:themeColor="text1"/>
                <w:szCs w:val="24"/>
                <w14:textFill>
                  <w14:solidFill>
                    <w14:schemeClr w14:val="tx1"/>
                  </w14:solidFill>
                </w14:textFill>
              </w:rPr>
              <w:t xml:space="preserve">  不同煤矸石的XRD 数据图</w:t>
            </w:r>
          </w:p>
          <w:p w14:paraId="38F3D78F">
            <w:pPr>
              <w:pStyle w:val="1307"/>
              <w:ind w:firstLine="480"/>
              <w:rPr>
                <w:rFonts w:eastAsiaTheme="minorEastAsia"/>
                <w:color w:val="000000" w:themeColor="text1"/>
                <w:sz w:val="24"/>
                <w:szCs w:val="22"/>
                <w14:textFill>
                  <w14:solidFill>
                    <w14:schemeClr w14:val="tx1"/>
                  </w14:solidFill>
                </w14:textFill>
              </w:rPr>
            </w:pPr>
            <w:r>
              <w:rPr>
                <w:rFonts w:eastAsiaTheme="minorEastAsia"/>
                <w:color w:val="000000" w:themeColor="text1"/>
                <w:sz w:val="24"/>
                <w:szCs w:val="22"/>
                <w14:textFill>
                  <w14:solidFill>
                    <w14:schemeClr w14:val="tx1"/>
                  </w14:solidFill>
                </w14:textFill>
              </w:rPr>
              <w:t>由X射线衍射图谱可以看出，煤矸石中主要含有高岭石、石英、方解石和白云母等矿物，其中2θ=12°为高岭石的特征衍射峰；2θ=20°和2θ=26°为石英的特征衍射峰，2θ在15°～35°内的衍射峰表明煤矸石中含有无定形硅酸盐，这些无定形硅酸盐中可能含有钙、铁、铝和或其他金属。再使用PANalytical Axios型X-射线荧光光谱仪进行XRF分析。分析可知煤矸石的主要化学成分为二氧化硅，三氧化二铝和氧化铁，并且几乎不含放射性元素；</w:t>
            </w:r>
            <w:r>
              <w:rPr>
                <w:rFonts w:eastAsiaTheme="minorEastAsia"/>
                <w:color w:val="000000" w:themeColor="text1"/>
                <w:sz w:val="24"/>
                <w:szCs w:val="22"/>
                <w:highlight w:val="none"/>
                <w14:textFill>
                  <w14:solidFill>
                    <w14:schemeClr w14:val="tx1"/>
                  </w14:solidFill>
                </w14:textFill>
              </w:rPr>
              <w:t>硫主要以三氧化硫的形式存在，含量为0.</w:t>
            </w:r>
            <w:r>
              <w:rPr>
                <w:rFonts w:hint="eastAsia" w:eastAsiaTheme="minorEastAsia"/>
                <w:color w:val="000000" w:themeColor="text1"/>
                <w:sz w:val="24"/>
                <w:szCs w:val="22"/>
                <w:highlight w:val="none"/>
                <w:lang w:val="en-US" w:eastAsia="zh-CN"/>
                <w14:textFill>
                  <w14:solidFill>
                    <w14:schemeClr w14:val="tx1"/>
                  </w14:solidFill>
                </w14:textFill>
              </w:rPr>
              <w:t>1</w:t>
            </w:r>
            <w:r>
              <w:rPr>
                <w:rFonts w:eastAsiaTheme="minorEastAsia"/>
                <w:color w:val="000000" w:themeColor="text1"/>
                <w:sz w:val="24"/>
                <w:szCs w:val="22"/>
                <w:highlight w:val="none"/>
                <w14:textFill>
                  <w14:solidFill>
                    <w14:schemeClr w14:val="tx1"/>
                  </w14:solidFill>
                </w14:textFill>
              </w:rPr>
              <w:t>9%，</w:t>
            </w:r>
            <w:r>
              <w:rPr>
                <w:rFonts w:eastAsiaTheme="minorEastAsia"/>
                <w:color w:val="000000" w:themeColor="text1"/>
                <w:sz w:val="24"/>
                <w:szCs w:val="22"/>
                <w14:textFill>
                  <w14:solidFill>
                    <w14:schemeClr w14:val="tx1"/>
                  </w14:solidFill>
                </w14:textFill>
              </w:rPr>
              <w:t>符合国标GB175-2020《通用硅酸盐水泥》规定的水泥中三氧化硫含量&lt;4%要求。</w:t>
            </w:r>
          </w:p>
          <w:p w14:paraId="7DA15B71">
            <w:pPr>
              <w:pStyle w:val="1307"/>
              <w:ind w:firstLine="480"/>
              <w:rPr>
                <w:rFonts w:eastAsiaTheme="minorEastAsia"/>
                <w:color w:val="000000" w:themeColor="text1"/>
                <w:sz w:val="24"/>
                <w:szCs w:val="22"/>
                <w14:textFill>
                  <w14:solidFill>
                    <w14:schemeClr w14:val="tx1"/>
                  </w14:solidFill>
                </w14:textFill>
              </w:rPr>
            </w:pPr>
            <w:r>
              <w:rPr>
                <w:rFonts w:eastAsiaTheme="minorEastAsia"/>
                <w:color w:val="000000" w:themeColor="text1"/>
                <w:sz w:val="24"/>
                <w:szCs w:val="22"/>
                <w14:textFill>
                  <w14:solidFill>
                    <w14:schemeClr w14:val="tx1"/>
                  </w14:solidFill>
                </w14:textFill>
              </w:rPr>
              <w:t>综上所述，煤矸石中放射性元素和重金属离子较少，可以将煤矸石用于制混凝土粗骨料。</w:t>
            </w:r>
          </w:p>
          <w:p w14:paraId="323DFDBB">
            <w:pPr>
              <w:pStyle w:val="1307"/>
              <w:ind w:firstLine="480"/>
              <w:rPr>
                <w:rFonts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14:textFill>
                  <w14:solidFill>
                    <w14:schemeClr w14:val="tx1"/>
                  </w14:solidFill>
                </w14:textFill>
              </w:rPr>
              <w:t>b、强度分析</w:t>
            </w:r>
          </w:p>
          <w:p w14:paraId="0F3BB632">
            <w:pPr>
              <w:pStyle w:val="1307"/>
              <w:ind w:firstLine="480"/>
              <w:rPr>
                <w:rFonts w:hint="eastAsia"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14:textFill>
                  <w14:solidFill>
                    <w14:schemeClr w14:val="tx1"/>
                  </w14:solidFill>
                </w14:textFill>
              </w:rPr>
              <w:t>将煤矸石用于制备混凝土粗骨料和机制砂后还应检测其制备的混凝土强度等方面是否能满足要求。针对矸石量较大的特点，考虑大量利用矸石的同时尽量提高其强度及经济价值的目的，进行了矸石制备混凝土粗骨料添加弗尔外加剂测试。煤矸石在不同掺量下制备的混凝土强度检测情况如下表所示。</w:t>
            </w:r>
          </w:p>
          <w:p w14:paraId="00C945AE">
            <w:pPr>
              <w:pStyle w:val="312"/>
              <w:widowControl w:val="0"/>
              <w:numPr>
                <w:ilvl w:val="0"/>
                <w:numId w:val="14"/>
              </w:numPr>
              <w:spacing w:line="240" w:lineRule="auto"/>
              <w:ind w:left="-2" w:firstLine="482" w:firstLineChars="0"/>
              <w:rPr>
                <w:rFonts w:hint="eastAsia" w:asciiTheme="minorEastAsia" w:hAnsiTheme="minorEastAsia" w:eastAsiaTheme="minorEastAsia" w:cstheme="minorEastAsia"/>
                <w:b/>
                <w:color w:val="000000" w:themeColor="text1"/>
                <w:lang w:val="zh-CN"/>
                <w14:textFill>
                  <w14:solidFill>
                    <w14:schemeClr w14:val="tx1"/>
                  </w14:solidFill>
                </w14:textFill>
              </w:rPr>
            </w:pPr>
            <w:r>
              <w:rPr>
                <w:rFonts w:hint="eastAsia" w:asciiTheme="minorEastAsia" w:hAnsiTheme="minorEastAsia" w:eastAsiaTheme="minorEastAsia" w:cstheme="minorEastAsia"/>
                <w:b/>
                <w:color w:val="000000" w:themeColor="text1"/>
                <w14:textFill>
                  <w14:solidFill>
                    <w14:schemeClr w14:val="tx1"/>
                  </w14:solidFill>
                </w14:textFill>
              </w:rPr>
              <w:t xml:space="preserve">                  </w:t>
            </w:r>
            <w:r>
              <w:rPr>
                <w:rFonts w:hint="eastAsia" w:asciiTheme="minorEastAsia" w:hAnsiTheme="minorEastAsia" w:eastAsiaTheme="minorEastAsia" w:cstheme="minorEastAsia"/>
                <w:b/>
                <w:color w:val="000000" w:themeColor="text1"/>
                <w:lang w:val="zh-CN"/>
                <w14:textFill>
                  <w14:solidFill>
                    <w14:schemeClr w14:val="tx1"/>
                  </w14:solidFill>
                </w14:textFill>
              </w:rPr>
              <w:t>煤矸石制混凝土配比表</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941"/>
              <w:gridCol w:w="941"/>
              <w:gridCol w:w="942"/>
              <w:gridCol w:w="942"/>
              <w:gridCol w:w="942"/>
              <w:gridCol w:w="942"/>
              <w:gridCol w:w="942"/>
              <w:gridCol w:w="942"/>
            </w:tblGrid>
            <w:tr w14:paraId="02E4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4" w:type="pct"/>
                  <w:shd w:val="clear" w:color="auto" w:fill="auto"/>
                  <w:vAlign w:val="center"/>
                </w:tcPr>
                <w:p w14:paraId="4482C973">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类别</w:t>
                  </w:r>
                </w:p>
              </w:tc>
              <w:tc>
                <w:tcPr>
                  <w:tcW w:w="555" w:type="pct"/>
                  <w:shd w:val="clear" w:color="auto" w:fill="auto"/>
                  <w:vAlign w:val="center"/>
                </w:tcPr>
                <w:p w14:paraId="6877252E">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编号</w:t>
                  </w:r>
                </w:p>
              </w:tc>
              <w:tc>
                <w:tcPr>
                  <w:tcW w:w="555" w:type="pct"/>
                  <w:shd w:val="clear" w:color="auto" w:fill="auto"/>
                  <w:vAlign w:val="center"/>
                </w:tcPr>
                <w:p w14:paraId="3DDA4A4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水</w:t>
                  </w:r>
                </w:p>
                <w:p w14:paraId="7A6137B9">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kg/m</w:t>
                  </w:r>
                  <w:r>
                    <w:rPr>
                      <w:rFonts w:hint="eastAsia" w:ascii="Times New Roman" w:hAnsi="Times New Roman" w:eastAsiaTheme="minorEastAsia"/>
                      <w:color w:val="000000" w:themeColor="text1"/>
                      <w:szCs w:val="21"/>
                      <w:vertAlign w:val="superscript"/>
                      <w14:textFill>
                        <w14:solidFill>
                          <w14:schemeClr w14:val="tx1"/>
                        </w14:solidFill>
                      </w14:textFill>
                    </w:rPr>
                    <w:t>3</w:t>
                  </w:r>
                </w:p>
              </w:tc>
              <w:tc>
                <w:tcPr>
                  <w:tcW w:w="556" w:type="pct"/>
                  <w:shd w:val="clear" w:color="auto" w:fill="auto"/>
                  <w:vAlign w:val="center"/>
                </w:tcPr>
                <w:p w14:paraId="7EA3A68B">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水泥</w:t>
                  </w:r>
                </w:p>
                <w:p w14:paraId="673929E4">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kg/m</w:t>
                  </w:r>
                  <w:r>
                    <w:rPr>
                      <w:rFonts w:hint="eastAsia" w:ascii="Times New Roman" w:hAnsi="Times New Roman" w:eastAsiaTheme="minorEastAsia"/>
                      <w:color w:val="000000" w:themeColor="text1"/>
                      <w:szCs w:val="21"/>
                      <w:vertAlign w:val="superscript"/>
                      <w14:textFill>
                        <w14:solidFill>
                          <w14:schemeClr w14:val="tx1"/>
                        </w14:solidFill>
                      </w14:textFill>
                    </w:rPr>
                    <w:t>3</w:t>
                  </w:r>
                </w:p>
              </w:tc>
              <w:tc>
                <w:tcPr>
                  <w:tcW w:w="556" w:type="pct"/>
                  <w:shd w:val="clear" w:color="auto" w:fill="auto"/>
                  <w:vAlign w:val="center"/>
                </w:tcPr>
                <w:p w14:paraId="1708F25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粉煤灰</w:t>
                  </w:r>
                </w:p>
                <w:p w14:paraId="4D4687CA">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kg/m</w:t>
                  </w:r>
                  <w:r>
                    <w:rPr>
                      <w:rFonts w:hint="eastAsia" w:ascii="Times New Roman" w:hAnsi="Times New Roman" w:eastAsiaTheme="minorEastAsia"/>
                      <w:color w:val="000000" w:themeColor="text1"/>
                      <w:szCs w:val="21"/>
                      <w:vertAlign w:val="superscript"/>
                      <w14:textFill>
                        <w14:solidFill>
                          <w14:schemeClr w14:val="tx1"/>
                        </w14:solidFill>
                      </w14:textFill>
                    </w:rPr>
                    <w:t>3</w:t>
                  </w:r>
                </w:p>
              </w:tc>
              <w:tc>
                <w:tcPr>
                  <w:tcW w:w="556" w:type="pct"/>
                  <w:shd w:val="clear" w:color="auto" w:fill="auto"/>
                  <w:vAlign w:val="center"/>
                </w:tcPr>
                <w:p w14:paraId="25D43E74">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矸石砂</w:t>
                  </w:r>
                </w:p>
                <w:p w14:paraId="5A6CBB7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kg/m</w:t>
                  </w:r>
                  <w:r>
                    <w:rPr>
                      <w:rFonts w:hint="eastAsia" w:ascii="Times New Roman" w:hAnsi="Times New Roman" w:eastAsiaTheme="minorEastAsia"/>
                      <w:color w:val="000000" w:themeColor="text1"/>
                      <w:szCs w:val="21"/>
                      <w:vertAlign w:val="superscript"/>
                      <w14:textFill>
                        <w14:solidFill>
                          <w14:schemeClr w14:val="tx1"/>
                        </w14:solidFill>
                      </w14:textFill>
                    </w:rPr>
                    <w:t>3</w:t>
                  </w:r>
                </w:p>
              </w:tc>
              <w:tc>
                <w:tcPr>
                  <w:tcW w:w="556" w:type="pct"/>
                  <w:shd w:val="clear" w:color="auto" w:fill="auto"/>
                  <w:vAlign w:val="center"/>
                </w:tcPr>
                <w:p w14:paraId="1860771C">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矸石</w:t>
                  </w:r>
                </w:p>
                <w:p w14:paraId="47C62D7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kg/m</w:t>
                  </w:r>
                  <w:r>
                    <w:rPr>
                      <w:rFonts w:hint="eastAsia" w:ascii="Times New Roman" w:hAnsi="Times New Roman" w:eastAsiaTheme="minorEastAsia"/>
                      <w:color w:val="000000" w:themeColor="text1"/>
                      <w:szCs w:val="21"/>
                      <w:vertAlign w:val="superscript"/>
                      <w14:textFill>
                        <w14:solidFill>
                          <w14:schemeClr w14:val="tx1"/>
                        </w14:solidFill>
                      </w14:textFill>
                    </w:rPr>
                    <w:t>3</w:t>
                  </w:r>
                </w:p>
              </w:tc>
              <w:tc>
                <w:tcPr>
                  <w:tcW w:w="556" w:type="pct"/>
                  <w:shd w:val="clear" w:color="auto" w:fill="auto"/>
                  <w:vAlign w:val="center"/>
                </w:tcPr>
                <w:p w14:paraId="18CADBD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弗尔外加剂</w:t>
                  </w:r>
                </w:p>
                <w:p w14:paraId="39617884">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kg/m</w:t>
                  </w:r>
                  <w:r>
                    <w:rPr>
                      <w:rFonts w:hint="eastAsia" w:ascii="Times New Roman" w:hAnsi="Times New Roman" w:eastAsiaTheme="minorEastAsia"/>
                      <w:color w:val="000000" w:themeColor="text1"/>
                      <w:szCs w:val="21"/>
                      <w:vertAlign w:val="superscript"/>
                      <w14:textFill>
                        <w14:solidFill>
                          <w14:schemeClr w14:val="tx1"/>
                        </w14:solidFill>
                      </w14:textFill>
                    </w:rPr>
                    <w:t>3</w:t>
                  </w:r>
                </w:p>
              </w:tc>
              <w:tc>
                <w:tcPr>
                  <w:tcW w:w="555" w:type="pct"/>
                  <w:shd w:val="clear" w:color="auto" w:fill="auto"/>
                  <w:vAlign w:val="center"/>
                </w:tcPr>
                <w:p w14:paraId="6B592183">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强度</w:t>
                  </w:r>
                </w:p>
                <w:p w14:paraId="55679C52">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MPa</w:t>
                  </w:r>
                </w:p>
              </w:tc>
            </w:tr>
            <w:tr w14:paraId="322D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restart"/>
                  <w:shd w:val="clear" w:color="auto" w:fill="auto"/>
                  <w:vAlign w:val="center"/>
                </w:tcPr>
                <w:p w14:paraId="1DD3329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C20</w:t>
                  </w:r>
                </w:p>
              </w:tc>
              <w:tc>
                <w:tcPr>
                  <w:tcW w:w="555" w:type="pct"/>
                  <w:shd w:val="clear" w:color="auto" w:fill="auto"/>
                  <w:vAlign w:val="center"/>
                </w:tcPr>
                <w:p w14:paraId="4A496AA8">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M1</w:t>
                  </w:r>
                </w:p>
              </w:tc>
              <w:tc>
                <w:tcPr>
                  <w:tcW w:w="555" w:type="pct"/>
                  <w:shd w:val="clear" w:color="auto" w:fill="auto"/>
                  <w:vAlign w:val="center"/>
                </w:tcPr>
                <w:p w14:paraId="7D8D93A8">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180</w:t>
                  </w:r>
                </w:p>
              </w:tc>
              <w:tc>
                <w:tcPr>
                  <w:tcW w:w="556" w:type="pct"/>
                  <w:shd w:val="clear" w:color="auto" w:fill="auto"/>
                  <w:vAlign w:val="center"/>
                </w:tcPr>
                <w:p w14:paraId="3B669210">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290</w:t>
                  </w:r>
                </w:p>
              </w:tc>
              <w:tc>
                <w:tcPr>
                  <w:tcW w:w="556" w:type="pct"/>
                  <w:shd w:val="clear" w:color="auto" w:fill="auto"/>
                  <w:vAlign w:val="center"/>
                </w:tcPr>
                <w:p w14:paraId="68FE375E">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87</w:t>
                  </w:r>
                </w:p>
              </w:tc>
              <w:tc>
                <w:tcPr>
                  <w:tcW w:w="556" w:type="pct"/>
                  <w:shd w:val="clear" w:color="auto" w:fill="auto"/>
                  <w:vAlign w:val="center"/>
                </w:tcPr>
                <w:p w14:paraId="7B9EFCE4">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530</w:t>
                  </w:r>
                </w:p>
              </w:tc>
              <w:tc>
                <w:tcPr>
                  <w:tcW w:w="556" w:type="pct"/>
                  <w:shd w:val="clear" w:color="auto" w:fill="auto"/>
                  <w:vAlign w:val="center"/>
                </w:tcPr>
                <w:p w14:paraId="1D58BEA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645</w:t>
                  </w:r>
                </w:p>
              </w:tc>
              <w:tc>
                <w:tcPr>
                  <w:tcW w:w="556" w:type="pct"/>
                  <w:shd w:val="clear" w:color="auto" w:fill="auto"/>
                  <w:vAlign w:val="center"/>
                </w:tcPr>
                <w:p w14:paraId="7097B27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6.8</w:t>
                  </w:r>
                </w:p>
              </w:tc>
              <w:tc>
                <w:tcPr>
                  <w:tcW w:w="555" w:type="pct"/>
                  <w:shd w:val="clear" w:color="auto" w:fill="auto"/>
                  <w:vAlign w:val="center"/>
                </w:tcPr>
                <w:p w14:paraId="06A63AE1">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24.7</w:t>
                  </w:r>
                </w:p>
              </w:tc>
            </w:tr>
            <w:tr w14:paraId="5249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shd w:val="clear" w:color="auto" w:fill="auto"/>
                  <w:vAlign w:val="center"/>
                </w:tcPr>
                <w:p w14:paraId="13C81413">
                  <w:pPr>
                    <w:pStyle w:val="144"/>
                    <w:rPr>
                      <w:rFonts w:ascii="Times New Roman" w:hAnsi="Times New Roman" w:eastAsiaTheme="minorEastAsia"/>
                      <w:color w:val="000000" w:themeColor="text1"/>
                      <w:szCs w:val="21"/>
                      <w14:textFill>
                        <w14:solidFill>
                          <w14:schemeClr w14:val="tx1"/>
                        </w14:solidFill>
                      </w14:textFill>
                    </w:rPr>
                  </w:pPr>
                </w:p>
              </w:tc>
              <w:tc>
                <w:tcPr>
                  <w:tcW w:w="555" w:type="pct"/>
                  <w:shd w:val="clear" w:color="auto" w:fill="auto"/>
                  <w:vAlign w:val="center"/>
                </w:tcPr>
                <w:p w14:paraId="7DB6C73C">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M2</w:t>
                  </w:r>
                </w:p>
              </w:tc>
              <w:tc>
                <w:tcPr>
                  <w:tcW w:w="555" w:type="pct"/>
                  <w:shd w:val="clear" w:color="auto" w:fill="auto"/>
                  <w:vAlign w:val="center"/>
                </w:tcPr>
                <w:p w14:paraId="68063AB0">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170</w:t>
                  </w:r>
                </w:p>
              </w:tc>
              <w:tc>
                <w:tcPr>
                  <w:tcW w:w="556" w:type="pct"/>
                  <w:shd w:val="clear" w:color="auto" w:fill="auto"/>
                  <w:vAlign w:val="center"/>
                </w:tcPr>
                <w:p w14:paraId="52064F5F">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290</w:t>
                  </w:r>
                </w:p>
              </w:tc>
              <w:tc>
                <w:tcPr>
                  <w:tcW w:w="556" w:type="pct"/>
                  <w:shd w:val="clear" w:color="auto" w:fill="auto"/>
                  <w:vAlign w:val="center"/>
                </w:tcPr>
                <w:p w14:paraId="571FDCC2">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97</w:t>
                  </w:r>
                </w:p>
              </w:tc>
              <w:tc>
                <w:tcPr>
                  <w:tcW w:w="556" w:type="pct"/>
                  <w:shd w:val="clear" w:color="auto" w:fill="auto"/>
                  <w:vAlign w:val="center"/>
                </w:tcPr>
                <w:p w14:paraId="7C64D1DE">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530</w:t>
                  </w:r>
                </w:p>
              </w:tc>
              <w:tc>
                <w:tcPr>
                  <w:tcW w:w="556" w:type="pct"/>
                  <w:shd w:val="clear" w:color="auto" w:fill="auto"/>
                  <w:vAlign w:val="center"/>
                </w:tcPr>
                <w:p w14:paraId="42D43838">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645</w:t>
                  </w:r>
                </w:p>
              </w:tc>
              <w:tc>
                <w:tcPr>
                  <w:tcW w:w="556" w:type="pct"/>
                  <w:shd w:val="clear" w:color="auto" w:fill="auto"/>
                  <w:vAlign w:val="center"/>
                </w:tcPr>
                <w:p w14:paraId="627D9EDF">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6.8</w:t>
                  </w:r>
                </w:p>
              </w:tc>
              <w:tc>
                <w:tcPr>
                  <w:tcW w:w="555" w:type="pct"/>
                  <w:shd w:val="clear" w:color="auto" w:fill="auto"/>
                  <w:vAlign w:val="center"/>
                </w:tcPr>
                <w:p w14:paraId="0844CBBF">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25.3</w:t>
                  </w:r>
                </w:p>
              </w:tc>
            </w:tr>
            <w:tr w14:paraId="66F0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shd w:val="clear" w:color="auto" w:fill="auto"/>
                  <w:vAlign w:val="center"/>
                </w:tcPr>
                <w:p w14:paraId="5B473A0A">
                  <w:pPr>
                    <w:pStyle w:val="144"/>
                    <w:rPr>
                      <w:rFonts w:ascii="Times New Roman" w:hAnsi="Times New Roman" w:eastAsiaTheme="minorEastAsia"/>
                      <w:color w:val="000000" w:themeColor="text1"/>
                      <w:szCs w:val="21"/>
                      <w14:textFill>
                        <w14:solidFill>
                          <w14:schemeClr w14:val="tx1"/>
                        </w14:solidFill>
                      </w14:textFill>
                    </w:rPr>
                  </w:pPr>
                </w:p>
              </w:tc>
              <w:tc>
                <w:tcPr>
                  <w:tcW w:w="555" w:type="pct"/>
                  <w:shd w:val="clear" w:color="auto" w:fill="auto"/>
                  <w:vAlign w:val="center"/>
                </w:tcPr>
                <w:p w14:paraId="568A6ADF">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M3</w:t>
                  </w:r>
                </w:p>
              </w:tc>
              <w:tc>
                <w:tcPr>
                  <w:tcW w:w="555" w:type="pct"/>
                  <w:shd w:val="clear" w:color="auto" w:fill="auto"/>
                  <w:vAlign w:val="center"/>
                </w:tcPr>
                <w:p w14:paraId="1732D3AB">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170</w:t>
                  </w:r>
                </w:p>
              </w:tc>
              <w:tc>
                <w:tcPr>
                  <w:tcW w:w="556" w:type="pct"/>
                  <w:shd w:val="clear" w:color="auto" w:fill="auto"/>
                  <w:vAlign w:val="center"/>
                </w:tcPr>
                <w:p w14:paraId="13EEF4C1">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290</w:t>
                  </w:r>
                </w:p>
              </w:tc>
              <w:tc>
                <w:tcPr>
                  <w:tcW w:w="556" w:type="pct"/>
                  <w:shd w:val="clear" w:color="auto" w:fill="auto"/>
                  <w:vAlign w:val="center"/>
                </w:tcPr>
                <w:p w14:paraId="51305B57">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97</w:t>
                  </w:r>
                </w:p>
              </w:tc>
              <w:tc>
                <w:tcPr>
                  <w:tcW w:w="556" w:type="pct"/>
                  <w:shd w:val="clear" w:color="auto" w:fill="auto"/>
                  <w:vAlign w:val="center"/>
                </w:tcPr>
                <w:p w14:paraId="472D0088">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530</w:t>
                  </w:r>
                </w:p>
              </w:tc>
              <w:tc>
                <w:tcPr>
                  <w:tcW w:w="556" w:type="pct"/>
                  <w:shd w:val="clear" w:color="auto" w:fill="auto"/>
                  <w:vAlign w:val="center"/>
                </w:tcPr>
                <w:p w14:paraId="247A38C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645</w:t>
                  </w:r>
                </w:p>
              </w:tc>
              <w:tc>
                <w:tcPr>
                  <w:tcW w:w="556" w:type="pct"/>
                  <w:shd w:val="clear" w:color="auto" w:fill="auto"/>
                  <w:vAlign w:val="center"/>
                </w:tcPr>
                <w:p w14:paraId="7FE0D5D3">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6.8</w:t>
                  </w:r>
                </w:p>
              </w:tc>
              <w:tc>
                <w:tcPr>
                  <w:tcW w:w="555" w:type="pct"/>
                  <w:shd w:val="clear" w:color="auto" w:fill="auto"/>
                  <w:vAlign w:val="center"/>
                </w:tcPr>
                <w:p w14:paraId="6F77EDF2">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24.3</w:t>
                  </w:r>
                </w:p>
              </w:tc>
            </w:tr>
            <w:tr w14:paraId="1D19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restart"/>
                  <w:shd w:val="clear" w:color="auto" w:fill="auto"/>
                  <w:vAlign w:val="center"/>
                </w:tcPr>
                <w:p w14:paraId="2A994308">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C30</w:t>
                  </w:r>
                </w:p>
              </w:tc>
              <w:tc>
                <w:tcPr>
                  <w:tcW w:w="555" w:type="pct"/>
                  <w:shd w:val="clear" w:color="auto" w:fill="auto"/>
                  <w:vAlign w:val="center"/>
                </w:tcPr>
                <w:p w14:paraId="54AD5249">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M1</w:t>
                  </w:r>
                </w:p>
              </w:tc>
              <w:tc>
                <w:tcPr>
                  <w:tcW w:w="555" w:type="pct"/>
                  <w:shd w:val="clear" w:color="auto" w:fill="auto"/>
                  <w:vAlign w:val="center"/>
                </w:tcPr>
                <w:p w14:paraId="183AA632">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185</w:t>
                  </w:r>
                </w:p>
              </w:tc>
              <w:tc>
                <w:tcPr>
                  <w:tcW w:w="556" w:type="pct"/>
                  <w:shd w:val="clear" w:color="auto" w:fill="auto"/>
                  <w:vAlign w:val="center"/>
                </w:tcPr>
                <w:p w14:paraId="1D068051">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310</w:t>
                  </w:r>
                </w:p>
              </w:tc>
              <w:tc>
                <w:tcPr>
                  <w:tcW w:w="556" w:type="pct"/>
                  <w:shd w:val="clear" w:color="auto" w:fill="auto"/>
                  <w:vAlign w:val="center"/>
                </w:tcPr>
                <w:p w14:paraId="1D756717">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93</w:t>
                  </w:r>
                </w:p>
              </w:tc>
              <w:tc>
                <w:tcPr>
                  <w:tcW w:w="556" w:type="pct"/>
                  <w:shd w:val="clear" w:color="auto" w:fill="auto"/>
                  <w:vAlign w:val="center"/>
                </w:tcPr>
                <w:p w14:paraId="3C0091A8">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505</w:t>
                  </w:r>
                </w:p>
              </w:tc>
              <w:tc>
                <w:tcPr>
                  <w:tcW w:w="556" w:type="pct"/>
                  <w:shd w:val="clear" w:color="auto" w:fill="auto"/>
                  <w:vAlign w:val="center"/>
                </w:tcPr>
                <w:p w14:paraId="7CE0ABA0">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630</w:t>
                  </w:r>
                </w:p>
              </w:tc>
              <w:tc>
                <w:tcPr>
                  <w:tcW w:w="556" w:type="pct"/>
                  <w:shd w:val="clear" w:color="auto" w:fill="auto"/>
                  <w:vAlign w:val="center"/>
                </w:tcPr>
                <w:p w14:paraId="522511E9">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8.0</w:t>
                  </w:r>
                </w:p>
              </w:tc>
              <w:tc>
                <w:tcPr>
                  <w:tcW w:w="555" w:type="pct"/>
                  <w:shd w:val="clear" w:color="auto" w:fill="auto"/>
                  <w:vAlign w:val="center"/>
                </w:tcPr>
                <w:p w14:paraId="732CE9F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31.6</w:t>
                  </w:r>
                </w:p>
              </w:tc>
            </w:tr>
            <w:tr w14:paraId="1350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shd w:val="clear" w:color="auto" w:fill="auto"/>
                  <w:vAlign w:val="center"/>
                </w:tcPr>
                <w:p w14:paraId="76695650">
                  <w:pPr>
                    <w:pStyle w:val="144"/>
                    <w:rPr>
                      <w:rFonts w:ascii="Times New Roman" w:hAnsi="Times New Roman" w:eastAsiaTheme="minorEastAsia"/>
                      <w:color w:val="000000" w:themeColor="text1"/>
                      <w:szCs w:val="21"/>
                      <w14:textFill>
                        <w14:solidFill>
                          <w14:schemeClr w14:val="tx1"/>
                        </w14:solidFill>
                      </w14:textFill>
                    </w:rPr>
                  </w:pPr>
                </w:p>
              </w:tc>
              <w:tc>
                <w:tcPr>
                  <w:tcW w:w="555" w:type="pct"/>
                  <w:shd w:val="clear" w:color="auto" w:fill="auto"/>
                  <w:vAlign w:val="center"/>
                </w:tcPr>
                <w:p w14:paraId="42213E7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M2</w:t>
                  </w:r>
                </w:p>
              </w:tc>
              <w:tc>
                <w:tcPr>
                  <w:tcW w:w="555" w:type="pct"/>
                  <w:shd w:val="clear" w:color="auto" w:fill="auto"/>
                  <w:vAlign w:val="center"/>
                </w:tcPr>
                <w:p w14:paraId="10670BF8">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175</w:t>
                  </w:r>
                </w:p>
              </w:tc>
              <w:tc>
                <w:tcPr>
                  <w:tcW w:w="556" w:type="pct"/>
                  <w:shd w:val="clear" w:color="auto" w:fill="auto"/>
                  <w:vAlign w:val="center"/>
                </w:tcPr>
                <w:p w14:paraId="5C42D24E">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310</w:t>
                  </w:r>
                </w:p>
              </w:tc>
              <w:tc>
                <w:tcPr>
                  <w:tcW w:w="556" w:type="pct"/>
                  <w:shd w:val="clear" w:color="auto" w:fill="auto"/>
                  <w:vAlign w:val="center"/>
                </w:tcPr>
                <w:p w14:paraId="0A8AD06F">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113</w:t>
                  </w:r>
                </w:p>
              </w:tc>
              <w:tc>
                <w:tcPr>
                  <w:tcW w:w="556" w:type="pct"/>
                  <w:shd w:val="clear" w:color="auto" w:fill="auto"/>
                  <w:vAlign w:val="center"/>
                </w:tcPr>
                <w:p w14:paraId="0A6ADA7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505</w:t>
                  </w:r>
                </w:p>
              </w:tc>
              <w:tc>
                <w:tcPr>
                  <w:tcW w:w="556" w:type="pct"/>
                  <w:shd w:val="clear" w:color="auto" w:fill="auto"/>
                  <w:vAlign w:val="center"/>
                </w:tcPr>
                <w:p w14:paraId="404CAEAC">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630</w:t>
                  </w:r>
                </w:p>
              </w:tc>
              <w:tc>
                <w:tcPr>
                  <w:tcW w:w="556" w:type="pct"/>
                  <w:shd w:val="clear" w:color="auto" w:fill="auto"/>
                  <w:vAlign w:val="center"/>
                </w:tcPr>
                <w:p w14:paraId="58D5DE57">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8.0</w:t>
                  </w:r>
                </w:p>
              </w:tc>
              <w:tc>
                <w:tcPr>
                  <w:tcW w:w="555" w:type="pct"/>
                  <w:shd w:val="clear" w:color="auto" w:fill="auto"/>
                  <w:vAlign w:val="center"/>
                </w:tcPr>
                <w:p w14:paraId="1FBF91F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33.9</w:t>
                  </w:r>
                </w:p>
              </w:tc>
            </w:tr>
            <w:tr w14:paraId="2196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shd w:val="clear" w:color="auto" w:fill="auto"/>
                  <w:vAlign w:val="center"/>
                </w:tcPr>
                <w:p w14:paraId="0D19C8EC">
                  <w:pPr>
                    <w:pStyle w:val="144"/>
                    <w:rPr>
                      <w:rFonts w:ascii="Times New Roman" w:hAnsi="Times New Roman" w:eastAsiaTheme="minorEastAsia"/>
                      <w:color w:val="000000" w:themeColor="text1"/>
                      <w:szCs w:val="21"/>
                      <w14:textFill>
                        <w14:solidFill>
                          <w14:schemeClr w14:val="tx1"/>
                        </w14:solidFill>
                      </w14:textFill>
                    </w:rPr>
                  </w:pPr>
                </w:p>
              </w:tc>
              <w:tc>
                <w:tcPr>
                  <w:tcW w:w="555" w:type="pct"/>
                  <w:shd w:val="clear" w:color="auto" w:fill="auto"/>
                  <w:vAlign w:val="center"/>
                </w:tcPr>
                <w:p w14:paraId="313DB1F1">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M3</w:t>
                  </w:r>
                </w:p>
              </w:tc>
              <w:tc>
                <w:tcPr>
                  <w:tcW w:w="555" w:type="pct"/>
                  <w:shd w:val="clear" w:color="auto" w:fill="auto"/>
                  <w:vAlign w:val="center"/>
                </w:tcPr>
                <w:p w14:paraId="26E04AD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175</w:t>
                  </w:r>
                </w:p>
              </w:tc>
              <w:tc>
                <w:tcPr>
                  <w:tcW w:w="556" w:type="pct"/>
                  <w:shd w:val="clear" w:color="auto" w:fill="auto"/>
                  <w:vAlign w:val="center"/>
                </w:tcPr>
                <w:p w14:paraId="05A3B6E2">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310</w:t>
                  </w:r>
                </w:p>
              </w:tc>
              <w:tc>
                <w:tcPr>
                  <w:tcW w:w="556" w:type="pct"/>
                  <w:shd w:val="clear" w:color="auto" w:fill="auto"/>
                  <w:vAlign w:val="center"/>
                </w:tcPr>
                <w:p w14:paraId="74ABA5FC">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113</w:t>
                  </w:r>
                </w:p>
              </w:tc>
              <w:tc>
                <w:tcPr>
                  <w:tcW w:w="556" w:type="pct"/>
                  <w:shd w:val="clear" w:color="auto" w:fill="auto"/>
                  <w:vAlign w:val="center"/>
                </w:tcPr>
                <w:p w14:paraId="780BA2F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505</w:t>
                  </w:r>
                </w:p>
              </w:tc>
              <w:tc>
                <w:tcPr>
                  <w:tcW w:w="556" w:type="pct"/>
                  <w:shd w:val="clear" w:color="auto" w:fill="auto"/>
                  <w:vAlign w:val="center"/>
                </w:tcPr>
                <w:p w14:paraId="7178BA38">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630</w:t>
                  </w:r>
                </w:p>
              </w:tc>
              <w:tc>
                <w:tcPr>
                  <w:tcW w:w="556" w:type="pct"/>
                  <w:shd w:val="clear" w:color="auto" w:fill="auto"/>
                  <w:vAlign w:val="center"/>
                </w:tcPr>
                <w:p w14:paraId="3F8CEF5A">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8.0</w:t>
                  </w:r>
                </w:p>
              </w:tc>
              <w:tc>
                <w:tcPr>
                  <w:tcW w:w="555" w:type="pct"/>
                  <w:shd w:val="clear" w:color="auto" w:fill="auto"/>
                  <w:vAlign w:val="center"/>
                </w:tcPr>
                <w:p w14:paraId="1CC7370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32.6</w:t>
                  </w:r>
                </w:p>
              </w:tc>
            </w:tr>
          </w:tbl>
          <w:p w14:paraId="2B97C2C3">
            <w:pPr>
              <w:pStyle w:val="1307"/>
              <w:ind w:firstLine="480"/>
              <w:rPr>
                <w:rFonts w:eastAsiaTheme="minorEastAsia"/>
                <w:color w:val="000000" w:themeColor="text1"/>
                <w:sz w:val="24"/>
                <w:szCs w:val="22"/>
                <w14:textFill>
                  <w14:solidFill>
                    <w14:schemeClr w14:val="tx1"/>
                  </w14:solidFill>
                </w14:textFill>
              </w:rPr>
            </w:pPr>
            <w:r>
              <w:rPr>
                <w:rFonts w:hint="eastAsia" w:eastAsiaTheme="minorEastAsia"/>
                <w:color w:val="000000" w:themeColor="text1"/>
                <w:sz w:val="24"/>
                <w:szCs w:val="22"/>
                <w14:textFill>
                  <w14:solidFill>
                    <w14:schemeClr w14:val="tx1"/>
                  </w14:solidFill>
                </w14:textFill>
              </w:rPr>
              <w:t>从表中可以看出，C20不同配比的强度测试结果分别为24.7MPa，25.3MPa，24.3MPa，C30不同配比的强度测试结果分别为31.6MPa，33.9MPa，32.6MPa。分析测试结果可以看出增加粉煤灰的用量可以减少水的使用量，弗尔外加剂可以替换一部分的水泥用量，在保证强度达标的前提下降低了成本，且实施较方便。以上实验研究证明了煤矸石直接破碎筛分后形成的基本骨料的化学成分、物理性能和力学性能等方面可以满足制备低等级混凝土的需求，可以利用煤矸石基本骨料代替自然砂石骨料，将煤矸石作为一种新型建筑材料用于制备混凝土。</w:t>
            </w:r>
          </w:p>
          <w:p w14:paraId="30431012">
            <w:pPr>
              <w:ind w:firstLine="482"/>
              <w:rPr>
                <w:rFonts w:hint="eastAsia" w:asciiTheme="minorEastAsia" w:hAnsiTheme="minorEastAsia" w:eastAsiaTheme="minorEastAsia" w:cstheme="minorEastAsia"/>
                <w:b/>
                <w:bCs/>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6.原辅材料及能源消耗</w:t>
            </w:r>
          </w:p>
          <w:p w14:paraId="17CC624D">
            <w:pPr>
              <w:pStyle w:val="312"/>
              <w:widowControl w:val="0"/>
              <w:numPr>
                <w:ilvl w:val="0"/>
                <w:numId w:val="14"/>
              </w:numPr>
              <w:spacing w:line="240" w:lineRule="auto"/>
              <w:ind w:left="-2" w:firstLine="482" w:firstLineChars="0"/>
              <w:rPr>
                <w:rFonts w:hint="eastAsia" w:asciiTheme="minorEastAsia" w:hAnsiTheme="minorEastAsia" w:eastAsiaTheme="minorEastAsia" w:cstheme="minorEastAsia"/>
                <w:b/>
                <w:color w:val="000000" w:themeColor="text1"/>
                <w:lang w:val="zh-CN"/>
                <w14:textFill>
                  <w14:solidFill>
                    <w14:schemeClr w14:val="tx1"/>
                  </w14:solidFill>
                </w14:textFill>
              </w:rPr>
            </w:pPr>
            <w:r>
              <w:rPr>
                <w:rFonts w:hint="eastAsia" w:asciiTheme="minorEastAsia" w:hAnsiTheme="minorEastAsia" w:eastAsiaTheme="minorEastAsia" w:cstheme="minorEastAsia"/>
                <w:b/>
                <w:color w:val="000000" w:themeColor="text1"/>
                <w14:textFill>
                  <w14:solidFill>
                    <w14:schemeClr w14:val="tx1"/>
                  </w14:solidFill>
                </w14:textFill>
              </w:rPr>
              <w:t xml:space="preserve">                 </w:t>
            </w:r>
            <w:r>
              <w:rPr>
                <w:rFonts w:hint="eastAsia" w:asciiTheme="minorEastAsia" w:hAnsiTheme="minorEastAsia" w:eastAsiaTheme="minorEastAsia" w:cstheme="minorEastAsia"/>
                <w:b/>
                <w:color w:val="000000" w:themeColor="text1"/>
                <w:lang w:val="zh-CN"/>
                <w14:textFill>
                  <w14:solidFill>
                    <w14:schemeClr w14:val="tx1"/>
                  </w14:solidFill>
                </w14:textFill>
              </w:rPr>
              <w:t>主要原辅材料及能源用量</w:t>
            </w:r>
          </w:p>
          <w:tbl>
            <w:tblPr>
              <w:tblStyle w:val="82"/>
              <w:tblW w:w="84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1"/>
              <w:gridCol w:w="2346"/>
              <w:gridCol w:w="1269"/>
              <w:gridCol w:w="1059"/>
              <w:gridCol w:w="2947"/>
            </w:tblGrid>
            <w:tr w14:paraId="4FA32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51" w:type="dxa"/>
                  <w:tcBorders>
                    <w:tl2br w:val="nil"/>
                    <w:tr2bl w:val="nil"/>
                  </w:tcBorders>
                  <w:vAlign w:val="center"/>
                </w:tcPr>
                <w:p w14:paraId="16E3DCB2">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序号</w:t>
                  </w:r>
                </w:p>
              </w:tc>
              <w:tc>
                <w:tcPr>
                  <w:tcW w:w="2346" w:type="dxa"/>
                  <w:tcBorders>
                    <w:tl2br w:val="nil"/>
                    <w:tr2bl w:val="nil"/>
                  </w:tcBorders>
                  <w:vAlign w:val="center"/>
                </w:tcPr>
                <w:p w14:paraId="3E965F66">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名称</w:t>
                  </w:r>
                </w:p>
              </w:tc>
              <w:tc>
                <w:tcPr>
                  <w:tcW w:w="1269" w:type="dxa"/>
                  <w:tcBorders>
                    <w:tl2br w:val="nil"/>
                    <w:tr2bl w:val="nil"/>
                  </w:tcBorders>
                  <w:vAlign w:val="center"/>
                </w:tcPr>
                <w:p w14:paraId="29D69184">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用量</w:t>
                  </w:r>
                </w:p>
              </w:tc>
              <w:tc>
                <w:tcPr>
                  <w:tcW w:w="1059" w:type="dxa"/>
                  <w:tcBorders>
                    <w:tl2br w:val="nil"/>
                    <w:tr2bl w:val="nil"/>
                  </w:tcBorders>
                  <w:vAlign w:val="center"/>
                </w:tcPr>
                <w:p w14:paraId="2799370B">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单位</w:t>
                  </w:r>
                </w:p>
              </w:tc>
              <w:tc>
                <w:tcPr>
                  <w:tcW w:w="2947" w:type="dxa"/>
                  <w:tcBorders>
                    <w:tl2br w:val="nil"/>
                    <w:tr2bl w:val="nil"/>
                  </w:tcBorders>
                  <w:vAlign w:val="center"/>
                </w:tcPr>
                <w:p w14:paraId="3BE15C6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来源及储存</w:t>
                  </w:r>
                </w:p>
              </w:tc>
            </w:tr>
            <w:tr w14:paraId="7E7B0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851" w:type="dxa"/>
                  <w:tcBorders>
                    <w:tl2br w:val="nil"/>
                    <w:tr2bl w:val="nil"/>
                  </w:tcBorders>
                  <w:vAlign w:val="center"/>
                </w:tcPr>
                <w:p w14:paraId="418C0D4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w:t>
                  </w:r>
                </w:p>
              </w:tc>
              <w:tc>
                <w:tcPr>
                  <w:tcW w:w="2346" w:type="dxa"/>
                  <w:tcBorders>
                    <w:tl2br w:val="nil"/>
                    <w:tr2bl w:val="nil"/>
                  </w:tcBorders>
                  <w:vAlign w:val="center"/>
                </w:tcPr>
                <w:p w14:paraId="34E69F75">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煤矸石</w:t>
                  </w:r>
                </w:p>
              </w:tc>
              <w:tc>
                <w:tcPr>
                  <w:tcW w:w="1269" w:type="dxa"/>
                  <w:tcBorders>
                    <w:tl2br w:val="nil"/>
                    <w:tr2bl w:val="nil"/>
                  </w:tcBorders>
                  <w:vAlign w:val="center"/>
                </w:tcPr>
                <w:p w14:paraId="0E80219A">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300</w:t>
                  </w:r>
                </w:p>
              </w:tc>
              <w:tc>
                <w:tcPr>
                  <w:tcW w:w="1059" w:type="dxa"/>
                  <w:tcBorders>
                    <w:tl2br w:val="nil"/>
                    <w:tr2bl w:val="nil"/>
                  </w:tcBorders>
                  <w:vAlign w:val="center"/>
                </w:tcPr>
                <w:p w14:paraId="6495B91B">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万t/a</w:t>
                  </w:r>
                </w:p>
              </w:tc>
              <w:tc>
                <w:tcPr>
                  <w:tcW w:w="2947" w:type="dxa"/>
                  <w:tcBorders>
                    <w:tl2br w:val="nil"/>
                    <w:tr2bl w:val="nil"/>
                  </w:tcBorders>
                  <w:vAlign w:val="center"/>
                </w:tcPr>
                <w:p w14:paraId="5EEB286F">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周边煤矿购买、储存于原料棚中</w:t>
                  </w:r>
                </w:p>
              </w:tc>
            </w:tr>
            <w:tr w14:paraId="78EE3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851" w:type="dxa"/>
                  <w:tcBorders>
                    <w:tl2br w:val="nil"/>
                    <w:tr2bl w:val="nil"/>
                  </w:tcBorders>
                  <w:vAlign w:val="center"/>
                </w:tcPr>
                <w:p w14:paraId="27440488">
                  <w:pPr>
                    <w:pStyle w:val="144"/>
                    <w:rPr>
                      <w:rFonts w:hint="eastAsia"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p>
              </w:tc>
              <w:tc>
                <w:tcPr>
                  <w:tcW w:w="2346" w:type="dxa"/>
                  <w:tcBorders>
                    <w:tl2br w:val="nil"/>
                    <w:tr2bl w:val="nil"/>
                  </w:tcBorders>
                  <w:vAlign w:val="center"/>
                </w:tcPr>
                <w:p w14:paraId="776E9F5B">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水泥</w:t>
                  </w:r>
                </w:p>
              </w:tc>
              <w:tc>
                <w:tcPr>
                  <w:tcW w:w="1269" w:type="dxa"/>
                  <w:tcBorders>
                    <w:tl2br w:val="nil"/>
                    <w:tr2bl w:val="nil"/>
                  </w:tcBorders>
                  <w:vAlign w:val="top"/>
                </w:tcPr>
                <w:p w14:paraId="69E470F9">
                  <w:pPr>
                    <w:pStyle w:val="144"/>
                    <w:rPr>
                      <w:rFonts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131603.3</w:t>
                  </w:r>
                </w:p>
              </w:tc>
              <w:tc>
                <w:tcPr>
                  <w:tcW w:w="1059" w:type="dxa"/>
                  <w:tcBorders>
                    <w:tl2br w:val="nil"/>
                    <w:tr2bl w:val="nil"/>
                  </w:tcBorders>
                  <w:vAlign w:val="center"/>
                </w:tcPr>
                <w:p w14:paraId="7BCEF7A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t/a</w:t>
                  </w:r>
                </w:p>
              </w:tc>
              <w:tc>
                <w:tcPr>
                  <w:tcW w:w="2947" w:type="dxa"/>
                  <w:tcBorders>
                    <w:tl2br w:val="nil"/>
                    <w:tr2bl w:val="nil"/>
                  </w:tcBorders>
                  <w:vAlign w:val="center"/>
                </w:tcPr>
                <w:p w14:paraId="4E003496">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筒仓</w:t>
                  </w:r>
                </w:p>
              </w:tc>
            </w:tr>
            <w:tr w14:paraId="3F940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851" w:type="dxa"/>
                  <w:tcBorders>
                    <w:tl2br w:val="nil"/>
                    <w:tr2bl w:val="nil"/>
                  </w:tcBorders>
                  <w:shd w:val="clear" w:color="auto" w:fill="auto"/>
                  <w:vAlign w:val="center"/>
                </w:tcPr>
                <w:p w14:paraId="65476E4F">
                  <w:pPr>
                    <w:pStyle w:val="144"/>
                    <w:ind w:firstLine="0" w:firstLineChars="0"/>
                    <w:rPr>
                      <w:rFonts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w:t>
                  </w:r>
                </w:p>
              </w:tc>
              <w:tc>
                <w:tcPr>
                  <w:tcW w:w="2346" w:type="dxa"/>
                  <w:tcBorders>
                    <w:tl2br w:val="nil"/>
                    <w:tr2bl w:val="nil"/>
                  </w:tcBorders>
                  <w:vAlign w:val="center"/>
                </w:tcPr>
                <w:p w14:paraId="005FB754">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砂子</w:t>
                  </w:r>
                </w:p>
              </w:tc>
              <w:tc>
                <w:tcPr>
                  <w:tcW w:w="1269" w:type="dxa"/>
                  <w:tcBorders>
                    <w:tl2br w:val="nil"/>
                    <w:tr2bl w:val="nil"/>
                  </w:tcBorders>
                  <w:vAlign w:val="top"/>
                </w:tcPr>
                <w:p w14:paraId="7308B0D5">
                  <w:pPr>
                    <w:pStyle w:val="144"/>
                    <w:rPr>
                      <w:rFonts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271014</w:t>
                  </w:r>
                </w:p>
              </w:tc>
              <w:tc>
                <w:tcPr>
                  <w:tcW w:w="1059" w:type="dxa"/>
                  <w:tcBorders>
                    <w:tl2br w:val="nil"/>
                    <w:tr2bl w:val="nil"/>
                  </w:tcBorders>
                  <w:vAlign w:val="center"/>
                </w:tcPr>
                <w:p w14:paraId="2F74D8BD">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t/a</w:t>
                  </w:r>
                </w:p>
              </w:tc>
              <w:tc>
                <w:tcPr>
                  <w:tcW w:w="2947" w:type="dxa"/>
                  <w:tcBorders>
                    <w:tl2br w:val="nil"/>
                    <w:tr2bl w:val="nil"/>
                  </w:tcBorders>
                  <w:vAlign w:val="center"/>
                </w:tcPr>
                <w:p w14:paraId="30AB882D">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原料棚内</w:t>
                  </w:r>
                </w:p>
              </w:tc>
            </w:tr>
            <w:tr w14:paraId="3AA2D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51" w:type="dxa"/>
                  <w:tcBorders>
                    <w:tl2br w:val="nil"/>
                    <w:tr2bl w:val="nil"/>
                  </w:tcBorders>
                  <w:shd w:val="clear" w:color="auto" w:fill="auto"/>
                  <w:vAlign w:val="center"/>
                </w:tcPr>
                <w:p w14:paraId="2C92DAB4">
                  <w:pPr>
                    <w:pStyle w:val="144"/>
                    <w:ind w:firstLine="0" w:firstLineChars="0"/>
                    <w:rPr>
                      <w:rFonts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4</w:t>
                  </w:r>
                </w:p>
              </w:tc>
              <w:tc>
                <w:tcPr>
                  <w:tcW w:w="2346" w:type="dxa"/>
                  <w:tcBorders>
                    <w:tl2br w:val="nil"/>
                    <w:tr2bl w:val="nil"/>
                  </w:tcBorders>
                  <w:vAlign w:val="center"/>
                </w:tcPr>
                <w:p w14:paraId="18DD0575">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固化剂</w:t>
                  </w:r>
                </w:p>
              </w:tc>
              <w:tc>
                <w:tcPr>
                  <w:tcW w:w="1269" w:type="dxa"/>
                  <w:tcBorders>
                    <w:tl2br w:val="nil"/>
                    <w:tr2bl w:val="nil"/>
                  </w:tcBorders>
                  <w:vAlign w:val="top"/>
                </w:tcPr>
                <w:p w14:paraId="722719B7">
                  <w:pPr>
                    <w:pStyle w:val="144"/>
                    <w:rPr>
                      <w:rFonts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493.5</w:t>
                  </w:r>
                </w:p>
              </w:tc>
              <w:tc>
                <w:tcPr>
                  <w:tcW w:w="1059" w:type="dxa"/>
                  <w:tcBorders>
                    <w:tl2br w:val="nil"/>
                    <w:tr2bl w:val="nil"/>
                  </w:tcBorders>
                  <w:vAlign w:val="center"/>
                </w:tcPr>
                <w:p w14:paraId="611274DE">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t/a</w:t>
                  </w:r>
                </w:p>
              </w:tc>
              <w:tc>
                <w:tcPr>
                  <w:tcW w:w="2947" w:type="dxa"/>
                  <w:tcBorders>
                    <w:tl2br w:val="nil"/>
                    <w:tr2bl w:val="nil"/>
                  </w:tcBorders>
                  <w:vAlign w:val="center"/>
                </w:tcPr>
                <w:p w14:paraId="1C1A5E5D">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原料棚内</w:t>
                  </w:r>
                </w:p>
              </w:tc>
            </w:tr>
            <w:tr w14:paraId="18E37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851" w:type="dxa"/>
                  <w:tcBorders>
                    <w:tl2br w:val="nil"/>
                    <w:tr2bl w:val="nil"/>
                  </w:tcBorders>
                  <w:shd w:val="clear" w:color="auto" w:fill="auto"/>
                  <w:vAlign w:val="center"/>
                </w:tcPr>
                <w:p w14:paraId="141DE959">
                  <w:pPr>
                    <w:pStyle w:val="144"/>
                    <w:ind w:firstLine="0" w:firstLineChars="0"/>
                    <w:rPr>
                      <w:rFonts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5</w:t>
                  </w:r>
                </w:p>
              </w:tc>
              <w:tc>
                <w:tcPr>
                  <w:tcW w:w="2346" w:type="dxa"/>
                  <w:tcBorders>
                    <w:tl2br w:val="nil"/>
                    <w:tr2bl w:val="nil"/>
                  </w:tcBorders>
                  <w:vAlign w:val="center"/>
                </w:tcPr>
                <w:p w14:paraId="5A8DBB78">
                  <w:pPr>
                    <w:pStyle w:val="144"/>
                    <w:rPr>
                      <w:rFonts w:hint="eastAsia" w:ascii="Times New Roman" w:hAnsi="Times New Roman" w:eastAsiaTheme="minorEastAsia"/>
                      <w:color w:val="000000" w:themeColor="text1"/>
                      <w:szCs w:val="21"/>
                      <w:lang w:eastAsia="zh-CN"/>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颜料</w:t>
                  </w:r>
                  <w:r>
                    <w:rPr>
                      <w:rFonts w:hint="eastAsia" w:ascii="Times New Roman" w:hAnsi="Times New Roman" w:eastAsiaTheme="minorEastAsia"/>
                      <w:color w:val="000000" w:themeColor="text1"/>
                      <w:szCs w:val="21"/>
                      <w:lang w:eastAsia="zh-CN"/>
                      <w14:textFill>
                        <w14:solidFill>
                          <w14:schemeClr w14:val="tx1"/>
                        </w14:solidFill>
                      </w14:textFill>
                    </w:rPr>
                    <w:t>（</w:t>
                  </w:r>
                  <w:r>
                    <w:rPr>
                      <w:rFonts w:hint="eastAsia" w:ascii="Times New Roman" w:hAnsi="Times New Roman" w:eastAsiaTheme="minorEastAsia"/>
                      <w:color w:val="000000" w:themeColor="text1"/>
                      <w:szCs w:val="21"/>
                      <w:lang w:val="en-US" w:eastAsia="zh-CN"/>
                      <w14:textFill>
                        <w14:solidFill>
                          <w14:schemeClr w14:val="tx1"/>
                        </w14:solidFill>
                      </w14:textFill>
                    </w:rPr>
                    <w:t>彩砂</w:t>
                  </w:r>
                  <w:r>
                    <w:rPr>
                      <w:rFonts w:hint="eastAsia" w:ascii="Times New Roman" w:hAnsi="Times New Roman" w:eastAsiaTheme="minorEastAsia"/>
                      <w:color w:val="000000" w:themeColor="text1"/>
                      <w:szCs w:val="21"/>
                      <w:lang w:eastAsia="zh-CN"/>
                      <w14:textFill>
                        <w14:solidFill>
                          <w14:schemeClr w14:val="tx1"/>
                        </w14:solidFill>
                      </w14:textFill>
                    </w:rPr>
                    <w:t>）</w:t>
                  </w:r>
                </w:p>
              </w:tc>
              <w:tc>
                <w:tcPr>
                  <w:tcW w:w="1269" w:type="dxa"/>
                  <w:tcBorders>
                    <w:tl2br w:val="nil"/>
                    <w:tr2bl w:val="nil"/>
                  </w:tcBorders>
                  <w:vAlign w:val="top"/>
                </w:tcPr>
                <w:p w14:paraId="0A5DD705">
                  <w:pPr>
                    <w:pStyle w:val="144"/>
                    <w:rPr>
                      <w:rFonts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101.2</w:t>
                  </w:r>
                </w:p>
              </w:tc>
              <w:tc>
                <w:tcPr>
                  <w:tcW w:w="1059" w:type="dxa"/>
                  <w:tcBorders>
                    <w:tl2br w:val="nil"/>
                    <w:tr2bl w:val="nil"/>
                  </w:tcBorders>
                  <w:vAlign w:val="center"/>
                </w:tcPr>
                <w:p w14:paraId="4D0E87EC">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t/a</w:t>
                  </w:r>
                </w:p>
              </w:tc>
              <w:tc>
                <w:tcPr>
                  <w:tcW w:w="2947" w:type="dxa"/>
                  <w:tcBorders>
                    <w:tl2br w:val="nil"/>
                    <w:tr2bl w:val="nil"/>
                  </w:tcBorders>
                  <w:vAlign w:val="center"/>
                </w:tcPr>
                <w:p w14:paraId="41814FE9">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原料棚内</w:t>
                  </w:r>
                </w:p>
              </w:tc>
            </w:tr>
            <w:tr w14:paraId="227C3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jc w:val="center"/>
              </w:trPr>
              <w:tc>
                <w:tcPr>
                  <w:tcW w:w="851" w:type="dxa"/>
                  <w:tcBorders>
                    <w:tl2br w:val="nil"/>
                    <w:tr2bl w:val="nil"/>
                  </w:tcBorders>
                  <w:shd w:val="clear" w:color="auto" w:fill="auto"/>
                  <w:vAlign w:val="center"/>
                </w:tcPr>
                <w:p w14:paraId="6A1AF9D4">
                  <w:pPr>
                    <w:pStyle w:val="144"/>
                    <w:ind w:firstLine="0" w:firstLineChars="0"/>
                    <w:rPr>
                      <w:rFonts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6</w:t>
                  </w:r>
                </w:p>
              </w:tc>
              <w:tc>
                <w:tcPr>
                  <w:tcW w:w="2346" w:type="dxa"/>
                  <w:tcBorders>
                    <w:tl2br w:val="nil"/>
                    <w:tr2bl w:val="nil"/>
                  </w:tcBorders>
                  <w:vAlign w:val="center"/>
                </w:tcPr>
                <w:p w14:paraId="27EF2491">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生产用电量</w:t>
                  </w:r>
                </w:p>
              </w:tc>
              <w:tc>
                <w:tcPr>
                  <w:tcW w:w="1269" w:type="dxa"/>
                  <w:tcBorders>
                    <w:tl2br w:val="nil"/>
                    <w:tr2bl w:val="nil"/>
                  </w:tcBorders>
                  <w:vAlign w:val="center"/>
                </w:tcPr>
                <w:p w14:paraId="1C5A8D65">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1000</w:t>
                  </w:r>
                </w:p>
              </w:tc>
              <w:tc>
                <w:tcPr>
                  <w:tcW w:w="1059" w:type="dxa"/>
                  <w:tcBorders>
                    <w:tl2br w:val="nil"/>
                    <w:tr2bl w:val="nil"/>
                  </w:tcBorders>
                  <w:vAlign w:val="center"/>
                </w:tcPr>
                <w:p w14:paraId="58EF1071">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Kw·h/a</w:t>
                  </w:r>
                </w:p>
              </w:tc>
              <w:tc>
                <w:tcPr>
                  <w:tcW w:w="2947" w:type="dxa"/>
                  <w:tcBorders>
                    <w:tl2br w:val="nil"/>
                    <w:tr2bl w:val="nil"/>
                  </w:tcBorders>
                  <w:vAlign w:val="center"/>
                </w:tcPr>
                <w:p w14:paraId="66569418">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区域电网</w:t>
                  </w:r>
                </w:p>
              </w:tc>
            </w:tr>
            <w:tr w14:paraId="2A4DD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51" w:type="dxa"/>
                  <w:tcBorders>
                    <w:tl2br w:val="nil"/>
                    <w:tr2bl w:val="nil"/>
                  </w:tcBorders>
                  <w:shd w:val="clear" w:color="auto" w:fill="auto"/>
                  <w:vAlign w:val="center"/>
                </w:tcPr>
                <w:p w14:paraId="133472E4">
                  <w:pPr>
                    <w:pStyle w:val="144"/>
                    <w:ind w:firstLine="0" w:firstLineChars="0"/>
                    <w:rPr>
                      <w:rFonts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w:t>
                  </w:r>
                </w:p>
              </w:tc>
              <w:tc>
                <w:tcPr>
                  <w:tcW w:w="2346" w:type="dxa"/>
                  <w:tcBorders>
                    <w:tl2br w:val="nil"/>
                    <w:tr2bl w:val="nil"/>
                  </w:tcBorders>
                  <w:vAlign w:val="center"/>
                </w:tcPr>
                <w:p w14:paraId="5E284B13">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生产用新鲜水</w:t>
                  </w:r>
                </w:p>
              </w:tc>
              <w:tc>
                <w:tcPr>
                  <w:tcW w:w="1269" w:type="dxa"/>
                  <w:tcBorders>
                    <w:tl2br w:val="nil"/>
                    <w:tr2bl w:val="nil"/>
                  </w:tcBorders>
                  <w:shd w:val="clear" w:color="auto" w:fill="auto"/>
                  <w:vAlign w:val="center"/>
                </w:tcPr>
                <w:p w14:paraId="4AD50539">
                  <w:pPr>
                    <w:pStyle w:val="144"/>
                    <w:rPr>
                      <w:rFonts w:hint="default"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33.2万</w:t>
                  </w:r>
                </w:p>
              </w:tc>
              <w:tc>
                <w:tcPr>
                  <w:tcW w:w="1059" w:type="dxa"/>
                  <w:tcBorders>
                    <w:tl2br w:val="nil"/>
                    <w:tr2bl w:val="nil"/>
                  </w:tcBorders>
                  <w:vAlign w:val="center"/>
                </w:tcPr>
                <w:p w14:paraId="69363612">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m</w:t>
                  </w:r>
                  <w:r>
                    <w:rPr>
                      <w:rFonts w:ascii="Times New Roman" w:hAnsi="Times New Roman" w:eastAsiaTheme="minorEastAsia"/>
                      <w:color w:val="000000" w:themeColor="text1"/>
                      <w:szCs w:val="21"/>
                      <w:vertAlign w:val="superscript"/>
                      <w14:textFill>
                        <w14:solidFill>
                          <w14:schemeClr w14:val="tx1"/>
                        </w14:solidFill>
                      </w14:textFill>
                    </w:rPr>
                    <w:t>3</w:t>
                  </w:r>
                  <w:r>
                    <w:rPr>
                      <w:rFonts w:ascii="Times New Roman" w:hAnsi="Times New Roman" w:eastAsiaTheme="minorEastAsia"/>
                      <w:color w:val="000000" w:themeColor="text1"/>
                      <w:szCs w:val="21"/>
                      <w14:textFill>
                        <w14:solidFill>
                          <w14:schemeClr w14:val="tx1"/>
                        </w14:solidFill>
                      </w14:textFill>
                    </w:rPr>
                    <w:t>/a</w:t>
                  </w:r>
                </w:p>
              </w:tc>
              <w:tc>
                <w:tcPr>
                  <w:tcW w:w="2947" w:type="dxa"/>
                  <w:tcBorders>
                    <w:tl2br w:val="nil"/>
                    <w:tr2bl w:val="nil"/>
                  </w:tcBorders>
                  <w:vAlign w:val="center"/>
                </w:tcPr>
                <w:p w14:paraId="5FC52CA0">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金鸡滩镇煤矿疏干水</w:t>
                  </w:r>
                </w:p>
              </w:tc>
            </w:tr>
            <w:tr w14:paraId="1286D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51" w:type="dxa"/>
                  <w:tcBorders>
                    <w:tl2br w:val="nil"/>
                    <w:tr2bl w:val="nil"/>
                  </w:tcBorders>
                  <w:shd w:val="clear" w:color="auto" w:fill="auto"/>
                  <w:vAlign w:val="center"/>
                </w:tcPr>
                <w:p w14:paraId="078BD8C2">
                  <w:pPr>
                    <w:pStyle w:val="144"/>
                    <w:ind w:firstLine="0" w:firstLineChars="0"/>
                    <w:rPr>
                      <w:rFonts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4</w:t>
                  </w:r>
                </w:p>
              </w:tc>
              <w:tc>
                <w:tcPr>
                  <w:tcW w:w="2346" w:type="dxa"/>
                  <w:tcBorders>
                    <w:tl2br w:val="nil"/>
                    <w:tr2bl w:val="nil"/>
                  </w:tcBorders>
                  <w:vAlign w:val="center"/>
                </w:tcPr>
                <w:p w14:paraId="1B073D95">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生活用水</w:t>
                  </w:r>
                </w:p>
              </w:tc>
              <w:tc>
                <w:tcPr>
                  <w:tcW w:w="1269" w:type="dxa"/>
                  <w:tcBorders>
                    <w:tl2br w:val="nil"/>
                    <w:tr2bl w:val="nil"/>
                  </w:tcBorders>
                  <w:vAlign w:val="center"/>
                </w:tcPr>
                <w:p w14:paraId="7FD22BF5">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highlight w:val="none"/>
                      <w:lang w:val="en-US" w:eastAsia="zh-CN"/>
                      <w14:textFill>
                        <w14:solidFill>
                          <w14:schemeClr w14:val="tx1"/>
                        </w14:solidFill>
                      </w14:textFill>
                    </w:rPr>
                    <w:t>2340</w:t>
                  </w:r>
                </w:p>
              </w:tc>
              <w:tc>
                <w:tcPr>
                  <w:tcW w:w="1059" w:type="dxa"/>
                  <w:tcBorders>
                    <w:tl2br w:val="nil"/>
                    <w:tr2bl w:val="nil"/>
                  </w:tcBorders>
                  <w:vAlign w:val="center"/>
                </w:tcPr>
                <w:p w14:paraId="3CED4400">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m</w:t>
                  </w:r>
                  <w:r>
                    <w:rPr>
                      <w:rFonts w:ascii="Times New Roman" w:hAnsi="Times New Roman" w:eastAsiaTheme="minorEastAsia"/>
                      <w:color w:val="000000" w:themeColor="text1"/>
                      <w:szCs w:val="21"/>
                      <w:vertAlign w:val="superscript"/>
                      <w14:textFill>
                        <w14:solidFill>
                          <w14:schemeClr w14:val="tx1"/>
                        </w14:solidFill>
                      </w14:textFill>
                    </w:rPr>
                    <w:t>3</w:t>
                  </w:r>
                  <w:r>
                    <w:rPr>
                      <w:rFonts w:ascii="Times New Roman" w:hAnsi="Times New Roman" w:eastAsiaTheme="minorEastAsia"/>
                      <w:color w:val="000000" w:themeColor="text1"/>
                      <w:szCs w:val="21"/>
                      <w14:textFill>
                        <w14:solidFill>
                          <w14:schemeClr w14:val="tx1"/>
                        </w14:solidFill>
                      </w14:textFill>
                    </w:rPr>
                    <w:t>/a</w:t>
                  </w:r>
                </w:p>
              </w:tc>
              <w:tc>
                <w:tcPr>
                  <w:tcW w:w="2947" w:type="dxa"/>
                  <w:tcBorders>
                    <w:tl2br w:val="nil"/>
                    <w:tr2bl w:val="nil"/>
                  </w:tcBorders>
                  <w:vAlign w:val="center"/>
                </w:tcPr>
                <w:p w14:paraId="75568059">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自备井</w:t>
                  </w:r>
                </w:p>
              </w:tc>
            </w:tr>
            <w:tr w14:paraId="54161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51" w:type="dxa"/>
                  <w:tcBorders>
                    <w:tl2br w:val="nil"/>
                    <w:tr2bl w:val="nil"/>
                  </w:tcBorders>
                  <w:shd w:val="clear" w:color="auto" w:fill="auto"/>
                  <w:vAlign w:val="center"/>
                </w:tcPr>
                <w:p w14:paraId="5A683183">
                  <w:pPr>
                    <w:pStyle w:val="144"/>
                    <w:ind w:firstLine="0" w:firstLineChars="0"/>
                    <w:rPr>
                      <w:rFonts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5</w:t>
                  </w:r>
                </w:p>
              </w:tc>
              <w:tc>
                <w:tcPr>
                  <w:tcW w:w="2346" w:type="dxa"/>
                  <w:tcBorders>
                    <w:tl2br w:val="nil"/>
                    <w:tr2bl w:val="nil"/>
                  </w:tcBorders>
                  <w:vAlign w:val="center"/>
                </w:tcPr>
                <w:p w14:paraId="6A40540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脱硫剂（氢氧化钠）</w:t>
                  </w:r>
                </w:p>
              </w:tc>
              <w:tc>
                <w:tcPr>
                  <w:tcW w:w="1269" w:type="dxa"/>
                  <w:tcBorders>
                    <w:tl2br w:val="nil"/>
                    <w:tr2bl w:val="nil"/>
                  </w:tcBorders>
                  <w:vAlign w:val="center"/>
                </w:tcPr>
                <w:p w14:paraId="40E50196">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30</w:t>
                  </w:r>
                </w:p>
              </w:tc>
              <w:tc>
                <w:tcPr>
                  <w:tcW w:w="1059" w:type="dxa"/>
                  <w:tcBorders>
                    <w:tl2br w:val="nil"/>
                    <w:tr2bl w:val="nil"/>
                  </w:tcBorders>
                  <w:vAlign w:val="center"/>
                </w:tcPr>
                <w:p w14:paraId="2C7ABE4C">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t/a</w:t>
                  </w:r>
                </w:p>
              </w:tc>
              <w:tc>
                <w:tcPr>
                  <w:tcW w:w="2947" w:type="dxa"/>
                  <w:tcBorders>
                    <w:tl2br w:val="nil"/>
                    <w:tr2bl w:val="nil"/>
                  </w:tcBorders>
                  <w:vAlign w:val="center"/>
                </w:tcPr>
                <w:p w14:paraId="7BE3252D">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外购</w:t>
                  </w:r>
                </w:p>
              </w:tc>
            </w:tr>
            <w:tr w14:paraId="6C8D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851" w:type="dxa"/>
                  <w:tcBorders>
                    <w:tl2br w:val="nil"/>
                    <w:tr2bl w:val="nil"/>
                  </w:tcBorders>
                  <w:shd w:val="clear" w:color="auto" w:fill="auto"/>
                  <w:vAlign w:val="center"/>
                </w:tcPr>
                <w:p w14:paraId="6EBE4D7C">
                  <w:pPr>
                    <w:pStyle w:val="144"/>
                    <w:ind w:firstLine="0" w:firstLineChars="0"/>
                    <w:rPr>
                      <w:rFonts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6</w:t>
                  </w:r>
                </w:p>
              </w:tc>
              <w:tc>
                <w:tcPr>
                  <w:tcW w:w="2346" w:type="dxa"/>
                  <w:tcBorders>
                    <w:tl2br w:val="nil"/>
                    <w:tr2bl w:val="nil"/>
                  </w:tcBorders>
                  <w:vAlign w:val="center"/>
                </w:tcPr>
                <w:p w14:paraId="15AF92AC">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石灰</w:t>
                  </w:r>
                </w:p>
              </w:tc>
              <w:tc>
                <w:tcPr>
                  <w:tcW w:w="1269" w:type="dxa"/>
                  <w:tcBorders>
                    <w:tl2br w:val="nil"/>
                    <w:tr2bl w:val="nil"/>
                  </w:tcBorders>
                  <w:vAlign w:val="center"/>
                </w:tcPr>
                <w:p w14:paraId="0B9A9772">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53</w:t>
                  </w:r>
                </w:p>
              </w:tc>
              <w:tc>
                <w:tcPr>
                  <w:tcW w:w="1059" w:type="dxa"/>
                  <w:tcBorders>
                    <w:tl2br w:val="nil"/>
                    <w:tr2bl w:val="nil"/>
                  </w:tcBorders>
                  <w:vAlign w:val="center"/>
                </w:tcPr>
                <w:p w14:paraId="44B0A46A">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t/a</w:t>
                  </w:r>
                </w:p>
              </w:tc>
              <w:tc>
                <w:tcPr>
                  <w:tcW w:w="2947" w:type="dxa"/>
                  <w:tcBorders>
                    <w:tl2br w:val="nil"/>
                    <w:tr2bl w:val="nil"/>
                  </w:tcBorders>
                  <w:vAlign w:val="center"/>
                </w:tcPr>
                <w:p w14:paraId="47A05298">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外购</w:t>
                  </w:r>
                </w:p>
              </w:tc>
            </w:tr>
          </w:tbl>
          <w:p w14:paraId="186C1BC5">
            <w:pPr>
              <w:keepNext w:val="0"/>
              <w:keepLines w:val="0"/>
              <w:pageBreakBefore w:val="0"/>
              <w:kinsoku/>
              <w:wordWrap/>
              <w:overflowPunct/>
              <w:autoSpaceDE/>
              <w:bidi w:val="0"/>
              <w:adjustRightInd/>
              <w:snapToGrid/>
              <w:spacing w:line="360" w:lineRule="auto"/>
              <w:ind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b/>
                <w:bCs/>
                <w:color w:val="000000" w:themeColor="text1"/>
                <w:kern w:val="0"/>
                <w:szCs w:val="21"/>
                <w14:textFill>
                  <w14:solidFill>
                    <w14:schemeClr w14:val="tx1"/>
                  </w14:solidFill>
                </w14:textFill>
              </w:rPr>
              <w:t>理化性质</w:t>
            </w:r>
            <w:r>
              <w:rPr>
                <w:rFonts w:hint="eastAsia"/>
                <w:b/>
                <w:bCs/>
                <w:color w:val="000000" w:themeColor="text1"/>
                <w:kern w:val="0"/>
                <w:szCs w:val="21"/>
                <w:lang w:eastAsia="zh-CN"/>
                <w14:textFill>
                  <w14:solidFill>
                    <w14:schemeClr w14:val="tx1"/>
                  </w14:solidFill>
                </w14:textFill>
              </w:rPr>
              <w:t>：</w:t>
            </w:r>
          </w:p>
          <w:p w14:paraId="04DE18BB">
            <w:pPr>
              <w:widowControl w:val="0"/>
              <w:spacing w:line="360" w:lineRule="auto"/>
              <w:ind w:firstLine="420" w:firstLineChars="200"/>
              <w:jc w:val="both"/>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根据建设单位提供资料，煤矸石主要指标：</w:t>
            </w:r>
          </w:p>
          <w:p w14:paraId="3A079A9E">
            <w:pPr>
              <w:pStyle w:val="312"/>
              <w:widowControl w:val="0"/>
              <w:numPr>
                <w:ilvl w:val="0"/>
                <w:numId w:val="14"/>
              </w:numPr>
              <w:spacing w:line="240" w:lineRule="auto"/>
              <w:ind w:left="-2" w:firstLine="482" w:firstLineChars="0"/>
              <w:rPr>
                <w:rFonts w:hint="eastAsia" w:cs="Times New Roman" w:eastAsiaTheme="minorEastAsia"/>
                <w:b/>
                <w:color w:val="000000" w:themeColor="text1"/>
                <w:lang w:val="en-US" w:eastAsia="zh-CN"/>
                <w14:textFill>
                  <w14:solidFill>
                    <w14:schemeClr w14:val="tx1"/>
                  </w14:solidFill>
                </w14:textFill>
              </w:rPr>
            </w:pPr>
            <w:r>
              <w:rPr>
                <w:rFonts w:hint="eastAsia" w:cs="Times New Roman" w:eastAsiaTheme="minorEastAsia"/>
                <w:b/>
                <w:color w:val="000000" w:themeColor="text1"/>
                <w:lang w:val="en-US" w:eastAsia="zh-CN"/>
                <w14:textFill>
                  <w14:solidFill>
                    <w14:schemeClr w14:val="tx1"/>
                  </w14:solidFill>
                </w14:textFill>
              </w:rPr>
              <w:t xml:space="preserve">                  煤矸石（洗选前）主要指标表</w:t>
            </w:r>
          </w:p>
          <w:tbl>
            <w:tblPr>
              <w:tblStyle w:val="8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39"/>
              <w:gridCol w:w="3149"/>
              <w:gridCol w:w="946"/>
              <w:gridCol w:w="1007"/>
              <w:gridCol w:w="720"/>
              <w:gridCol w:w="2009"/>
            </w:tblGrid>
            <w:tr w14:paraId="21E14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3860DDFA">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序号</w:t>
                  </w:r>
                </w:p>
              </w:tc>
              <w:tc>
                <w:tcPr>
                  <w:tcW w:w="1858" w:type="pct"/>
                  <w:vAlign w:val="center"/>
                </w:tcPr>
                <w:p w14:paraId="357A73FA">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项目</w:t>
                  </w:r>
                </w:p>
              </w:tc>
              <w:tc>
                <w:tcPr>
                  <w:tcW w:w="558" w:type="pct"/>
                  <w:vAlign w:val="center"/>
                </w:tcPr>
                <w:p w14:paraId="6D608468">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符号</w:t>
                  </w:r>
                </w:p>
              </w:tc>
              <w:tc>
                <w:tcPr>
                  <w:tcW w:w="594" w:type="pct"/>
                  <w:vAlign w:val="center"/>
                </w:tcPr>
                <w:p w14:paraId="0FE54C9F">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单位</w:t>
                  </w:r>
                </w:p>
              </w:tc>
              <w:tc>
                <w:tcPr>
                  <w:tcW w:w="425" w:type="pct"/>
                  <w:vAlign w:val="center"/>
                </w:tcPr>
                <w:p w14:paraId="363A4047">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结果</w:t>
                  </w:r>
                </w:p>
              </w:tc>
              <w:tc>
                <w:tcPr>
                  <w:tcW w:w="1185" w:type="pct"/>
                  <w:vAlign w:val="center"/>
                </w:tcPr>
                <w:p w14:paraId="348F50C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分析依据</w:t>
                  </w:r>
                </w:p>
              </w:tc>
            </w:tr>
            <w:tr w14:paraId="17002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6B0357E4">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1</w:t>
                  </w:r>
                </w:p>
              </w:tc>
              <w:tc>
                <w:tcPr>
                  <w:tcW w:w="1858" w:type="pct"/>
                  <w:vAlign w:val="center"/>
                </w:tcPr>
                <w:p w14:paraId="24373845">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全水分</w:t>
                  </w:r>
                </w:p>
              </w:tc>
              <w:tc>
                <w:tcPr>
                  <w:tcW w:w="558" w:type="pct"/>
                  <w:vAlign w:val="center"/>
                </w:tcPr>
                <w:p w14:paraId="56D4E445">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Mt</w:t>
                  </w:r>
                </w:p>
              </w:tc>
              <w:tc>
                <w:tcPr>
                  <w:tcW w:w="594" w:type="pct"/>
                  <w:vAlign w:val="center"/>
                </w:tcPr>
                <w:p w14:paraId="3A5FF94F">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2A605598">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4.2</w:t>
                  </w:r>
                </w:p>
              </w:tc>
              <w:tc>
                <w:tcPr>
                  <w:tcW w:w="1185" w:type="pct"/>
                  <w:vAlign w:val="center"/>
                </w:tcPr>
                <w:p w14:paraId="0F836C0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GB/T211-2017</w:t>
                  </w:r>
                </w:p>
              </w:tc>
            </w:tr>
            <w:tr w14:paraId="4C92B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377" w:type="pct"/>
                  <w:vAlign w:val="center"/>
                </w:tcPr>
                <w:p w14:paraId="44DAE4CC">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2</w:t>
                  </w:r>
                </w:p>
              </w:tc>
              <w:tc>
                <w:tcPr>
                  <w:tcW w:w="1858" w:type="pct"/>
                  <w:vAlign w:val="center"/>
                </w:tcPr>
                <w:p w14:paraId="25ED8F5C">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空气干燥基水分</w:t>
                  </w:r>
                </w:p>
              </w:tc>
              <w:tc>
                <w:tcPr>
                  <w:tcW w:w="558" w:type="pct"/>
                  <w:vAlign w:val="center"/>
                </w:tcPr>
                <w:p w14:paraId="6DA31666">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Mad</w:t>
                  </w:r>
                </w:p>
              </w:tc>
              <w:tc>
                <w:tcPr>
                  <w:tcW w:w="594" w:type="pct"/>
                  <w:vAlign w:val="center"/>
                </w:tcPr>
                <w:p w14:paraId="6FBFA322">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23F0709F">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1.33</w:t>
                  </w:r>
                </w:p>
              </w:tc>
              <w:tc>
                <w:tcPr>
                  <w:tcW w:w="1185" w:type="pct"/>
                  <w:vAlign w:val="center"/>
                </w:tcPr>
                <w:p w14:paraId="0B13737D">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496AA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jc w:val="center"/>
              </w:trPr>
              <w:tc>
                <w:tcPr>
                  <w:tcW w:w="377" w:type="pct"/>
                  <w:vAlign w:val="center"/>
                </w:tcPr>
                <w:p w14:paraId="741BD290">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3</w:t>
                  </w:r>
                </w:p>
              </w:tc>
              <w:tc>
                <w:tcPr>
                  <w:tcW w:w="1858" w:type="pct"/>
                  <w:vAlign w:val="center"/>
                </w:tcPr>
                <w:p w14:paraId="545534E3">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收到基灰分</w:t>
                  </w:r>
                </w:p>
              </w:tc>
              <w:tc>
                <w:tcPr>
                  <w:tcW w:w="558" w:type="pct"/>
                  <w:vAlign w:val="center"/>
                </w:tcPr>
                <w:p w14:paraId="674A218F">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Aar</w:t>
                  </w:r>
                </w:p>
              </w:tc>
              <w:tc>
                <w:tcPr>
                  <w:tcW w:w="594" w:type="pct"/>
                  <w:vAlign w:val="center"/>
                </w:tcPr>
                <w:p w14:paraId="66B89342">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408C5240">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75.00</w:t>
                  </w:r>
                </w:p>
              </w:tc>
              <w:tc>
                <w:tcPr>
                  <w:tcW w:w="1185" w:type="pct"/>
                  <w:vAlign w:val="center"/>
                </w:tcPr>
                <w:p w14:paraId="40E73472">
                  <w:pPr>
                    <w:pStyle w:val="144"/>
                    <w:jc w:val="center"/>
                    <w:rPr>
                      <w:rFonts w:hint="eastAsia"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4929C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424830C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4</w:t>
                  </w:r>
                </w:p>
              </w:tc>
              <w:tc>
                <w:tcPr>
                  <w:tcW w:w="1858" w:type="pct"/>
                  <w:vAlign w:val="center"/>
                </w:tcPr>
                <w:p w14:paraId="5FB7F89B">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空气干燥基灰分</w:t>
                  </w:r>
                </w:p>
              </w:tc>
              <w:tc>
                <w:tcPr>
                  <w:tcW w:w="558" w:type="pct"/>
                  <w:vAlign w:val="center"/>
                </w:tcPr>
                <w:p w14:paraId="4C45975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Aad</w:t>
                  </w:r>
                </w:p>
              </w:tc>
              <w:tc>
                <w:tcPr>
                  <w:tcW w:w="594" w:type="pct"/>
                  <w:vAlign w:val="center"/>
                </w:tcPr>
                <w:p w14:paraId="1AEF2376">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0A1AE262">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76.00</w:t>
                  </w:r>
                </w:p>
              </w:tc>
              <w:tc>
                <w:tcPr>
                  <w:tcW w:w="1185" w:type="pct"/>
                  <w:vAlign w:val="center"/>
                </w:tcPr>
                <w:p w14:paraId="073046B4">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1BCAE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7" w:type="pct"/>
                  <w:vAlign w:val="center"/>
                </w:tcPr>
                <w:p w14:paraId="3FCDDFF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5</w:t>
                  </w:r>
                </w:p>
              </w:tc>
              <w:tc>
                <w:tcPr>
                  <w:tcW w:w="1858" w:type="pct"/>
                  <w:vAlign w:val="center"/>
                </w:tcPr>
                <w:p w14:paraId="16699A71">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干燥基灰分</w:t>
                  </w:r>
                </w:p>
              </w:tc>
              <w:tc>
                <w:tcPr>
                  <w:tcW w:w="558" w:type="pct"/>
                  <w:vAlign w:val="center"/>
                </w:tcPr>
                <w:p w14:paraId="3BF73C82">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Ad</w:t>
                  </w:r>
                </w:p>
              </w:tc>
              <w:tc>
                <w:tcPr>
                  <w:tcW w:w="594" w:type="pct"/>
                  <w:vAlign w:val="center"/>
                </w:tcPr>
                <w:p w14:paraId="1F76ABCD">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42917F9B">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77.00</w:t>
                  </w:r>
                </w:p>
              </w:tc>
              <w:tc>
                <w:tcPr>
                  <w:tcW w:w="1185" w:type="pct"/>
                  <w:vAlign w:val="center"/>
                </w:tcPr>
                <w:p w14:paraId="43D4BDE5">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36AD4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02938663">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6</w:t>
                  </w:r>
                </w:p>
              </w:tc>
              <w:tc>
                <w:tcPr>
                  <w:tcW w:w="1858" w:type="pct"/>
                  <w:vAlign w:val="center"/>
                </w:tcPr>
                <w:p w14:paraId="08265C50">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收到基挥发分</w:t>
                  </w:r>
                </w:p>
              </w:tc>
              <w:tc>
                <w:tcPr>
                  <w:tcW w:w="558" w:type="pct"/>
                  <w:vAlign w:val="center"/>
                </w:tcPr>
                <w:p w14:paraId="2492B1D2">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Var</w:t>
                  </w:r>
                </w:p>
              </w:tc>
              <w:tc>
                <w:tcPr>
                  <w:tcW w:w="594" w:type="pct"/>
                  <w:vAlign w:val="center"/>
                </w:tcPr>
                <w:p w14:paraId="66E5554E">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649D8325">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10.00</w:t>
                  </w:r>
                </w:p>
              </w:tc>
              <w:tc>
                <w:tcPr>
                  <w:tcW w:w="1185" w:type="pct"/>
                  <w:vAlign w:val="center"/>
                </w:tcPr>
                <w:p w14:paraId="1666672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61FBD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641D046A">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7</w:t>
                  </w:r>
                </w:p>
              </w:tc>
              <w:tc>
                <w:tcPr>
                  <w:tcW w:w="1858" w:type="pct"/>
                  <w:vAlign w:val="center"/>
                </w:tcPr>
                <w:p w14:paraId="3FE35671">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空气干燥基挥发分</w:t>
                  </w:r>
                </w:p>
              </w:tc>
              <w:tc>
                <w:tcPr>
                  <w:tcW w:w="558" w:type="pct"/>
                  <w:vAlign w:val="center"/>
                </w:tcPr>
                <w:p w14:paraId="7CAE166C">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Vad</w:t>
                  </w:r>
                </w:p>
              </w:tc>
              <w:tc>
                <w:tcPr>
                  <w:tcW w:w="594" w:type="pct"/>
                  <w:vAlign w:val="center"/>
                </w:tcPr>
                <w:p w14:paraId="78ED0E40">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794FFA56">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10.20</w:t>
                  </w:r>
                </w:p>
              </w:tc>
              <w:tc>
                <w:tcPr>
                  <w:tcW w:w="1185" w:type="pct"/>
                  <w:vAlign w:val="center"/>
                </w:tcPr>
                <w:p w14:paraId="5C977A2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78DAF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41732CD7">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8</w:t>
                  </w:r>
                </w:p>
              </w:tc>
              <w:tc>
                <w:tcPr>
                  <w:tcW w:w="1858" w:type="pct"/>
                  <w:vAlign w:val="center"/>
                </w:tcPr>
                <w:p w14:paraId="5F74A0E0">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干燥基挥发分</w:t>
                  </w:r>
                </w:p>
              </w:tc>
              <w:tc>
                <w:tcPr>
                  <w:tcW w:w="558" w:type="pct"/>
                  <w:vAlign w:val="center"/>
                </w:tcPr>
                <w:p w14:paraId="700EE1D6">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Vd</w:t>
                  </w:r>
                </w:p>
              </w:tc>
              <w:tc>
                <w:tcPr>
                  <w:tcW w:w="594" w:type="pct"/>
                  <w:vAlign w:val="center"/>
                </w:tcPr>
                <w:p w14:paraId="7F77094C">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05C2F15F">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10.35</w:t>
                  </w:r>
                </w:p>
              </w:tc>
              <w:tc>
                <w:tcPr>
                  <w:tcW w:w="1185" w:type="pct"/>
                  <w:vAlign w:val="center"/>
                </w:tcPr>
                <w:p w14:paraId="6B6676ED">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6CA15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62FB7BE0">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9</w:t>
                  </w:r>
                </w:p>
              </w:tc>
              <w:tc>
                <w:tcPr>
                  <w:tcW w:w="1858" w:type="pct"/>
                  <w:vAlign w:val="center"/>
                </w:tcPr>
                <w:p w14:paraId="100DDA5A">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干燥无灰基挥发分</w:t>
                  </w:r>
                </w:p>
              </w:tc>
              <w:tc>
                <w:tcPr>
                  <w:tcW w:w="558" w:type="pct"/>
                  <w:vAlign w:val="center"/>
                </w:tcPr>
                <w:p w14:paraId="6A40D1FF">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Vdaf</w:t>
                  </w:r>
                </w:p>
              </w:tc>
              <w:tc>
                <w:tcPr>
                  <w:tcW w:w="594" w:type="pct"/>
                  <w:vAlign w:val="center"/>
                </w:tcPr>
                <w:p w14:paraId="666A7C1A">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65844D27">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45.00</w:t>
                  </w:r>
                </w:p>
              </w:tc>
              <w:tc>
                <w:tcPr>
                  <w:tcW w:w="1185" w:type="pct"/>
                  <w:vAlign w:val="center"/>
                </w:tcPr>
                <w:p w14:paraId="3AA30ACF">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69718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26386B25">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10</w:t>
                  </w:r>
                </w:p>
              </w:tc>
              <w:tc>
                <w:tcPr>
                  <w:tcW w:w="1858" w:type="pct"/>
                  <w:vAlign w:val="center"/>
                </w:tcPr>
                <w:p w14:paraId="7C48CB93">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空气干燥基固定碳</w:t>
                  </w:r>
                </w:p>
              </w:tc>
              <w:tc>
                <w:tcPr>
                  <w:tcW w:w="558" w:type="pct"/>
                  <w:vAlign w:val="center"/>
                </w:tcPr>
                <w:p w14:paraId="63F4A62D">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FCad</w:t>
                  </w:r>
                </w:p>
              </w:tc>
              <w:tc>
                <w:tcPr>
                  <w:tcW w:w="594" w:type="pct"/>
                  <w:vAlign w:val="center"/>
                </w:tcPr>
                <w:p w14:paraId="3B700167">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0FEE6905">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12.47</w:t>
                  </w:r>
                </w:p>
              </w:tc>
              <w:tc>
                <w:tcPr>
                  <w:tcW w:w="1185" w:type="pct"/>
                  <w:vAlign w:val="center"/>
                </w:tcPr>
                <w:p w14:paraId="462DC2A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44EA3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55C6502D">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11</w:t>
                  </w:r>
                </w:p>
              </w:tc>
              <w:tc>
                <w:tcPr>
                  <w:tcW w:w="1858" w:type="pct"/>
                  <w:vAlign w:val="center"/>
                </w:tcPr>
                <w:p w14:paraId="4FD360BD">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干燥基固定碳</w:t>
                  </w:r>
                </w:p>
              </w:tc>
              <w:tc>
                <w:tcPr>
                  <w:tcW w:w="558" w:type="pct"/>
                  <w:vAlign w:val="center"/>
                </w:tcPr>
                <w:p w14:paraId="4DCBC99C">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FCd</w:t>
                  </w:r>
                </w:p>
              </w:tc>
              <w:tc>
                <w:tcPr>
                  <w:tcW w:w="594" w:type="pct"/>
                  <w:vAlign w:val="center"/>
                </w:tcPr>
                <w:p w14:paraId="17BE310E">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697FED80">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12.65</w:t>
                  </w:r>
                </w:p>
              </w:tc>
              <w:tc>
                <w:tcPr>
                  <w:tcW w:w="1185" w:type="pct"/>
                  <w:vAlign w:val="center"/>
                </w:tcPr>
                <w:p w14:paraId="529CE16D">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0E58D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5797011B">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12</w:t>
                  </w:r>
                </w:p>
              </w:tc>
              <w:tc>
                <w:tcPr>
                  <w:tcW w:w="1858" w:type="pct"/>
                  <w:vAlign w:val="center"/>
                </w:tcPr>
                <w:p w14:paraId="63A451DA">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焦渣特征</w:t>
                  </w:r>
                </w:p>
              </w:tc>
              <w:tc>
                <w:tcPr>
                  <w:tcW w:w="558" w:type="pct"/>
                  <w:vAlign w:val="center"/>
                </w:tcPr>
                <w:p w14:paraId="185D3573">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CRC</w:t>
                  </w:r>
                </w:p>
              </w:tc>
              <w:tc>
                <w:tcPr>
                  <w:tcW w:w="594" w:type="pct"/>
                  <w:vAlign w:val="center"/>
                </w:tcPr>
                <w:p w14:paraId="61466312">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(1-8)</w:t>
                  </w:r>
                </w:p>
              </w:tc>
              <w:tc>
                <w:tcPr>
                  <w:tcW w:w="425" w:type="pct"/>
                  <w:vAlign w:val="center"/>
                </w:tcPr>
                <w:p w14:paraId="7AD1500B">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w:t>
                  </w:r>
                </w:p>
              </w:tc>
              <w:tc>
                <w:tcPr>
                  <w:tcW w:w="1185" w:type="pct"/>
                  <w:vAlign w:val="center"/>
                </w:tcPr>
                <w:p w14:paraId="6BB2C2EA">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224B0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0B8F901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13</w:t>
                  </w:r>
                </w:p>
              </w:tc>
              <w:tc>
                <w:tcPr>
                  <w:tcW w:w="1858" w:type="pct"/>
                  <w:vAlign w:val="center"/>
                </w:tcPr>
                <w:p w14:paraId="1ACAB834">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收到基全硫</w:t>
                  </w:r>
                </w:p>
              </w:tc>
              <w:tc>
                <w:tcPr>
                  <w:tcW w:w="558" w:type="pct"/>
                  <w:vAlign w:val="center"/>
                </w:tcPr>
                <w:p w14:paraId="7D740D37">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St,ar</w:t>
                  </w:r>
                </w:p>
              </w:tc>
              <w:tc>
                <w:tcPr>
                  <w:tcW w:w="594" w:type="pct"/>
                  <w:vAlign w:val="center"/>
                </w:tcPr>
                <w:p w14:paraId="23636945">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2C530A67">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0.11</w:t>
                  </w:r>
                </w:p>
              </w:tc>
              <w:tc>
                <w:tcPr>
                  <w:tcW w:w="1185" w:type="pct"/>
                  <w:vAlign w:val="center"/>
                </w:tcPr>
                <w:p w14:paraId="528B0DCC">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GB/T214-2007</w:t>
                  </w:r>
                </w:p>
              </w:tc>
            </w:tr>
            <w:tr w14:paraId="3FB8A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1BCE9433">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14</w:t>
                  </w:r>
                </w:p>
              </w:tc>
              <w:tc>
                <w:tcPr>
                  <w:tcW w:w="1858" w:type="pct"/>
                  <w:vAlign w:val="center"/>
                </w:tcPr>
                <w:p w14:paraId="161F7970">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空气干燥基全硫</w:t>
                  </w:r>
                </w:p>
              </w:tc>
              <w:tc>
                <w:tcPr>
                  <w:tcW w:w="558" w:type="pct"/>
                  <w:vAlign w:val="center"/>
                </w:tcPr>
                <w:p w14:paraId="3B1663D4">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St,ad</w:t>
                  </w:r>
                </w:p>
              </w:tc>
              <w:tc>
                <w:tcPr>
                  <w:tcW w:w="594" w:type="pct"/>
                  <w:vAlign w:val="center"/>
                </w:tcPr>
                <w:p w14:paraId="7DF923F6">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76B90E8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0.11</w:t>
                  </w:r>
                </w:p>
              </w:tc>
              <w:tc>
                <w:tcPr>
                  <w:tcW w:w="1185" w:type="pct"/>
                  <w:vAlign w:val="center"/>
                </w:tcPr>
                <w:p w14:paraId="085B4B9C">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GB/T214-2007</w:t>
                  </w:r>
                </w:p>
              </w:tc>
            </w:tr>
            <w:tr w14:paraId="72465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5255BFC2">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15</w:t>
                  </w:r>
                </w:p>
              </w:tc>
              <w:tc>
                <w:tcPr>
                  <w:tcW w:w="1858" w:type="pct"/>
                  <w:vAlign w:val="center"/>
                </w:tcPr>
                <w:p w14:paraId="27CEFE5A">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干燥基全硫</w:t>
                  </w:r>
                </w:p>
              </w:tc>
              <w:tc>
                <w:tcPr>
                  <w:tcW w:w="558" w:type="pct"/>
                  <w:vAlign w:val="center"/>
                </w:tcPr>
                <w:p w14:paraId="5003B221">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St,d</w:t>
                  </w:r>
                </w:p>
              </w:tc>
              <w:tc>
                <w:tcPr>
                  <w:tcW w:w="594" w:type="pct"/>
                  <w:vAlign w:val="center"/>
                </w:tcPr>
                <w:p w14:paraId="4191C0E1">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5" w:type="pct"/>
                  <w:vAlign w:val="center"/>
                </w:tcPr>
                <w:p w14:paraId="300A3524">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0.11</w:t>
                  </w:r>
                </w:p>
              </w:tc>
              <w:tc>
                <w:tcPr>
                  <w:tcW w:w="1185" w:type="pct"/>
                  <w:vAlign w:val="center"/>
                </w:tcPr>
                <w:p w14:paraId="47218F0C">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GB/T214-2007</w:t>
                  </w:r>
                </w:p>
              </w:tc>
            </w:tr>
            <w:tr w14:paraId="2B9F3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1006D7D5">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16</w:t>
                  </w:r>
                </w:p>
              </w:tc>
              <w:tc>
                <w:tcPr>
                  <w:tcW w:w="1858" w:type="pct"/>
                  <w:vAlign w:val="center"/>
                </w:tcPr>
                <w:p w14:paraId="73ADED64">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空气干燥基高位发热量</w:t>
                  </w:r>
                </w:p>
              </w:tc>
              <w:tc>
                <w:tcPr>
                  <w:tcW w:w="558" w:type="pct"/>
                  <w:vAlign w:val="center"/>
                </w:tcPr>
                <w:p w14:paraId="6F032F84">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Qgr,ad</w:t>
                  </w:r>
                </w:p>
              </w:tc>
              <w:tc>
                <w:tcPr>
                  <w:tcW w:w="594" w:type="pct"/>
                  <w:vAlign w:val="center"/>
                </w:tcPr>
                <w:p w14:paraId="347D3025">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Kcal/kg</w:t>
                  </w:r>
                </w:p>
              </w:tc>
              <w:tc>
                <w:tcPr>
                  <w:tcW w:w="425" w:type="pct"/>
                  <w:vAlign w:val="center"/>
                </w:tcPr>
                <w:p w14:paraId="5270F16B">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1550</w:t>
                  </w:r>
                </w:p>
              </w:tc>
              <w:tc>
                <w:tcPr>
                  <w:tcW w:w="1185" w:type="pct"/>
                  <w:vAlign w:val="center"/>
                </w:tcPr>
                <w:p w14:paraId="2159FB3D">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GB/T213-2008</w:t>
                  </w:r>
                </w:p>
              </w:tc>
            </w:tr>
            <w:tr w14:paraId="5315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3C92C80B">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17</w:t>
                  </w:r>
                </w:p>
              </w:tc>
              <w:tc>
                <w:tcPr>
                  <w:tcW w:w="1858" w:type="pct"/>
                  <w:vAlign w:val="center"/>
                </w:tcPr>
                <w:p w14:paraId="0482F3D8">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干燥基高位发热量</w:t>
                  </w:r>
                </w:p>
              </w:tc>
              <w:tc>
                <w:tcPr>
                  <w:tcW w:w="558" w:type="pct"/>
                  <w:vAlign w:val="center"/>
                </w:tcPr>
                <w:p w14:paraId="318BE20C">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Qgr,d</w:t>
                  </w:r>
                </w:p>
              </w:tc>
              <w:tc>
                <w:tcPr>
                  <w:tcW w:w="594" w:type="pct"/>
                  <w:vAlign w:val="center"/>
                </w:tcPr>
                <w:p w14:paraId="798043B3">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Kcal/kg</w:t>
                  </w:r>
                </w:p>
              </w:tc>
              <w:tc>
                <w:tcPr>
                  <w:tcW w:w="425" w:type="pct"/>
                  <w:vAlign w:val="center"/>
                </w:tcPr>
                <w:p w14:paraId="53FB226F">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1570</w:t>
                  </w:r>
                </w:p>
              </w:tc>
              <w:tc>
                <w:tcPr>
                  <w:tcW w:w="1185" w:type="pct"/>
                  <w:vAlign w:val="center"/>
                </w:tcPr>
                <w:p w14:paraId="2F36BAED">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GB/T213-2008</w:t>
                  </w:r>
                </w:p>
              </w:tc>
            </w:tr>
            <w:tr w14:paraId="43376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7" w:type="pct"/>
                  <w:vAlign w:val="center"/>
                </w:tcPr>
                <w:p w14:paraId="4F2CCB1D">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18</w:t>
                  </w:r>
                </w:p>
              </w:tc>
              <w:tc>
                <w:tcPr>
                  <w:tcW w:w="1858" w:type="pct"/>
                  <w:vAlign w:val="center"/>
                </w:tcPr>
                <w:p w14:paraId="6B54FB41">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收到基低位发热量</w:t>
                  </w:r>
                </w:p>
              </w:tc>
              <w:tc>
                <w:tcPr>
                  <w:tcW w:w="558" w:type="pct"/>
                  <w:vAlign w:val="center"/>
                </w:tcPr>
                <w:p w14:paraId="4CC0E059">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Qnet,ar</w:t>
                  </w:r>
                </w:p>
              </w:tc>
              <w:tc>
                <w:tcPr>
                  <w:tcW w:w="594" w:type="pct"/>
                  <w:vAlign w:val="center"/>
                </w:tcPr>
                <w:p w14:paraId="4788631D">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Kcal/kg</w:t>
                  </w:r>
                </w:p>
              </w:tc>
              <w:tc>
                <w:tcPr>
                  <w:tcW w:w="425" w:type="pct"/>
                  <w:vAlign w:val="center"/>
                </w:tcPr>
                <w:p w14:paraId="1B0840F0">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1332</w:t>
                  </w:r>
                </w:p>
              </w:tc>
              <w:tc>
                <w:tcPr>
                  <w:tcW w:w="1185" w:type="pct"/>
                  <w:vAlign w:val="center"/>
                </w:tcPr>
                <w:p w14:paraId="10D73592">
                  <w:pPr>
                    <w:pStyle w:val="144"/>
                    <w:jc w:val="center"/>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val="en-US" w:eastAsia="zh-CN"/>
                      <w14:textFill>
                        <w14:solidFill>
                          <w14:schemeClr w14:val="tx1"/>
                        </w14:solidFill>
                      </w14:textFill>
                    </w:rPr>
                    <w:t>GB/T213-2008</w:t>
                  </w:r>
                </w:p>
              </w:tc>
            </w:tr>
          </w:tbl>
          <w:p w14:paraId="53ED3A2E">
            <w:pPr>
              <w:widowControl w:val="0"/>
              <w:spacing w:line="360" w:lineRule="auto"/>
              <w:ind w:firstLine="420" w:firstLineChars="200"/>
              <w:jc w:val="both"/>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根据建设单位提供资料，煤泥主要指标：</w:t>
            </w:r>
          </w:p>
          <w:p w14:paraId="08D548DA">
            <w:pPr>
              <w:pStyle w:val="312"/>
              <w:widowControl w:val="0"/>
              <w:numPr>
                <w:ilvl w:val="0"/>
                <w:numId w:val="14"/>
              </w:numPr>
              <w:spacing w:line="240" w:lineRule="auto"/>
              <w:ind w:left="-2" w:firstLine="482" w:firstLineChars="0"/>
              <w:rPr>
                <w:rFonts w:hint="eastAsia" w:cs="Times New Roman" w:eastAsiaTheme="minorEastAsia"/>
                <w:b/>
                <w:color w:val="000000" w:themeColor="text1"/>
                <w:lang w:val="en-US" w:eastAsia="zh-CN"/>
                <w14:textFill>
                  <w14:solidFill>
                    <w14:schemeClr w14:val="tx1"/>
                  </w14:solidFill>
                </w14:textFill>
              </w:rPr>
            </w:pPr>
            <w:r>
              <w:rPr>
                <w:rFonts w:hint="eastAsia" w:cs="Times New Roman" w:eastAsiaTheme="minorEastAsia"/>
                <w:b/>
                <w:color w:val="000000" w:themeColor="text1"/>
                <w:lang w:val="en-US" w:eastAsia="zh-CN"/>
                <w14:textFill>
                  <w14:solidFill>
                    <w14:schemeClr w14:val="tx1"/>
                  </w14:solidFill>
                </w14:textFill>
              </w:rPr>
              <w:t xml:space="preserve">                   矸石（洗选后）主要指标表</w:t>
            </w:r>
          </w:p>
          <w:tbl>
            <w:tblPr>
              <w:tblStyle w:val="8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3177"/>
              <w:gridCol w:w="954"/>
              <w:gridCol w:w="1015"/>
              <w:gridCol w:w="727"/>
              <w:gridCol w:w="1949"/>
            </w:tblGrid>
            <w:tr w14:paraId="27A88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1D40AECA">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序号</w:t>
                  </w:r>
                </w:p>
              </w:tc>
              <w:tc>
                <w:tcPr>
                  <w:tcW w:w="1875" w:type="pct"/>
                  <w:vAlign w:val="center"/>
                </w:tcPr>
                <w:p w14:paraId="67384119">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项目</w:t>
                  </w:r>
                </w:p>
              </w:tc>
              <w:tc>
                <w:tcPr>
                  <w:tcW w:w="563" w:type="pct"/>
                  <w:vAlign w:val="center"/>
                </w:tcPr>
                <w:p w14:paraId="3330B668">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符号</w:t>
                  </w:r>
                </w:p>
              </w:tc>
              <w:tc>
                <w:tcPr>
                  <w:tcW w:w="599" w:type="pct"/>
                  <w:vAlign w:val="center"/>
                </w:tcPr>
                <w:p w14:paraId="36253FE5">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单位</w:t>
                  </w:r>
                </w:p>
              </w:tc>
              <w:tc>
                <w:tcPr>
                  <w:tcW w:w="429" w:type="pct"/>
                  <w:vAlign w:val="center"/>
                </w:tcPr>
                <w:p w14:paraId="5338B33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结果</w:t>
                  </w:r>
                </w:p>
              </w:tc>
              <w:tc>
                <w:tcPr>
                  <w:tcW w:w="1150" w:type="pct"/>
                  <w:vAlign w:val="center"/>
                </w:tcPr>
                <w:p w14:paraId="74FBCB60">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分析依据</w:t>
                  </w:r>
                </w:p>
              </w:tc>
            </w:tr>
            <w:tr w14:paraId="14BF9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446D17E0">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w:t>
                  </w:r>
                </w:p>
              </w:tc>
              <w:tc>
                <w:tcPr>
                  <w:tcW w:w="1875" w:type="pct"/>
                  <w:vAlign w:val="center"/>
                </w:tcPr>
                <w:p w14:paraId="5CFA178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全水分</w:t>
                  </w:r>
                </w:p>
              </w:tc>
              <w:tc>
                <w:tcPr>
                  <w:tcW w:w="563" w:type="pct"/>
                  <w:vAlign w:val="center"/>
                </w:tcPr>
                <w:p w14:paraId="0147CDC7">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Mt</w:t>
                  </w:r>
                </w:p>
              </w:tc>
              <w:tc>
                <w:tcPr>
                  <w:tcW w:w="599" w:type="pct"/>
                  <w:vAlign w:val="center"/>
                </w:tcPr>
                <w:p w14:paraId="4963578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228E4516">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3.8</w:t>
                  </w:r>
                </w:p>
              </w:tc>
              <w:tc>
                <w:tcPr>
                  <w:tcW w:w="1150" w:type="pct"/>
                  <w:vAlign w:val="center"/>
                </w:tcPr>
                <w:p w14:paraId="2F7928F7">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GB/T211-2017</w:t>
                  </w:r>
                </w:p>
              </w:tc>
            </w:tr>
            <w:tr w14:paraId="4AB30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46AF34A5">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2</w:t>
                  </w:r>
                </w:p>
              </w:tc>
              <w:tc>
                <w:tcPr>
                  <w:tcW w:w="1875" w:type="pct"/>
                  <w:vAlign w:val="center"/>
                </w:tcPr>
                <w:p w14:paraId="6D502002">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空气干燥基水分</w:t>
                  </w:r>
                </w:p>
              </w:tc>
              <w:tc>
                <w:tcPr>
                  <w:tcW w:w="563" w:type="pct"/>
                  <w:vAlign w:val="center"/>
                </w:tcPr>
                <w:p w14:paraId="553B52D9">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Mad</w:t>
                  </w:r>
                </w:p>
              </w:tc>
              <w:tc>
                <w:tcPr>
                  <w:tcW w:w="599" w:type="pct"/>
                  <w:vAlign w:val="center"/>
                </w:tcPr>
                <w:p w14:paraId="0B167A1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303FF017">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1.16</w:t>
                  </w:r>
                </w:p>
              </w:tc>
              <w:tc>
                <w:tcPr>
                  <w:tcW w:w="1150" w:type="pct"/>
                  <w:vAlign w:val="center"/>
                </w:tcPr>
                <w:p w14:paraId="59F82EBC">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1DBDF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30837027">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3</w:t>
                  </w:r>
                </w:p>
              </w:tc>
              <w:tc>
                <w:tcPr>
                  <w:tcW w:w="1875" w:type="pct"/>
                  <w:vAlign w:val="center"/>
                </w:tcPr>
                <w:p w14:paraId="4BB4519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收到基灰分</w:t>
                  </w:r>
                </w:p>
              </w:tc>
              <w:tc>
                <w:tcPr>
                  <w:tcW w:w="563" w:type="pct"/>
                  <w:vAlign w:val="center"/>
                </w:tcPr>
                <w:p w14:paraId="058A9378">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Aar</w:t>
                  </w:r>
                </w:p>
              </w:tc>
              <w:tc>
                <w:tcPr>
                  <w:tcW w:w="599" w:type="pct"/>
                  <w:vAlign w:val="center"/>
                </w:tcPr>
                <w:p w14:paraId="76886142">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521C492C">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95.20</w:t>
                  </w:r>
                </w:p>
              </w:tc>
              <w:tc>
                <w:tcPr>
                  <w:tcW w:w="1150" w:type="pct"/>
                  <w:vAlign w:val="center"/>
                </w:tcPr>
                <w:p w14:paraId="2181419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0336B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10511B29">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4</w:t>
                  </w:r>
                </w:p>
              </w:tc>
              <w:tc>
                <w:tcPr>
                  <w:tcW w:w="1875" w:type="pct"/>
                  <w:vAlign w:val="center"/>
                </w:tcPr>
                <w:p w14:paraId="0287C1D7">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空气干燥基灰分</w:t>
                  </w:r>
                </w:p>
              </w:tc>
              <w:tc>
                <w:tcPr>
                  <w:tcW w:w="563" w:type="pct"/>
                  <w:vAlign w:val="center"/>
                </w:tcPr>
                <w:p w14:paraId="013C9198">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Aad</w:t>
                  </w:r>
                </w:p>
              </w:tc>
              <w:tc>
                <w:tcPr>
                  <w:tcW w:w="599" w:type="pct"/>
                  <w:vAlign w:val="center"/>
                </w:tcPr>
                <w:p w14:paraId="1A5BC379">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769E1F54">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96.20</w:t>
                  </w:r>
                </w:p>
              </w:tc>
              <w:tc>
                <w:tcPr>
                  <w:tcW w:w="1150" w:type="pct"/>
                  <w:vAlign w:val="center"/>
                </w:tcPr>
                <w:p w14:paraId="7450F85A">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6AE35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0E873AFD">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5</w:t>
                  </w:r>
                </w:p>
              </w:tc>
              <w:tc>
                <w:tcPr>
                  <w:tcW w:w="1875" w:type="pct"/>
                  <w:vAlign w:val="center"/>
                </w:tcPr>
                <w:p w14:paraId="0FD4AD0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干燥基灰分</w:t>
                  </w:r>
                </w:p>
              </w:tc>
              <w:tc>
                <w:tcPr>
                  <w:tcW w:w="563" w:type="pct"/>
                  <w:vAlign w:val="center"/>
                </w:tcPr>
                <w:p w14:paraId="0962CC5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Ad</w:t>
                  </w:r>
                </w:p>
              </w:tc>
              <w:tc>
                <w:tcPr>
                  <w:tcW w:w="599" w:type="pct"/>
                  <w:vAlign w:val="center"/>
                </w:tcPr>
                <w:p w14:paraId="3A263615">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336B121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97.20</w:t>
                  </w:r>
                </w:p>
              </w:tc>
              <w:tc>
                <w:tcPr>
                  <w:tcW w:w="1150" w:type="pct"/>
                  <w:vAlign w:val="center"/>
                </w:tcPr>
                <w:p w14:paraId="205EFE7A">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7624A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4E63331C">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6</w:t>
                  </w:r>
                </w:p>
              </w:tc>
              <w:tc>
                <w:tcPr>
                  <w:tcW w:w="1875" w:type="pct"/>
                  <w:vAlign w:val="center"/>
                </w:tcPr>
                <w:p w14:paraId="0133447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收到基挥发分</w:t>
                  </w:r>
                </w:p>
              </w:tc>
              <w:tc>
                <w:tcPr>
                  <w:tcW w:w="563" w:type="pct"/>
                  <w:vAlign w:val="center"/>
                </w:tcPr>
                <w:p w14:paraId="1B7CF67D">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Var</w:t>
                  </w:r>
                </w:p>
              </w:tc>
              <w:tc>
                <w:tcPr>
                  <w:tcW w:w="599" w:type="pct"/>
                  <w:vAlign w:val="center"/>
                </w:tcPr>
                <w:p w14:paraId="3AC6741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0824244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0.92</w:t>
                  </w:r>
                </w:p>
              </w:tc>
              <w:tc>
                <w:tcPr>
                  <w:tcW w:w="1150" w:type="pct"/>
                  <w:vAlign w:val="center"/>
                </w:tcPr>
                <w:p w14:paraId="51CBC71A">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1B5E5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3F7D1BC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7</w:t>
                  </w:r>
                </w:p>
              </w:tc>
              <w:tc>
                <w:tcPr>
                  <w:tcW w:w="1875" w:type="pct"/>
                  <w:vAlign w:val="center"/>
                </w:tcPr>
                <w:p w14:paraId="4F26467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空气干燥基挥发分</w:t>
                  </w:r>
                </w:p>
              </w:tc>
              <w:tc>
                <w:tcPr>
                  <w:tcW w:w="563" w:type="pct"/>
                  <w:vAlign w:val="center"/>
                </w:tcPr>
                <w:p w14:paraId="528B0E02">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Vad</w:t>
                  </w:r>
                </w:p>
              </w:tc>
              <w:tc>
                <w:tcPr>
                  <w:tcW w:w="599" w:type="pct"/>
                  <w:vAlign w:val="center"/>
                </w:tcPr>
                <w:p w14:paraId="6BD0B9E7">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3F8D80F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0.92</w:t>
                  </w:r>
                </w:p>
              </w:tc>
              <w:tc>
                <w:tcPr>
                  <w:tcW w:w="1150" w:type="pct"/>
                  <w:vAlign w:val="center"/>
                </w:tcPr>
                <w:p w14:paraId="02321A4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265A0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23A5BA31">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8</w:t>
                  </w:r>
                </w:p>
              </w:tc>
              <w:tc>
                <w:tcPr>
                  <w:tcW w:w="1875" w:type="pct"/>
                  <w:vAlign w:val="center"/>
                </w:tcPr>
                <w:p w14:paraId="0BFCAA0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干燥基挥发分</w:t>
                  </w:r>
                </w:p>
              </w:tc>
              <w:tc>
                <w:tcPr>
                  <w:tcW w:w="563" w:type="pct"/>
                  <w:vAlign w:val="center"/>
                </w:tcPr>
                <w:p w14:paraId="5D9DB36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Vd</w:t>
                  </w:r>
                </w:p>
              </w:tc>
              <w:tc>
                <w:tcPr>
                  <w:tcW w:w="599" w:type="pct"/>
                  <w:vAlign w:val="center"/>
                </w:tcPr>
                <w:p w14:paraId="5DFA14D4">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5B5D2E5D">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0.93</w:t>
                  </w:r>
                </w:p>
              </w:tc>
              <w:tc>
                <w:tcPr>
                  <w:tcW w:w="1150" w:type="pct"/>
                  <w:vAlign w:val="center"/>
                </w:tcPr>
                <w:p w14:paraId="3C0866A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7E998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3CD764A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9</w:t>
                  </w:r>
                </w:p>
              </w:tc>
              <w:tc>
                <w:tcPr>
                  <w:tcW w:w="1875" w:type="pct"/>
                  <w:vAlign w:val="center"/>
                </w:tcPr>
                <w:p w14:paraId="598A4EF4">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干燥无灰基挥发分</w:t>
                  </w:r>
                </w:p>
              </w:tc>
              <w:tc>
                <w:tcPr>
                  <w:tcW w:w="563" w:type="pct"/>
                  <w:vAlign w:val="center"/>
                </w:tcPr>
                <w:p w14:paraId="4DF2FF6C">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Vdaf</w:t>
                  </w:r>
                </w:p>
              </w:tc>
              <w:tc>
                <w:tcPr>
                  <w:tcW w:w="599" w:type="pct"/>
                  <w:vAlign w:val="center"/>
                </w:tcPr>
                <w:p w14:paraId="10F88009">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483765B0">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84.00</w:t>
                  </w:r>
                </w:p>
              </w:tc>
              <w:tc>
                <w:tcPr>
                  <w:tcW w:w="1150" w:type="pct"/>
                  <w:vAlign w:val="center"/>
                </w:tcPr>
                <w:p w14:paraId="356C6F18">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7F3AD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4F16CEBB">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10</w:t>
                  </w:r>
                </w:p>
              </w:tc>
              <w:tc>
                <w:tcPr>
                  <w:tcW w:w="1875" w:type="pct"/>
                  <w:vAlign w:val="center"/>
                </w:tcPr>
                <w:p w14:paraId="043B14F0">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空气干燥基固定碳</w:t>
                  </w:r>
                </w:p>
              </w:tc>
              <w:tc>
                <w:tcPr>
                  <w:tcW w:w="563" w:type="pct"/>
                  <w:vAlign w:val="center"/>
                </w:tcPr>
                <w:p w14:paraId="22B2FAB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FCad</w:t>
                  </w:r>
                </w:p>
              </w:tc>
              <w:tc>
                <w:tcPr>
                  <w:tcW w:w="599" w:type="pct"/>
                  <w:vAlign w:val="center"/>
                </w:tcPr>
                <w:p w14:paraId="271049C4">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05F80AB7">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0.72</w:t>
                  </w:r>
                </w:p>
              </w:tc>
              <w:tc>
                <w:tcPr>
                  <w:tcW w:w="1150" w:type="pct"/>
                  <w:vAlign w:val="center"/>
                </w:tcPr>
                <w:p w14:paraId="61BBDC1A">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1E289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6E8F0A11">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11</w:t>
                  </w:r>
                </w:p>
              </w:tc>
              <w:tc>
                <w:tcPr>
                  <w:tcW w:w="1875" w:type="pct"/>
                  <w:vAlign w:val="center"/>
                </w:tcPr>
                <w:p w14:paraId="7CC7D36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干燥基固定碳</w:t>
                  </w:r>
                </w:p>
              </w:tc>
              <w:tc>
                <w:tcPr>
                  <w:tcW w:w="563" w:type="pct"/>
                  <w:vAlign w:val="center"/>
                </w:tcPr>
                <w:p w14:paraId="098A202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FCd</w:t>
                  </w:r>
                </w:p>
              </w:tc>
              <w:tc>
                <w:tcPr>
                  <w:tcW w:w="599" w:type="pct"/>
                  <w:vAlign w:val="center"/>
                </w:tcPr>
                <w:p w14:paraId="032BD371">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166E923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0.87</w:t>
                  </w:r>
                </w:p>
              </w:tc>
              <w:tc>
                <w:tcPr>
                  <w:tcW w:w="1150" w:type="pct"/>
                  <w:vAlign w:val="center"/>
                </w:tcPr>
                <w:p w14:paraId="1E0F570D">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1E213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0F086DF7">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12</w:t>
                  </w:r>
                </w:p>
              </w:tc>
              <w:tc>
                <w:tcPr>
                  <w:tcW w:w="1875" w:type="pct"/>
                  <w:vAlign w:val="center"/>
                </w:tcPr>
                <w:p w14:paraId="536941B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焦渣特征</w:t>
                  </w:r>
                </w:p>
              </w:tc>
              <w:tc>
                <w:tcPr>
                  <w:tcW w:w="563" w:type="pct"/>
                  <w:vAlign w:val="center"/>
                </w:tcPr>
                <w:p w14:paraId="1F612E7D">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CRC</w:t>
                  </w:r>
                </w:p>
              </w:tc>
              <w:tc>
                <w:tcPr>
                  <w:tcW w:w="599" w:type="pct"/>
                  <w:vAlign w:val="center"/>
                </w:tcPr>
                <w:p w14:paraId="3FA79F7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(1-8)</w:t>
                  </w:r>
                </w:p>
              </w:tc>
              <w:tc>
                <w:tcPr>
                  <w:tcW w:w="429" w:type="pct"/>
                  <w:vAlign w:val="center"/>
                </w:tcPr>
                <w:p w14:paraId="70F4680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w:t>
                  </w:r>
                </w:p>
              </w:tc>
              <w:tc>
                <w:tcPr>
                  <w:tcW w:w="1150" w:type="pct"/>
                  <w:vAlign w:val="center"/>
                </w:tcPr>
                <w:p w14:paraId="17C99746">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GB/T212-2008</w:t>
                  </w:r>
                </w:p>
              </w:tc>
            </w:tr>
            <w:tr w14:paraId="288FC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2C40D582">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13</w:t>
                  </w:r>
                </w:p>
              </w:tc>
              <w:tc>
                <w:tcPr>
                  <w:tcW w:w="1875" w:type="pct"/>
                  <w:vAlign w:val="center"/>
                </w:tcPr>
                <w:p w14:paraId="15FEBE9C">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收到基全硫</w:t>
                  </w:r>
                </w:p>
              </w:tc>
              <w:tc>
                <w:tcPr>
                  <w:tcW w:w="563" w:type="pct"/>
                  <w:vAlign w:val="center"/>
                </w:tcPr>
                <w:p w14:paraId="36CEDDA0">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St,ar</w:t>
                  </w:r>
                </w:p>
              </w:tc>
              <w:tc>
                <w:tcPr>
                  <w:tcW w:w="599" w:type="pct"/>
                  <w:vAlign w:val="center"/>
                </w:tcPr>
                <w:p w14:paraId="50F7C38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7BD8E775">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0.10</w:t>
                  </w:r>
                </w:p>
              </w:tc>
              <w:tc>
                <w:tcPr>
                  <w:tcW w:w="1150" w:type="pct"/>
                  <w:vAlign w:val="center"/>
                </w:tcPr>
                <w:p w14:paraId="6220B8F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GB/T214-2007</w:t>
                  </w:r>
                </w:p>
              </w:tc>
            </w:tr>
            <w:tr w14:paraId="4995B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68C9BE38">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14</w:t>
                  </w:r>
                </w:p>
              </w:tc>
              <w:tc>
                <w:tcPr>
                  <w:tcW w:w="1875" w:type="pct"/>
                  <w:vAlign w:val="center"/>
                </w:tcPr>
                <w:p w14:paraId="1B0F9329">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空气干燥基全硫</w:t>
                  </w:r>
                </w:p>
              </w:tc>
              <w:tc>
                <w:tcPr>
                  <w:tcW w:w="563" w:type="pct"/>
                  <w:vAlign w:val="center"/>
                </w:tcPr>
                <w:p w14:paraId="7541EAC6">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St,ad</w:t>
                  </w:r>
                </w:p>
              </w:tc>
              <w:tc>
                <w:tcPr>
                  <w:tcW w:w="599" w:type="pct"/>
                  <w:vAlign w:val="center"/>
                </w:tcPr>
                <w:p w14:paraId="0117D782">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18BED4E1">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0.10</w:t>
                  </w:r>
                </w:p>
              </w:tc>
              <w:tc>
                <w:tcPr>
                  <w:tcW w:w="1150" w:type="pct"/>
                  <w:vAlign w:val="center"/>
                </w:tcPr>
                <w:p w14:paraId="3A089DFE">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GB/T214-2007</w:t>
                  </w:r>
                </w:p>
              </w:tc>
            </w:tr>
            <w:tr w14:paraId="17A2E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55A75F48">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15</w:t>
                  </w:r>
                </w:p>
              </w:tc>
              <w:tc>
                <w:tcPr>
                  <w:tcW w:w="1875" w:type="pct"/>
                  <w:vAlign w:val="center"/>
                </w:tcPr>
                <w:p w14:paraId="220D8528">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干燥基全硫</w:t>
                  </w:r>
                </w:p>
              </w:tc>
              <w:tc>
                <w:tcPr>
                  <w:tcW w:w="563" w:type="pct"/>
                  <w:vAlign w:val="center"/>
                </w:tcPr>
                <w:p w14:paraId="1E3B6F58">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St,d</w:t>
                  </w:r>
                </w:p>
              </w:tc>
              <w:tc>
                <w:tcPr>
                  <w:tcW w:w="599" w:type="pct"/>
                  <w:vAlign w:val="center"/>
                </w:tcPr>
                <w:p w14:paraId="21914E15">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429" w:type="pct"/>
                  <w:vAlign w:val="center"/>
                </w:tcPr>
                <w:p w14:paraId="5835A87F">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0.10</w:t>
                  </w:r>
                </w:p>
              </w:tc>
              <w:tc>
                <w:tcPr>
                  <w:tcW w:w="1150" w:type="pct"/>
                  <w:vAlign w:val="center"/>
                </w:tcPr>
                <w:p w14:paraId="5FE2BD9C">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GB/T214-2007</w:t>
                  </w:r>
                </w:p>
              </w:tc>
            </w:tr>
            <w:tr w14:paraId="160EB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2C230216">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16</w:t>
                  </w:r>
                </w:p>
              </w:tc>
              <w:tc>
                <w:tcPr>
                  <w:tcW w:w="1875" w:type="pct"/>
                  <w:vAlign w:val="center"/>
                </w:tcPr>
                <w:p w14:paraId="2BCACCDD">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空气干燥基高位发热量</w:t>
                  </w:r>
                </w:p>
              </w:tc>
              <w:tc>
                <w:tcPr>
                  <w:tcW w:w="563" w:type="pct"/>
                  <w:vAlign w:val="center"/>
                </w:tcPr>
                <w:p w14:paraId="418D6C47">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Qgr,ad</w:t>
                  </w:r>
                </w:p>
              </w:tc>
              <w:tc>
                <w:tcPr>
                  <w:tcW w:w="599" w:type="pct"/>
                  <w:vAlign w:val="center"/>
                </w:tcPr>
                <w:p w14:paraId="6992AE72">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Kcal/kg</w:t>
                  </w:r>
                </w:p>
              </w:tc>
              <w:tc>
                <w:tcPr>
                  <w:tcW w:w="429" w:type="pct"/>
                  <w:vAlign w:val="center"/>
                </w:tcPr>
                <w:p w14:paraId="7F1D8240">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290</w:t>
                  </w:r>
                </w:p>
              </w:tc>
              <w:tc>
                <w:tcPr>
                  <w:tcW w:w="1150" w:type="pct"/>
                  <w:vAlign w:val="center"/>
                </w:tcPr>
                <w:p w14:paraId="75C4BF52">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GB/T213-2008</w:t>
                  </w:r>
                </w:p>
              </w:tc>
            </w:tr>
            <w:tr w14:paraId="4AA0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55CA18A8">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17</w:t>
                  </w:r>
                </w:p>
              </w:tc>
              <w:tc>
                <w:tcPr>
                  <w:tcW w:w="1875" w:type="pct"/>
                  <w:vAlign w:val="center"/>
                </w:tcPr>
                <w:p w14:paraId="0DE8B06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干燥基高位发热量</w:t>
                  </w:r>
                </w:p>
              </w:tc>
              <w:tc>
                <w:tcPr>
                  <w:tcW w:w="563" w:type="pct"/>
                  <w:vAlign w:val="center"/>
                </w:tcPr>
                <w:p w14:paraId="59343376">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Qgr,d</w:t>
                  </w:r>
                </w:p>
              </w:tc>
              <w:tc>
                <w:tcPr>
                  <w:tcW w:w="599" w:type="pct"/>
                  <w:vAlign w:val="center"/>
                </w:tcPr>
                <w:p w14:paraId="5EF233F2">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Kcal/kg</w:t>
                  </w:r>
                </w:p>
              </w:tc>
              <w:tc>
                <w:tcPr>
                  <w:tcW w:w="429" w:type="pct"/>
                  <w:vAlign w:val="center"/>
                </w:tcPr>
                <w:p w14:paraId="7B828BBD">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295</w:t>
                  </w:r>
                </w:p>
              </w:tc>
              <w:tc>
                <w:tcPr>
                  <w:tcW w:w="1150" w:type="pct"/>
                  <w:vAlign w:val="center"/>
                </w:tcPr>
                <w:p w14:paraId="5FC3AE3D">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GB/T213-2008</w:t>
                  </w:r>
                </w:p>
              </w:tc>
            </w:tr>
            <w:tr w14:paraId="7C813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81" w:type="pct"/>
                  <w:vAlign w:val="center"/>
                </w:tcPr>
                <w:p w14:paraId="27F50F18">
                  <w:pPr>
                    <w:pStyle w:val="144"/>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18</w:t>
                  </w:r>
                </w:p>
              </w:tc>
              <w:tc>
                <w:tcPr>
                  <w:tcW w:w="1875" w:type="pct"/>
                  <w:vAlign w:val="center"/>
                </w:tcPr>
                <w:p w14:paraId="3377BC3C">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收到基低位发热量</w:t>
                  </w:r>
                </w:p>
              </w:tc>
              <w:tc>
                <w:tcPr>
                  <w:tcW w:w="563" w:type="pct"/>
                  <w:vAlign w:val="center"/>
                </w:tcPr>
                <w:p w14:paraId="2A04EE6B">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Qnet,ar</w:t>
                  </w:r>
                </w:p>
              </w:tc>
              <w:tc>
                <w:tcPr>
                  <w:tcW w:w="599" w:type="pct"/>
                  <w:vAlign w:val="center"/>
                </w:tcPr>
                <w:p w14:paraId="2CAF4593">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Kcal/kg</w:t>
                  </w:r>
                </w:p>
              </w:tc>
              <w:tc>
                <w:tcPr>
                  <w:tcW w:w="429" w:type="pct"/>
                  <w:vAlign w:val="center"/>
                </w:tcPr>
                <w:p w14:paraId="2610BE78">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200</w:t>
                  </w:r>
                </w:p>
              </w:tc>
              <w:tc>
                <w:tcPr>
                  <w:tcW w:w="1150" w:type="pct"/>
                  <w:vAlign w:val="center"/>
                </w:tcPr>
                <w:p w14:paraId="24AF8C85">
                  <w:pPr>
                    <w:pStyle w:val="144"/>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GB/T213-2008</w:t>
                  </w:r>
                </w:p>
              </w:tc>
            </w:tr>
          </w:tbl>
          <w:p w14:paraId="11F8E610">
            <w:pPr>
              <w:ind w:firstLine="482"/>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煤矸石综合利用技术政策要点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的通知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国经贸资源〔1999〕1005号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中内容。煤矸石中的碳含量是选择其工业利用方向的依据。按煤矸石中碳的含量多少可分为四类：一类＜4％，二类4～6％，三类6～20%，四类＞20％。四类煤矸石发热量较高（6270－12550千焦／千克），一般宜用作为燃料，三类煤矸石（2090－6270千焦／千克）可用作生产水泥、砖等建材制品，一类、二类煤矸石（2090千焦／千克以下）可作为水泥的混合材、混凝土骨料和其他建材制品的原料，也可用于复垦采煤塌陷区和回填矿井采空区。</w:t>
            </w:r>
          </w:p>
          <w:p w14:paraId="5E499B8D">
            <w:pPr>
              <w:ind w:firstLine="482"/>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本项目用煤矸石收到基低位发热量5573.088 kJ/kg可用作生产水泥、砖等建材制品，洗选后的尾矸收到基低位发热量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836.8kJ/kg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，可作为水泥的混合材、混凝土骨料和其他建材制品的原料。</w:t>
            </w:r>
          </w:p>
          <w:p w14:paraId="38FCF047">
            <w:pPr>
              <w:ind w:firstLine="48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本项目用于烧结砖的煤矸石不进行洗选，可直接作为烧结砖原料。</w:t>
            </w:r>
          </w:p>
          <w:p w14:paraId="7936D6EA">
            <w:pPr>
              <w:pStyle w:val="312"/>
              <w:widowControl w:val="0"/>
              <w:numPr>
                <w:ilvl w:val="0"/>
                <w:numId w:val="14"/>
              </w:numPr>
              <w:spacing w:line="240" w:lineRule="auto"/>
              <w:ind w:left="-2" w:firstLine="482" w:firstLineChars="0"/>
              <w:rPr>
                <w:rFonts w:eastAsiaTheme="minorEastAsia"/>
                <w:b/>
                <w:bCs/>
                <w:color w:val="000000" w:themeColor="text1"/>
                <w:spacing w:val="6"/>
                <w14:textFill>
                  <w14:solidFill>
                    <w14:schemeClr w14:val="tx1"/>
                  </w14:solidFill>
                </w14:textFill>
              </w:rPr>
            </w:pPr>
            <w:r>
              <w:rPr>
                <w:rFonts w:eastAsiaTheme="minorEastAsia"/>
                <w:b/>
                <w:bCs/>
                <w:color w:val="000000" w:themeColor="text1"/>
                <w:spacing w:val="6"/>
                <w14:textFill>
                  <w14:solidFill>
                    <w14:schemeClr w14:val="tx1"/>
                  </w14:solidFill>
                </w14:textFill>
              </w:rPr>
              <w:t xml:space="preserve">            </w:t>
            </w:r>
            <w:r>
              <w:rPr>
                <w:rFonts w:eastAsiaTheme="minorEastAsia"/>
                <w:b/>
                <w:bCs/>
                <w:color w:val="000000" w:themeColor="text1"/>
                <w:spacing w:val="6"/>
                <w14:textFill>
                  <w14:solidFill>
                    <w14:schemeClr w14:val="tx1"/>
                  </w14:solidFill>
                </w14:textFill>
              </w:rPr>
              <w:t xml:space="preserve"> 烧结砖生产线物料平衡一览表</w:t>
            </w:r>
          </w:p>
          <w:tbl>
            <w:tblPr>
              <w:tblStyle w:val="129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8"/>
              <w:gridCol w:w="2026"/>
              <w:gridCol w:w="1574"/>
              <w:gridCol w:w="1999"/>
              <w:gridCol w:w="2038"/>
            </w:tblGrid>
            <w:tr w14:paraId="1E855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94" w:type="pct"/>
                  <w:vMerge w:val="restart"/>
                  <w:tcBorders>
                    <w:bottom w:val="nil"/>
                  </w:tcBorders>
                  <w:vAlign w:val="center"/>
                </w:tcPr>
                <w:p w14:paraId="47DFCB0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序号</w:t>
                  </w:r>
                </w:p>
              </w:tc>
              <w:tc>
                <w:tcPr>
                  <w:tcW w:w="2123" w:type="pct"/>
                  <w:gridSpan w:val="2"/>
                  <w:vAlign w:val="center"/>
                </w:tcPr>
                <w:p w14:paraId="6F7C239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投入</w:t>
                  </w:r>
                </w:p>
              </w:tc>
              <w:tc>
                <w:tcPr>
                  <w:tcW w:w="2381" w:type="pct"/>
                  <w:gridSpan w:val="2"/>
                  <w:vAlign w:val="center"/>
                </w:tcPr>
                <w:p w14:paraId="086ED24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产出</w:t>
                  </w:r>
                </w:p>
              </w:tc>
            </w:tr>
            <w:tr w14:paraId="38FE8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94" w:type="pct"/>
                  <w:vMerge w:val="continue"/>
                  <w:tcBorders>
                    <w:top w:val="nil"/>
                  </w:tcBorders>
                  <w:vAlign w:val="center"/>
                </w:tcPr>
                <w:p w14:paraId="7C4E2710">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1194" w:type="pct"/>
                  <w:vAlign w:val="center"/>
                </w:tcPr>
                <w:p w14:paraId="5D3D7A6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名称</w:t>
                  </w:r>
                </w:p>
              </w:tc>
              <w:tc>
                <w:tcPr>
                  <w:tcW w:w="928" w:type="pct"/>
                  <w:vAlign w:val="center"/>
                </w:tcPr>
                <w:p w14:paraId="1A8CFF4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数量(万 t/a)</w:t>
                  </w:r>
                </w:p>
              </w:tc>
              <w:tc>
                <w:tcPr>
                  <w:tcW w:w="1179" w:type="pct"/>
                  <w:vAlign w:val="center"/>
                </w:tcPr>
                <w:p w14:paraId="2E2951E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名称</w:t>
                  </w:r>
                </w:p>
              </w:tc>
              <w:tc>
                <w:tcPr>
                  <w:tcW w:w="1202" w:type="pct"/>
                  <w:vAlign w:val="center"/>
                </w:tcPr>
                <w:p w14:paraId="0237FD5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数量(万 t/a)</w:t>
                  </w:r>
                </w:p>
              </w:tc>
            </w:tr>
            <w:tr w14:paraId="5A15A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94" w:type="pct"/>
                  <w:vAlign w:val="center"/>
                </w:tcPr>
                <w:p w14:paraId="18900F5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1194" w:type="pct"/>
                  <w:vAlign w:val="center"/>
                </w:tcPr>
                <w:p w14:paraId="69A91CE6">
                  <w:pPr>
                    <w:pStyle w:val="144"/>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煤矸石</w:t>
                  </w:r>
                </w:p>
              </w:tc>
              <w:tc>
                <w:tcPr>
                  <w:tcW w:w="928" w:type="pct"/>
                  <w:shd w:val="clear" w:color="auto" w:fill="auto"/>
                  <w:vAlign w:val="center"/>
                </w:tcPr>
                <w:p w14:paraId="17C68869">
                  <w:pPr>
                    <w:pStyle w:val="144"/>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73.185</w:t>
                  </w:r>
                </w:p>
              </w:tc>
              <w:tc>
                <w:tcPr>
                  <w:tcW w:w="1179" w:type="pct"/>
                  <w:vAlign w:val="center"/>
                </w:tcPr>
                <w:p w14:paraId="366BEA5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烧结砖（产品）</w:t>
                  </w:r>
                </w:p>
              </w:tc>
              <w:tc>
                <w:tcPr>
                  <w:tcW w:w="2047" w:type="dxa"/>
                  <w:vAlign w:val="center"/>
                </w:tcPr>
                <w:p w14:paraId="650A601A">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72</w:t>
                  </w:r>
                </w:p>
              </w:tc>
            </w:tr>
            <w:tr w14:paraId="27CAF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94" w:type="pct"/>
                  <w:vAlign w:val="center"/>
                </w:tcPr>
                <w:p w14:paraId="0B4FFC6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1194" w:type="pct"/>
                  <w:shd w:val="clear" w:color="auto" w:fill="auto"/>
                  <w:vAlign w:val="center"/>
                </w:tcPr>
                <w:p w14:paraId="1692A2C2">
                  <w:pPr>
                    <w:pStyle w:val="144"/>
                    <w:ind w:firstLine="0" w:firstLineChars="0"/>
                    <w:rPr>
                      <w:rFonts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新鲜水</w:t>
                  </w:r>
                </w:p>
              </w:tc>
              <w:tc>
                <w:tcPr>
                  <w:tcW w:w="928" w:type="pct"/>
                  <w:shd w:val="clear" w:color="auto" w:fill="auto"/>
                  <w:vAlign w:val="center"/>
                </w:tcPr>
                <w:p w14:paraId="127AADD1">
                  <w:pPr>
                    <w:pStyle w:val="144"/>
                    <w:ind w:firstLine="0" w:firstLineChars="0"/>
                    <w:rPr>
                      <w:rFonts w:hint="default" w:ascii="Times New Roman" w:hAnsi="Times New Roman" w:cs="Times New Roman" w:eastAsiaTheme="minorEastAsia"/>
                      <w:color w:val="000000" w:themeColor="text1"/>
                      <w:kern w:val="0"/>
                      <w:sz w:val="21"/>
                      <w:szCs w:val="21"/>
                      <w:lang w:val="en-US" w:eastAsia="en-US" w:bidi="ar-SA"/>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6</w:t>
                  </w:r>
                </w:p>
              </w:tc>
              <w:tc>
                <w:tcPr>
                  <w:tcW w:w="1179" w:type="pct"/>
                  <w:vAlign w:val="center"/>
                </w:tcPr>
                <w:p w14:paraId="076AED6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不合格砖</w:t>
                  </w:r>
                </w:p>
              </w:tc>
              <w:tc>
                <w:tcPr>
                  <w:tcW w:w="2047" w:type="dxa"/>
                  <w:vAlign w:val="center"/>
                </w:tcPr>
                <w:p w14:paraId="2C21CD3A">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0.36</w:t>
                  </w:r>
                </w:p>
              </w:tc>
            </w:tr>
            <w:tr w14:paraId="174A1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94" w:type="pct"/>
                  <w:vAlign w:val="center"/>
                </w:tcPr>
                <w:p w14:paraId="2F87B42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2059" w:type="dxa"/>
                  <w:vAlign w:val="center"/>
                </w:tcPr>
                <w:p w14:paraId="04179397">
                  <w:pPr>
                    <w:pStyle w:val="144"/>
                    <w:ind w:firstLine="0" w:firstLineChars="0"/>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599" w:type="dxa"/>
                  <w:vAlign w:val="center"/>
                </w:tcPr>
                <w:p w14:paraId="1785C3A7">
                  <w:pPr>
                    <w:pStyle w:val="144"/>
                    <w:ind w:firstLine="0" w:firstLineChars="0"/>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179" w:type="pct"/>
                  <w:vAlign w:val="center"/>
                </w:tcPr>
                <w:p w14:paraId="01AF8F3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烧失量</w:t>
                  </w:r>
                </w:p>
              </w:tc>
              <w:tc>
                <w:tcPr>
                  <w:tcW w:w="2047" w:type="dxa"/>
                  <w:vAlign w:val="center"/>
                </w:tcPr>
                <w:p w14:paraId="47154D7A">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6.39</w:t>
                  </w:r>
                </w:p>
              </w:tc>
            </w:tr>
            <w:tr w14:paraId="69FC2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94" w:type="pct"/>
                  <w:vAlign w:val="center"/>
                </w:tcPr>
                <w:p w14:paraId="0FBEEB0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1194" w:type="pct"/>
                  <w:vAlign w:val="center"/>
                </w:tcPr>
                <w:p w14:paraId="2A4C499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928" w:type="pct"/>
                  <w:vAlign w:val="center"/>
                </w:tcPr>
                <w:p w14:paraId="4BB0B12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179" w:type="pct"/>
                  <w:vAlign w:val="center"/>
                </w:tcPr>
                <w:p w14:paraId="5487EF1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蒸发损失</w:t>
                  </w:r>
                </w:p>
              </w:tc>
              <w:tc>
                <w:tcPr>
                  <w:tcW w:w="2047" w:type="dxa"/>
                  <w:vAlign w:val="center"/>
                </w:tcPr>
                <w:p w14:paraId="7DEC36B8">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0.435</w:t>
                  </w:r>
                </w:p>
              </w:tc>
            </w:tr>
            <w:tr w14:paraId="55A86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689" w:type="pct"/>
                  <w:gridSpan w:val="2"/>
                  <w:vAlign w:val="center"/>
                </w:tcPr>
                <w:p w14:paraId="09ECD6C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合计</w:t>
                  </w:r>
                </w:p>
              </w:tc>
              <w:tc>
                <w:tcPr>
                  <w:tcW w:w="928" w:type="pct"/>
                  <w:vAlign w:val="center"/>
                </w:tcPr>
                <w:p w14:paraId="5DF9473E">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79.185</w:t>
                  </w:r>
                </w:p>
              </w:tc>
              <w:tc>
                <w:tcPr>
                  <w:tcW w:w="1179" w:type="pct"/>
                  <w:vAlign w:val="center"/>
                </w:tcPr>
                <w:p w14:paraId="3F2F0E6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合计</w:t>
                  </w:r>
                </w:p>
              </w:tc>
              <w:tc>
                <w:tcPr>
                  <w:tcW w:w="2047" w:type="dxa"/>
                  <w:vAlign w:val="center"/>
                </w:tcPr>
                <w:p w14:paraId="0B479EEB">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79.185</w:t>
                  </w:r>
                </w:p>
              </w:tc>
            </w:tr>
          </w:tbl>
          <w:p w14:paraId="0F36443E">
            <w:pPr>
              <w:pStyle w:val="312"/>
              <w:widowControl w:val="0"/>
              <w:numPr>
                <w:ilvl w:val="0"/>
                <w:numId w:val="14"/>
              </w:numPr>
              <w:spacing w:line="240" w:lineRule="auto"/>
              <w:ind w:left="-2" w:firstLine="482" w:firstLineChars="0"/>
              <w:rPr>
                <w:rFonts w:eastAsiaTheme="minorEastAsia"/>
                <w:b/>
                <w:color w:val="000000" w:themeColor="text1"/>
                <w:lang w:val="zh-CN"/>
                <w14:textFill>
                  <w14:solidFill>
                    <w14:schemeClr w14:val="tx1"/>
                  </w14:solidFill>
                </w14:textFill>
              </w:rPr>
            </w:pPr>
            <w:r>
              <w:rPr>
                <w:rFonts w:eastAsiaTheme="minorEastAsia"/>
                <w:b/>
                <w:bCs/>
                <w:color w:val="000000" w:themeColor="text1"/>
                <w:spacing w:val="6"/>
                <w14:textFill>
                  <w14:solidFill>
                    <w14:schemeClr w14:val="tx1"/>
                  </w14:solidFill>
                </w14:textFill>
              </w:rPr>
              <w:t xml:space="preserve">            煤矸石洗选工段物料平衡一览表</w:t>
            </w:r>
          </w:p>
          <w:tbl>
            <w:tblPr>
              <w:tblStyle w:val="129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3"/>
              <w:gridCol w:w="2081"/>
              <w:gridCol w:w="1592"/>
              <w:gridCol w:w="2055"/>
              <w:gridCol w:w="2074"/>
            </w:tblGrid>
            <w:tr w14:paraId="46F1A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97" w:type="pct"/>
                  <w:vMerge w:val="restart"/>
                  <w:tcBorders>
                    <w:bottom w:val="nil"/>
                  </w:tcBorders>
                  <w:vAlign w:val="center"/>
                </w:tcPr>
                <w:p w14:paraId="0A43CCF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序号</w:t>
                  </w:r>
                </w:p>
              </w:tc>
              <w:tc>
                <w:tcPr>
                  <w:tcW w:w="2166" w:type="pct"/>
                  <w:gridSpan w:val="2"/>
                  <w:vAlign w:val="center"/>
                </w:tcPr>
                <w:p w14:paraId="261FAFB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投入</w:t>
                  </w:r>
                </w:p>
              </w:tc>
              <w:tc>
                <w:tcPr>
                  <w:tcW w:w="2435" w:type="pct"/>
                  <w:gridSpan w:val="2"/>
                  <w:vAlign w:val="center"/>
                </w:tcPr>
                <w:p w14:paraId="4AEAB88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产出</w:t>
                  </w:r>
                </w:p>
              </w:tc>
            </w:tr>
            <w:tr w14:paraId="1970C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97" w:type="pct"/>
                  <w:vMerge w:val="continue"/>
                  <w:tcBorders>
                    <w:top w:val="nil"/>
                  </w:tcBorders>
                  <w:vAlign w:val="center"/>
                </w:tcPr>
                <w:p w14:paraId="1E4C83CD">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1227" w:type="pct"/>
                  <w:vAlign w:val="center"/>
                </w:tcPr>
                <w:p w14:paraId="286BA27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名称</w:t>
                  </w:r>
                </w:p>
              </w:tc>
              <w:tc>
                <w:tcPr>
                  <w:tcW w:w="939" w:type="pct"/>
                  <w:vAlign w:val="center"/>
                </w:tcPr>
                <w:p w14:paraId="6D4E3D8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数量(万t/a)</w:t>
                  </w:r>
                </w:p>
              </w:tc>
              <w:tc>
                <w:tcPr>
                  <w:tcW w:w="1212" w:type="pct"/>
                  <w:vAlign w:val="center"/>
                </w:tcPr>
                <w:p w14:paraId="2FA23A4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名称</w:t>
                  </w:r>
                </w:p>
              </w:tc>
              <w:tc>
                <w:tcPr>
                  <w:tcW w:w="1223" w:type="pct"/>
                  <w:vAlign w:val="center"/>
                </w:tcPr>
                <w:p w14:paraId="1A50629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数量(万</w:t>
                  </w:r>
                  <w:r>
                    <w:rPr>
                      <w:rFonts w:hint="eastAsia" w:ascii="Times New Roman" w:hAnsi="Times New Roman" w:eastAsiaTheme="minorEastAsia"/>
                      <w:color w:val="000000" w:themeColor="text1"/>
                      <w:szCs w:val="21"/>
                      <w:lang w:val="en-US" w:eastAsia="zh-CN"/>
                      <w14:textFill>
                        <w14:solidFill>
                          <w14:schemeClr w14:val="tx1"/>
                        </w14:solidFill>
                      </w14:textFill>
                    </w:rPr>
                    <w:t xml:space="preserve"> </w:t>
                  </w:r>
                  <w:r>
                    <w:rPr>
                      <w:rFonts w:ascii="Times New Roman" w:hAnsi="Times New Roman" w:eastAsiaTheme="minorEastAsia"/>
                      <w:color w:val="000000" w:themeColor="text1"/>
                      <w:szCs w:val="21"/>
                      <w:lang w:eastAsia="en-US"/>
                      <w14:textFill>
                        <w14:solidFill>
                          <w14:schemeClr w14:val="tx1"/>
                        </w14:solidFill>
                      </w14:textFill>
                    </w:rPr>
                    <w:t>t/a)</w:t>
                  </w:r>
                </w:p>
              </w:tc>
            </w:tr>
            <w:tr w14:paraId="4881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97" w:type="pct"/>
                  <w:vAlign w:val="center"/>
                </w:tcPr>
                <w:p w14:paraId="5A6465EB">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1227" w:type="pct"/>
                  <w:vAlign w:val="center"/>
                </w:tcPr>
                <w:p w14:paraId="6D365F1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煤矸石</w:t>
                  </w:r>
                </w:p>
              </w:tc>
              <w:tc>
                <w:tcPr>
                  <w:tcW w:w="939" w:type="pct"/>
                  <w:vAlign w:val="center"/>
                </w:tcPr>
                <w:p w14:paraId="6A655A88">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226.815</w:t>
                  </w:r>
                </w:p>
              </w:tc>
              <w:tc>
                <w:tcPr>
                  <w:tcW w:w="1212" w:type="pct"/>
                  <w:vAlign w:val="center"/>
                </w:tcPr>
                <w:p w14:paraId="59E991D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劣质煤</w:t>
                  </w:r>
                </w:p>
              </w:tc>
              <w:tc>
                <w:tcPr>
                  <w:tcW w:w="2074" w:type="dxa"/>
                  <w:vAlign w:val="top"/>
                </w:tcPr>
                <w:p w14:paraId="423864FB">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29.26</w:t>
                  </w:r>
                </w:p>
              </w:tc>
            </w:tr>
            <w:tr w14:paraId="603EA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97" w:type="pct"/>
                  <w:vAlign w:val="center"/>
                </w:tcPr>
                <w:p w14:paraId="0AC8406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1227" w:type="pct"/>
                  <w:vAlign w:val="center"/>
                </w:tcPr>
                <w:p w14:paraId="691A8EC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新鲜补充水</w:t>
                  </w:r>
                </w:p>
              </w:tc>
              <w:tc>
                <w:tcPr>
                  <w:tcW w:w="939" w:type="pct"/>
                  <w:vAlign w:val="center"/>
                </w:tcPr>
                <w:p w14:paraId="07C94425">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22.265</w:t>
                  </w:r>
                </w:p>
              </w:tc>
              <w:tc>
                <w:tcPr>
                  <w:tcW w:w="1212" w:type="pct"/>
                  <w:vAlign w:val="center"/>
                </w:tcPr>
                <w:p w14:paraId="14598F1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尾矸</w:t>
                  </w:r>
                </w:p>
              </w:tc>
              <w:tc>
                <w:tcPr>
                  <w:tcW w:w="2074" w:type="dxa"/>
                  <w:vAlign w:val="top"/>
                </w:tcPr>
                <w:p w14:paraId="46E5BA86">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147.65</w:t>
                  </w:r>
                </w:p>
              </w:tc>
            </w:tr>
            <w:tr w14:paraId="79D38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97" w:type="pct"/>
                  <w:vAlign w:val="center"/>
                </w:tcPr>
                <w:p w14:paraId="3766013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1227" w:type="pct"/>
                  <w:vAlign w:val="center"/>
                </w:tcPr>
                <w:p w14:paraId="297B9A5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939" w:type="pct"/>
                  <w:vAlign w:val="center"/>
                </w:tcPr>
                <w:p w14:paraId="1A00BBC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212" w:type="pct"/>
                  <w:vAlign w:val="center"/>
                </w:tcPr>
                <w:p w14:paraId="445EB54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尾泥</w:t>
                  </w:r>
                </w:p>
              </w:tc>
              <w:tc>
                <w:tcPr>
                  <w:tcW w:w="2074" w:type="dxa"/>
                  <w:vAlign w:val="top"/>
                </w:tcPr>
                <w:p w14:paraId="120128B3">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71.45</w:t>
                  </w:r>
                </w:p>
              </w:tc>
            </w:tr>
            <w:tr w14:paraId="19131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97" w:type="pct"/>
                  <w:vAlign w:val="center"/>
                </w:tcPr>
                <w:p w14:paraId="4D76B3B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1227" w:type="pct"/>
                  <w:vAlign w:val="center"/>
                </w:tcPr>
                <w:p w14:paraId="3211173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939" w:type="pct"/>
                  <w:vAlign w:val="center"/>
                </w:tcPr>
                <w:p w14:paraId="16D52A3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212" w:type="pct"/>
                  <w:vAlign w:val="center"/>
                </w:tcPr>
                <w:p w14:paraId="36FBE46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损耗</w:t>
                  </w:r>
                </w:p>
              </w:tc>
              <w:tc>
                <w:tcPr>
                  <w:tcW w:w="2074" w:type="dxa"/>
                  <w:vAlign w:val="top"/>
                </w:tcPr>
                <w:p w14:paraId="4189AC10">
                  <w:pPr>
                    <w:pStyle w:val="144"/>
                    <w:rPr>
                      <w:rFonts w:hint="eastAsia" w:ascii="Times New Roman" w:hAnsi="Times New Roman" w:eastAsiaTheme="minorEastAsia"/>
                      <w:color w:val="000000" w:themeColor="text1"/>
                      <w:szCs w:val="21"/>
                      <w:lang w:val="en-US" w:eastAsia="zh-CN"/>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0.72</w:t>
                  </w:r>
                </w:p>
              </w:tc>
            </w:tr>
            <w:tr w14:paraId="46A97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97" w:type="pct"/>
                  <w:tcBorders>
                    <w:right w:val="nil"/>
                  </w:tcBorders>
                  <w:vAlign w:val="center"/>
                </w:tcPr>
                <w:p w14:paraId="5DA50BA2">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1227" w:type="pct"/>
                  <w:tcBorders>
                    <w:left w:val="nil"/>
                  </w:tcBorders>
                  <w:vAlign w:val="center"/>
                </w:tcPr>
                <w:p w14:paraId="6C976C4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合计</w:t>
                  </w:r>
                </w:p>
              </w:tc>
              <w:tc>
                <w:tcPr>
                  <w:tcW w:w="939" w:type="pct"/>
                  <w:vAlign w:val="center"/>
                </w:tcPr>
                <w:p w14:paraId="7771832D">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249.08</w:t>
                  </w:r>
                </w:p>
              </w:tc>
              <w:tc>
                <w:tcPr>
                  <w:tcW w:w="1212" w:type="pct"/>
                  <w:vAlign w:val="center"/>
                </w:tcPr>
                <w:p w14:paraId="0519432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合计</w:t>
                  </w:r>
                </w:p>
              </w:tc>
              <w:tc>
                <w:tcPr>
                  <w:tcW w:w="2074" w:type="dxa"/>
                  <w:vAlign w:val="top"/>
                </w:tcPr>
                <w:p w14:paraId="724499AF">
                  <w:pPr>
                    <w:pStyle w:val="144"/>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249.08</w:t>
                  </w:r>
                </w:p>
              </w:tc>
            </w:tr>
          </w:tbl>
          <w:p w14:paraId="3829445D">
            <w:pPr>
              <w:pStyle w:val="312"/>
              <w:widowControl w:val="0"/>
              <w:numPr>
                <w:ilvl w:val="0"/>
                <w:numId w:val="14"/>
              </w:numPr>
              <w:spacing w:line="240" w:lineRule="auto"/>
              <w:ind w:left="-2" w:firstLine="482" w:firstLineChars="0"/>
              <w:rPr>
                <w:rFonts w:eastAsiaTheme="minorEastAsia"/>
                <w:b/>
                <w:color w:val="000000" w:themeColor="text1"/>
                <w:lang w:val="zh-CN"/>
                <w14:textFill>
                  <w14:solidFill>
                    <w14:schemeClr w14:val="tx1"/>
                  </w14:solidFill>
                </w14:textFill>
              </w:rPr>
            </w:pPr>
            <w:r>
              <w:rPr>
                <w:rFonts w:eastAsiaTheme="minorEastAsia"/>
                <w:b/>
                <w:color w:val="000000" w:themeColor="text1"/>
                <w14:textFill>
                  <w14:solidFill>
                    <w14:schemeClr w14:val="tx1"/>
                  </w14:solidFill>
                </w14:textFill>
              </w:rPr>
              <w:t xml:space="preserve">             免烧砖生产线物料平衡一览表</w:t>
            </w:r>
          </w:p>
          <w:tbl>
            <w:tblPr>
              <w:tblStyle w:val="1297"/>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77"/>
              <w:gridCol w:w="971"/>
              <w:gridCol w:w="1029"/>
              <w:gridCol w:w="973"/>
              <w:gridCol w:w="1673"/>
              <w:gridCol w:w="2750"/>
            </w:tblGrid>
            <w:tr w14:paraId="2FEA6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36" w:type="pct"/>
                  <w:tcBorders>
                    <w:tl2br w:val="nil"/>
                    <w:tr2bl w:val="nil"/>
                  </w:tcBorders>
                  <w:vAlign w:val="center"/>
                </w:tcPr>
                <w:p w14:paraId="22306F64">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序号</w:t>
                  </w:r>
                </w:p>
              </w:tc>
              <w:tc>
                <w:tcPr>
                  <w:tcW w:w="572" w:type="pct"/>
                  <w:tcBorders>
                    <w:tl2br w:val="nil"/>
                    <w:tr2bl w:val="nil"/>
                  </w:tcBorders>
                  <w:vAlign w:val="center"/>
                </w:tcPr>
                <w:p w14:paraId="372E0D5F">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名称</w:t>
                  </w:r>
                </w:p>
              </w:tc>
              <w:tc>
                <w:tcPr>
                  <w:tcW w:w="607" w:type="pct"/>
                  <w:tcBorders>
                    <w:tl2br w:val="nil"/>
                    <w:tr2bl w:val="nil"/>
                  </w:tcBorders>
                  <w:vAlign w:val="center"/>
                </w:tcPr>
                <w:p w14:paraId="7CC3B845">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年消耗量（t）</w:t>
                  </w:r>
                </w:p>
              </w:tc>
              <w:tc>
                <w:tcPr>
                  <w:tcW w:w="574" w:type="pct"/>
                  <w:tcBorders>
                    <w:tl2br w:val="nil"/>
                    <w:tr2bl w:val="nil"/>
                  </w:tcBorders>
                  <w:vAlign w:val="center"/>
                </w:tcPr>
                <w:p w14:paraId="7B812932">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占比（%）</w:t>
                  </w:r>
                </w:p>
              </w:tc>
              <w:tc>
                <w:tcPr>
                  <w:tcW w:w="987" w:type="pct"/>
                  <w:tcBorders>
                    <w:tl2br w:val="nil"/>
                    <w:tr2bl w:val="nil"/>
                  </w:tcBorders>
                  <w:vAlign w:val="center"/>
                </w:tcPr>
                <w:p w14:paraId="2516665E">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储存方式</w:t>
                  </w:r>
                </w:p>
              </w:tc>
              <w:tc>
                <w:tcPr>
                  <w:tcW w:w="1621" w:type="pct"/>
                  <w:tcBorders>
                    <w:tl2br w:val="nil"/>
                    <w:tr2bl w:val="nil"/>
                  </w:tcBorders>
                  <w:vAlign w:val="center"/>
                </w:tcPr>
                <w:p w14:paraId="6761D9B8">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备注</w:t>
                  </w:r>
                </w:p>
              </w:tc>
            </w:tr>
            <w:tr w14:paraId="60C43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000" w:type="pct"/>
                  <w:gridSpan w:val="6"/>
                  <w:tcBorders>
                    <w:tl2br w:val="nil"/>
                    <w:tr2bl w:val="nil"/>
                  </w:tcBorders>
                  <w:vAlign w:val="center"/>
                </w:tcPr>
                <w:p w14:paraId="4DEB8E70">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标砖</w:t>
                  </w:r>
                </w:p>
              </w:tc>
            </w:tr>
            <w:tr w14:paraId="540F5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6" w:type="pct"/>
                  <w:tcBorders>
                    <w:tl2br w:val="nil"/>
                    <w:tr2bl w:val="nil"/>
                  </w:tcBorders>
                  <w:vAlign w:val="center"/>
                </w:tcPr>
                <w:p w14:paraId="628E46A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572" w:type="pct"/>
                  <w:tcBorders>
                    <w:tl2br w:val="nil"/>
                    <w:tr2bl w:val="nil"/>
                  </w:tcBorders>
                  <w:vAlign w:val="center"/>
                </w:tcPr>
                <w:p w14:paraId="07396584">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水泥</w:t>
                  </w:r>
                </w:p>
              </w:tc>
              <w:tc>
                <w:tcPr>
                  <w:tcW w:w="607" w:type="pct"/>
                  <w:tcBorders>
                    <w:tl2br w:val="nil"/>
                    <w:tr2bl w:val="nil"/>
                  </w:tcBorders>
                  <w:vAlign w:val="center"/>
                </w:tcPr>
                <w:p w14:paraId="3FF81B32">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3575.2</w:t>
                  </w:r>
                </w:p>
              </w:tc>
              <w:tc>
                <w:tcPr>
                  <w:tcW w:w="574" w:type="pct"/>
                  <w:tcBorders>
                    <w:tl2br w:val="nil"/>
                    <w:tr2bl w:val="nil"/>
                  </w:tcBorders>
                  <w:vAlign w:val="center"/>
                </w:tcPr>
                <w:p w14:paraId="2C382761">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8.85</w:t>
                  </w:r>
                </w:p>
              </w:tc>
              <w:tc>
                <w:tcPr>
                  <w:tcW w:w="987" w:type="pct"/>
                  <w:tcBorders>
                    <w:tl2br w:val="nil"/>
                    <w:tr2bl w:val="nil"/>
                  </w:tcBorders>
                  <w:vAlign w:val="center"/>
                </w:tcPr>
                <w:p w14:paraId="014B8265">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水泥筒仓内</w:t>
                  </w:r>
                </w:p>
              </w:tc>
              <w:tc>
                <w:tcPr>
                  <w:tcW w:w="1621" w:type="pct"/>
                  <w:tcBorders>
                    <w:tl2br w:val="nil"/>
                    <w:tr2bl w:val="nil"/>
                  </w:tcBorders>
                  <w:vAlign w:val="center"/>
                </w:tcPr>
                <w:p w14:paraId="48D5FB1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5C3DA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6" w:type="pct"/>
                  <w:tcBorders>
                    <w:tl2br w:val="nil"/>
                    <w:tr2bl w:val="nil"/>
                  </w:tcBorders>
                  <w:vAlign w:val="center"/>
                </w:tcPr>
                <w:p w14:paraId="6BA1CDD2">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572" w:type="pct"/>
                  <w:tcBorders>
                    <w:tl2br w:val="nil"/>
                    <w:tr2bl w:val="nil"/>
                  </w:tcBorders>
                  <w:vAlign w:val="center"/>
                </w:tcPr>
                <w:p w14:paraId="3961E7AD">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砂子</w:t>
                  </w:r>
                </w:p>
              </w:tc>
              <w:tc>
                <w:tcPr>
                  <w:tcW w:w="607" w:type="pct"/>
                  <w:tcBorders>
                    <w:tl2br w:val="nil"/>
                    <w:tr2bl w:val="nil"/>
                  </w:tcBorders>
                  <w:vAlign w:val="center"/>
                </w:tcPr>
                <w:p w14:paraId="7C01B162">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7131.7</w:t>
                  </w:r>
                </w:p>
              </w:tc>
              <w:tc>
                <w:tcPr>
                  <w:tcW w:w="574" w:type="pct"/>
                  <w:tcBorders>
                    <w:tl2br w:val="nil"/>
                    <w:tr2bl w:val="nil"/>
                  </w:tcBorders>
                  <w:vAlign w:val="center"/>
                </w:tcPr>
                <w:p w14:paraId="67FEFF20">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17.65</w:t>
                  </w:r>
                </w:p>
              </w:tc>
              <w:tc>
                <w:tcPr>
                  <w:tcW w:w="987" w:type="pct"/>
                  <w:tcBorders>
                    <w:tl2br w:val="nil"/>
                    <w:tr2bl w:val="nil"/>
                  </w:tcBorders>
                  <w:vAlign w:val="center"/>
                </w:tcPr>
                <w:p w14:paraId="3C8E58A6">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原料棚内</w:t>
                  </w:r>
                </w:p>
              </w:tc>
              <w:tc>
                <w:tcPr>
                  <w:tcW w:w="1621" w:type="pct"/>
                  <w:tcBorders>
                    <w:tl2br w:val="nil"/>
                    <w:tr2bl w:val="nil"/>
                  </w:tcBorders>
                  <w:vAlign w:val="center"/>
                </w:tcPr>
                <w:p w14:paraId="3BEBB2F8">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5FB64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6" w:type="pct"/>
                  <w:tcBorders>
                    <w:tl2br w:val="nil"/>
                    <w:tr2bl w:val="nil"/>
                  </w:tcBorders>
                  <w:vAlign w:val="center"/>
                </w:tcPr>
                <w:p w14:paraId="440A49B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572" w:type="pct"/>
                  <w:tcBorders>
                    <w:tl2br w:val="nil"/>
                    <w:tr2bl w:val="nil"/>
                  </w:tcBorders>
                  <w:vAlign w:val="center"/>
                </w:tcPr>
                <w:p w14:paraId="59BB108D">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尾泥</w:t>
                  </w:r>
                </w:p>
              </w:tc>
              <w:tc>
                <w:tcPr>
                  <w:tcW w:w="607" w:type="pct"/>
                  <w:tcBorders>
                    <w:tl2br w:val="nil"/>
                    <w:tr2bl w:val="nil"/>
                  </w:tcBorders>
                  <w:shd w:val="clear" w:color="auto" w:fill="auto"/>
                  <w:vAlign w:val="center"/>
                </w:tcPr>
                <w:p w14:paraId="7876E2F6">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25160.8</w:t>
                  </w:r>
                </w:p>
              </w:tc>
              <w:tc>
                <w:tcPr>
                  <w:tcW w:w="574" w:type="pct"/>
                  <w:tcBorders>
                    <w:tl2br w:val="nil"/>
                    <w:tr2bl w:val="nil"/>
                  </w:tcBorders>
                  <w:vAlign w:val="center"/>
                </w:tcPr>
                <w:p w14:paraId="03EDED3C">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26.19</w:t>
                  </w:r>
                </w:p>
              </w:tc>
              <w:tc>
                <w:tcPr>
                  <w:tcW w:w="987" w:type="pct"/>
                  <w:tcBorders>
                    <w:tl2br w:val="nil"/>
                    <w:tr2bl w:val="nil"/>
                  </w:tcBorders>
                  <w:vAlign w:val="center"/>
                </w:tcPr>
                <w:p w14:paraId="59B2BFA2">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尾泥棚内</w:t>
                  </w:r>
                </w:p>
              </w:tc>
              <w:tc>
                <w:tcPr>
                  <w:tcW w:w="1621" w:type="pct"/>
                  <w:tcBorders>
                    <w:tl2br w:val="nil"/>
                    <w:tr2bl w:val="nil"/>
                  </w:tcBorders>
                  <w:vAlign w:val="center"/>
                </w:tcPr>
                <w:p w14:paraId="396E837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洗煤工段</w:t>
                  </w:r>
                </w:p>
              </w:tc>
            </w:tr>
            <w:tr w14:paraId="40BC1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700F622C">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572" w:type="pct"/>
                  <w:tcBorders>
                    <w:tl2br w:val="nil"/>
                    <w:tr2bl w:val="nil"/>
                  </w:tcBorders>
                  <w:vAlign w:val="center"/>
                </w:tcPr>
                <w:p w14:paraId="19362574">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尾矸</w:t>
                  </w:r>
                </w:p>
              </w:tc>
              <w:tc>
                <w:tcPr>
                  <w:tcW w:w="607" w:type="pct"/>
                  <w:tcBorders>
                    <w:tl2br w:val="nil"/>
                    <w:tr2bl w:val="nil"/>
                  </w:tcBorders>
                  <w:vAlign w:val="center"/>
                </w:tcPr>
                <w:p w14:paraId="4D47832B">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18926.3</w:t>
                  </w:r>
                </w:p>
              </w:tc>
              <w:tc>
                <w:tcPr>
                  <w:tcW w:w="574" w:type="pct"/>
                  <w:tcBorders>
                    <w:tl2br w:val="nil"/>
                    <w:tr2bl w:val="nil"/>
                  </w:tcBorders>
                  <w:vAlign w:val="center"/>
                </w:tcPr>
                <w:p w14:paraId="4B7FF305">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46.83</w:t>
                  </w:r>
                </w:p>
              </w:tc>
              <w:tc>
                <w:tcPr>
                  <w:tcW w:w="987" w:type="pct"/>
                  <w:tcBorders>
                    <w:tl2br w:val="nil"/>
                    <w:tr2bl w:val="nil"/>
                  </w:tcBorders>
                  <w:vAlign w:val="center"/>
                </w:tcPr>
                <w:p w14:paraId="069ADDF6">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尾矸棚内</w:t>
                  </w:r>
                </w:p>
              </w:tc>
              <w:tc>
                <w:tcPr>
                  <w:tcW w:w="1621" w:type="pct"/>
                  <w:tcBorders>
                    <w:tl2br w:val="nil"/>
                    <w:tr2bl w:val="nil"/>
                  </w:tcBorders>
                  <w:vAlign w:val="center"/>
                </w:tcPr>
                <w:p w14:paraId="7E41E35B">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洗煤工段</w:t>
                  </w:r>
                </w:p>
              </w:tc>
            </w:tr>
            <w:tr w14:paraId="5A88A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36" w:type="pct"/>
                  <w:tcBorders>
                    <w:tl2br w:val="nil"/>
                    <w:tr2bl w:val="nil"/>
                  </w:tcBorders>
                  <w:vAlign w:val="center"/>
                </w:tcPr>
                <w:p w14:paraId="0A7397A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5</w:t>
                  </w:r>
                </w:p>
              </w:tc>
              <w:tc>
                <w:tcPr>
                  <w:tcW w:w="572" w:type="pct"/>
                  <w:tcBorders>
                    <w:tl2br w:val="nil"/>
                    <w:tr2bl w:val="nil"/>
                  </w:tcBorders>
                  <w:vAlign w:val="center"/>
                </w:tcPr>
                <w:p w14:paraId="0F8DE672">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水</w:t>
                  </w:r>
                </w:p>
              </w:tc>
              <w:tc>
                <w:tcPr>
                  <w:tcW w:w="607" w:type="pct"/>
                  <w:tcBorders>
                    <w:tl2br w:val="nil"/>
                    <w:tr2bl w:val="nil"/>
                  </w:tcBorders>
                  <w:vAlign w:val="center"/>
                </w:tcPr>
                <w:p w14:paraId="51CE51CB">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183.5</w:t>
                  </w:r>
                </w:p>
              </w:tc>
              <w:tc>
                <w:tcPr>
                  <w:tcW w:w="574" w:type="pct"/>
                  <w:tcBorders>
                    <w:tl2br w:val="nil"/>
                    <w:tr2bl w:val="nil"/>
                  </w:tcBorders>
                  <w:vAlign w:val="center"/>
                </w:tcPr>
                <w:p w14:paraId="7324C34B">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0.45</w:t>
                  </w:r>
                </w:p>
              </w:tc>
              <w:tc>
                <w:tcPr>
                  <w:tcW w:w="987" w:type="pct"/>
                  <w:tcBorders>
                    <w:tl2br w:val="nil"/>
                    <w:tr2bl w:val="nil"/>
                  </w:tcBorders>
                  <w:vAlign w:val="center"/>
                </w:tcPr>
                <w:p w14:paraId="6464F953">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621" w:type="pct"/>
                  <w:tcBorders>
                    <w:tl2br w:val="nil"/>
                    <w:tr2bl w:val="nil"/>
                  </w:tcBorders>
                  <w:vAlign w:val="center"/>
                </w:tcPr>
                <w:p w14:paraId="10BDC058">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来自金鸡滩镇煤矿疏干水</w:t>
                  </w:r>
                </w:p>
              </w:tc>
            </w:tr>
            <w:tr w14:paraId="70A8A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47467A56">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w:t>
                  </w:r>
                </w:p>
              </w:tc>
              <w:tc>
                <w:tcPr>
                  <w:tcW w:w="572" w:type="pct"/>
                  <w:tcBorders>
                    <w:tl2br w:val="nil"/>
                    <w:tr2bl w:val="nil"/>
                  </w:tcBorders>
                  <w:vAlign w:val="center"/>
                </w:tcPr>
                <w:p w14:paraId="75D00A35">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固化剂</w:t>
                  </w:r>
                </w:p>
              </w:tc>
              <w:tc>
                <w:tcPr>
                  <w:tcW w:w="607" w:type="pct"/>
                  <w:tcBorders>
                    <w:tl2br w:val="nil"/>
                    <w:tr2bl w:val="nil"/>
                  </w:tcBorders>
                  <w:vAlign w:val="center"/>
                </w:tcPr>
                <w:p w14:paraId="492492B5">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12.3</w:t>
                  </w:r>
                </w:p>
              </w:tc>
              <w:tc>
                <w:tcPr>
                  <w:tcW w:w="574" w:type="pct"/>
                  <w:tcBorders>
                    <w:tl2br w:val="nil"/>
                    <w:tr2bl w:val="nil"/>
                  </w:tcBorders>
                  <w:vAlign w:val="center"/>
                </w:tcPr>
                <w:p w14:paraId="1B1D028C">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0.03</w:t>
                  </w:r>
                </w:p>
              </w:tc>
              <w:tc>
                <w:tcPr>
                  <w:tcW w:w="987" w:type="pct"/>
                  <w:tcBorders>
                    <w:tl2br w:val="nil"/>
                    <w:tr2bl w:val="nil"/>
                  </w:tcBorders>
                  <w:vAlign w:val="center"/>
                </w:tcPr>
                <w:p w14:paraId="42F771B4">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原料棚内</w:t>
                  </w:r>
                </w:p>
              </w:tc>
              <w:tc>
                <w:tcPr>
                  <w:tcW w:w="1621" w:type="pct"/>
                  <w:tcBorders>
                    <w:tl2br w:val="nil"/>
                    <w:tr2bl w:val="nil"/>
                  </w:tcBorders>
                  <w:vAlign w:val="center"/>
                </w:tcPr>
                <w:p w14:paraId="29D1CCC0">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678EF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9" w:type="pct"/>
                  <w:gridSpan w:val="2"/>
                  <w:tcBorders>
                    <w:tl2br w:val="nil"/>
                    <w:tr2bl w:val="nil"/>
                  </w:tcBorders>
                  <w:vAlign w:val="center"/>
                </w:tcPr>
                <w:p w14:paraId="11AA9EA1">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合计</w:t>
                  </w:r>
                </w:p>
              </w:tc>
              <w:tc>
                <w:tcPr>
                  <w:tcW w:w="607" w:type="pct"/>
                  <w:tcBorders>
                    <w:tl2br w:val="nil"/>
                    <w:tr2bl w:val="nil"/>
                  </w:tcBorders>
                  <w:shd w:val="clear" w:color="auto" w:fill="auto"/>
                  <w:vAlign w:val="center"/>
                </w:tcPr>
                <w:p w14:paraId="5994401B">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54989.8</w:t>
                  </w:r>
                </w:p>
              </w:tc>
              <w:tc>
                <w:tcPr>
                  <w:tcW w:w="574" w:type="pct"/>
                  <w:tcBorders>
                    <w:tl2br w:val="nil"/>
                    <w:tr2bl w:val="nil"/>
                  </w:tcBorders>
                  <w:vAlign w:val="center"/>
                </w:tcPr>
                <w:p w14:paraId="276C3FCD">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1</w:t>
                  </w:r>
                </w:p>
              </w:tc>
              <w:tc>
                <w:tcPr>
                  <w:tcW w:w="987" w:type="pct"/>
                  <w:tcBorders>
                    <w:tl2br w:val="nil"/>
                    <w:tr2bl w:val="nil"/>
                  </w:tcBorders>
                  <w:vAlign w:val="center"/>
                </w:tcPr>
                <w:p w14:paraId="7ED855D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621" w:type="pct"/>
                  <w:tcBorders>
                    <w:tl2br w:val="nil"/>
                    <w:tr2bl w:val="nil"/>
                  </w:tcBorders>
                  <w:vAlign w:val="center"/>
                </w:tcPr>
                <w:p w14:paraId="4C62060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r>
            <w:tr w14:paraId="14EAC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000" w:type="pct"/>
                  <w:gridSpan w:val="6"/>
                  <w:tcBorders>
                    <w:tl2br w:val="nil"/>
                    <w:tr2bl w:val="nil"/>
                  </w:tcBorders>
                  <w:vAlign w:val="center"/>
                </w:tcPr>
                <w:p w14:paraId="73D030B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路缘砖</w:t>
                  </w:r>
                </w:p>
              </w:tc>
            </w:tr>
            <w:tr w14:paraId="370DA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0D1A2BD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572" w:type="pct"/>
                  <w:tcBorders>
                    <w:tl2br w:val="nil"/>
                    <w:tr2bl w:val="nil"/>
                  </w:tcBorders>
                  <w:vAlign w:val="center"/>
                </w:tcPr>
                <w:p w14:paraId="4010CACC">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水泥</w:t>
                  </w:r>
                </w:p>
              </w:tc>
              <w:tc>
                <w:tcPr>
                  <w:tcW w:w="607" w:type="pct"/>
                  <w:tcBorders>
                    <w:tl2br w:val="nil"/>
                    <w:tr2bl w:val="nil"/>
                  </w:tcBorders>
                  <w:vAlign w:val="center"/>
                </w:tcPr>
                <w:p w14:paraId="5F40B8F8">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26071.6</w:t>
                  </w:r>
                </w:p>
              </w:tc>
              <w:tc>
                <w:tcPr>
                  <w:tcW w:w="574" w:type="pct"/>
                  <w:tcBorders>
                    <w:tl2br w:val="nil"/>
                    <w:tr2bl w:val="nil"/>
                  </w:tcBorders>
                  <w:vAlign w:val="center"/>
                </w:tcPr>
                <w:p w14:paraId="5104D929">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9.77</w:t>
                  </w:r>
                </w:p>
              </w:tc>
              <w:tc>
                <w:tcPr>
                  <w:tcW w:w="987" w:type="pct"/>
                  <w:tcBorders>
                    <w:tl2br w:val="nil"/>
                    <w:tr2bl w:val="nil"/>
                  </w:tcBorders>
                  <w:vAlign w:val="center"/>
                </w:tcPr>
                <w:p w14:paraId="420BD648">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水泥筒仓内</w:t>
                  </w:r>
                </w:p>
              </w:tc>
              <w:tc>
                <w:tcPr>
                  <w:tcW w:w="1621" w:type="pct"/>
                  <w:tcBorders>
                    <w:tl2br w:val="nil"/>
                    <w:tr2bl w:val="nil"/>
                  </w:tcBorders>
                  <w:vAlign w:val="center"/>
                </w:tcPr>
                <w:p w14:paraId="5B286092">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6727E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21E9E52B">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572" w:type="pct"/>
                  <w:tcBorders>
                    <w:tl2br w:val="nil"/>
                    <w:tr2bl w:val="nil"/>
                  </w:tcBorders>
                  <w:vAlign w:val="center"/>
                </w:tcPr>
                <w:p w14:paraId="250969BB">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砂子</w:t>
                  </w:r>
                </w:p>
              </w:tc>
              <w:tc>
                <w:tcPr>
                  <w:tcW w:w="607" w:type="pct"/>
                  <w:tcBorders>
                    <w:tl2br w:val="nil"/>
                    <w:tr2bl w:val="nil"/>
                  </w:tcBorders>
                  <w:vAlign w:val="center"/>
                </w:tcPr>
                <w:p w14:paraId="7529ECDE">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50279.6</w:t>
                  </w:r>
                </w:p>
              </w:tc>
              <w:tc>
                <w:tcPr>
                  <w:tcW w:w="574" w:type="pct"/>
                  <w:tcBorders>
                    <w:tl2br w:val="nil"/>
                    <w:tr2bl w:val="nil"/>
                  </w:tcBorders>
                  <w:vAlign w:val="center"/>
                </w:tcPr>
                <w:p w14:paraId="6470FADB">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18.84</w:t>
                  </w:r>
                </w:p>
              </w:tc>
              <w:tc>
                <w:tcPr>
                  <w:tcW w:w="987" w:type="pct"/>
                  <w:tcBorders>
                    <w:tl2br w:val="nil"/>
                    <w:tr2bl w:val="nil"/>
                  </w:tcBorders>
                  <w:vAlign w:val="center"/>
                </w:tcPr>
                <w:p w14:paraId="5D548749">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原料棚内</w:t>
                  </w:r>
                </w:p>
              </w:tc>
              <w:tc>
                <w:tcPr>
                  <w:tcW w:w="1621" w:type="pct"/>
                  <w:tcBorders>
                    <w:tl2br w:val="nil"/>
                    <w:tr2bl w:val="nil"/>
                  </w:tcBorders>
                  <w:vAlign w:val="center"/>
                </w:tcPr>
                <w:p w14:paraId="0ED6F2A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7F70D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0136B95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572" w:type="pct"/>
                  <w:tcBorders>
                    <w:tl2br w:val="nil"/>
                    <w:tr2bl w:val="nil"/>
                  </w:tcBorders>
                  <w:vAlign w:val="center"/>
                </w:tcPr>
                <w:p w14:paraId="2B71C5AE">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尾泥</w:t>
                  </w:r>
                </w:p>
              </w:tc>
              <w:tc>
                <w:tcPr>
                  <w:tcW w:w="607" w:type="pct"/>
                  <w:tcBorders>
                    <w:tl2br w:val="nil"/>
                    <w:tr2bl w:val="nil"/>
                  </w:tcBorders>
                  <w:shd w:val="clear" w:color="auto" w:fill="auto"/>
                  <w:vAlign w:val="center"/>
                </w:tcPr>
                <w:p w14:paraId="46B97416">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156939.5</w:t>
                  </w:r>
                </w:p>
              </w:tc>
              <w:tc>
                <w:tcPr>
                  <w:tcW w:w="574" w:type="pct"/>
                  <w:tcBorders>
                    <w:tl2br w:val="nil"/>
                    <w:tr2bl w:val="nil"/>
                  </w:tcBorders>
                  <w:vAlign w:val="center"/>
                </w:tcPr>
                <w:p w14:paraId="53A74718">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24.75</w:t>
                  </w:r>
                </w:p>
              </w:tc>
              <w:tc>
                <w:tcPr>
                  <w:tcW w:w="987" w:type="pct"/>
                  <w:tcBorders>
                    <w:tl2br w:val="nil"/>
                    <w:tr2bl w:val="nil"/>
                  </w:tcBorders>
                  <w:vAlign w:val="center"/>
                </w:tcPr>
                <w:p w14:paraId="535F56CF">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尾泥棚内</w:t>
                  </w:r>
                </w:p>
              </w:tc>
              <w:tc>
                <w:tcPr>
                  <w:tcW w:w="1621" w:type="pct"/>
                  <w:tcBorders>
                    <w:tl2br w:val="nil"/>
                    <w:tr2bl w:val="nil"/>
                  </w:tcBorders>
                  <w:vAlign w:val="center"/>
                </w:tcPr>
                <w:p w14:paraId="0B921D0B">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洗煤工段</w:t>
                  </w:r>
                </w:p>
              </w:tc>
            </w:tr>
            <w:tr w14:paraId="02962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2773BBB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572" w:type="pct"/>
                  <w:tcBorders>
                    <w:tl2br w:val="nil"/>
                    <w:tr2bl w:val="nil"/>
                  </w:tcBorders>
                  <w:vAlign w:val="center"/>
                </w:tcPr>
                <w:p w14:paraId="1DF59CDF">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煤矸石</w:t>
                  </w:r>
                </w:p>
              </w:tc>
              <w:tc>
                <w:tcPr>
                  <w:tcW w:w="607" w:type="pct"/>
                  <w:tcBorders>
                    <w:tl2br w:val="nil"/>
                    <w:tr2bl w:val="nil"/>
                  </w:tcBorders>
                  <w:vAlign w:val="center"/>
                </w:tcPr>
                <w:p w14:paraId="728FE9BB">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122486.7</w:t>
                  </w:r>
                </w:p>
              </w:tc>
              <w:tc>
                <w:tcPr>
                  <w:tcW w:w="574" w:type="pct"/>
                  <w:tcBorders>
                    <w:tl2br w:val="nil"/>
                    <w:tr2bl w:val="nil"/>
                  </w:tcBorders>
                  <w:vAlign w:val="center"/>
                </w:tcPr>
                <w:p w14:paraId="16069928">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45.90</w:t>
                  </w:r>
                </w:p>
              </w:tc>
              <w:tc>
                <w:tcPr>
                  <w:tcW w:w="987" w:type="pct"/>
                  <w:tcBorders>
                    <w:tl2br w:val="nil"/>
                    <w:tr2bl w:val="nil"/>
                  </w:tcBorders>
                  <w:vAlign w:val="center"/>
                </w:tcPr>
                <w:p w14:paraId="162E4E81">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尾矸棚内</w:t>
                  </w:r>
                </w:p>
              </w:tc>
              <w:tc>
                <w:tcPr>
                  <w:tcW w:w="1621" w:type="pct"/>
                  <w:tcBorders>
                    <w:tl2br w:val="nil"/>
                    <w:tr2bl w:val="nil"/>
                  </w:tcBorders>
                  <w:vAlign w:val="center"/>
                </w:tcPr>
                <w:p w14:paraId="09865C78">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洗煤工段</w:t>
                  </w:r>
                </w:p>
              </w:tc>
            </w:tr>
            <w:tr w14:paraId="5EEBB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550382E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5</w:t>
                  </w:r>
                </w:p>
              </w:tc>
              <w:tc>
                <w:tcPr>
                  <w:tcW w:w="572" w:type="pct"/>
                  <w:tcBorders>
                    <w:tl2br w:val="nil"/>
                    <w:tr2bl w:val="nil"/>
                  </w:tcBorders>
                  <w:vAlign w:val="center"/>
                </w:tcPr>
                <w:p w14:paraId="02C2363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水</w:t>
                  </w:r>
                </w:p>
              </w:tc>
              <w:tc>
                <w:tcPr>
                  <w:tcW w:w="607" w:type="pct"/>
                  <w:tcBorders>
                    <w:tl2br w:val="nil"/>
                    <w:tr2bl w:val="nil"/>
                  </w:tcBorders>
                  <w:vAlign w:val="center"/>
                </w:tcPr>
                <w:p w14:paraId="6FA76380">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1815.7</w:t>
                  </w:r>
                </w:p>
              </w:tc>
              <w:tc>
                <w:tcPr>
                  <w:tcW w:w="574" w:type="pct"/>
                  <w:tcBorders>
                    <w:tl2br w:val="nil"/>
                    <w:tr2bl w:val="nil"/>
                  </w:tcBorders>
                  <w:vAlign w:val="center"/>
                </w:tcPr>
                <w:p w14:paraId="03A11F31">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0.68</w:t>
                  </w:r>
                </w:p>
              </w:tc>
              <w:tc>
                <w:tcPr>
                  <w:tcW w:w="987" w:type="pct"/>
                  <w:tcBorders>
                    <w:tl2br w:val="nil"/>
                    <w:tr2bl w:val="nil"/>
                  </w:tcBorders>
                  <w:vAlign w:val="center"/>
                </w:tcPr>
                <w:p w14:paraId="57363E64">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w:t>
                  </w:r>
                </w:p>
              </w:tc>
              <w:tc>
                <w:tcPr>
                  <w:tcW w:w="1621" w:type="pct"/>
                  <w:tcBorders>
                    <w:tl2br w:val="nil"/>
                    <w:tr2bl w:val="nil"/>
                  </w:tcBorders>
                  <w:vAlign w:val="center"/>
                </w:tcPr>
                <w:p w14:paraId="570466E1">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来自金鸡滩镇煤矿疏干水</w:t>
                  </w:r>
                </w:p>
              </w:tc>
            </w:tr>
            <w:tr w14:paraId="31646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14B6D001">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w:t>
                  </w:r>
                </w:p>
              </w:tc>
              <w:tc>
                <w:tcPr>
                  <w:tcW w:w="572" w:type="pct"/>
                  <w:tcBorders>
                    <w:tl2br w:val="nil"/>
                    <w:tr2bl w:val="nil"/>
                  </w:tcBorders>
                  <w:vAlign w:val="center"/>
                </w:tcPr>
                <w:p w14:paraId="44566D70">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固化剂</w:t>
                  </w:r>
                </w:p>
              </w:tc>
              <w:tc>
                <w:tcPr>
                  <w:tcW w:w="607" w:type="pct"/>
                  <w:tcBorders>
                    <w:tl2br w:val="nil"/>
                    <w:tr2bl w:val="nil"/>
                  </w:tcBorders>
                  <w:vAlign w:val="center"/>
                </w:tcPr>
                <w:p w14:paraId="42B12892">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168.8</w:t>
                  </w:r>
                </w:p>
              </w:tc>
              <w:tc>
                <w:tcPr>
                  <w:tcW w:w="574" w:type="pct"/>
                  <w:tcBorders>
                    <w:tl2br w:val="nil"/>
                    <w:tr2bl w:val="nil"/>
                  </w:tcBorders>
                  <w:vAlign w:val="center"/>
                </w:tcPr>
                <w:p w14:paraId="216E3C70">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0.06</w:t>
                  </w:r>
                </w:p>
              </w:tc>
              <w:tc>
                <w:tcPr>
                  <w:tcW w:w="987" w:type="pct"/>
                  <w:tcBorders>
                    <w:tl2br w:val="nil"/>
                    <w:tr2bl w:val="nil"/>
                  </w:tcBorders>
                  <w:vAlign w:val="center"/>
                </w:tcPr>
                <w:p w14:paraId="1D114E89">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原料棚内</w:t>
                  </w:r>
                </w:p>
              </w:tc>
              <w:tc>
                <w:tcPr>
                  <w:tcW w:w="1621" w:type="pct"/>
                  <w:tcBorders>
                    <w:tl2br w:val="nil"/>
                    <w:tr2bl w:val="nil"/>
                  </w:tcBorders>
                  <w:vAlign w:val="center"/>
                </w:tcPr>
                <w:p w14:paraId="3BFE99F0">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0E3EE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9" w:type="pct"/>
                  <w:gridSpan w:val="2"/>
                  <w:tcBorders>
                    <w:tl2br w:val="nil"/>
                    <w:tr2bl w:val="nil"/>
                  </w:tcBorders>
                  <w:vAlign w:val="center"/>
                </w:tcPr>
                <w:p w14:paraId="72D915A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合计</w:t>
                  </w:r>
                </w:p>
              </w:tc>
              <w:tc>
                <w:tcPr>
                  <w:tcW w:w="607" w:type="pct"/>
                  <w:tcBorders>
                    <w:tl2br w:val="nil"/>
                    <w:tr2bl w:val="nil"/>
                  </w:tcBorders>
                  <w:shd w:val="clear" w:color="auto" w:fill="auto"/>
                  <w:vAlign w:val="center"/>
                </w:tcPr>
                <w:p w14:paraId="0D20A15B">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357761.8</w:t>
                  </w:r>
                </w:p>
              </w:tc>
              <w:tc>
                <w:tcPr>
                  <w:tcW w:w="574" w:type="pct"/>
                  <w:tcBorders>
                    <w:tl2br w:val="nil"/>
                    <w:tr2bl w:val="nil"/>
                  </w:tcBorders>
                  <w:vAlign w:val="center"/>
                </w:tcPr>
                <w:p w14:paraId="37DAD2F0">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1</w:t>
                  </w:r>
                </w:p>
              </w:tc>
              <w:tc>
                <w:tcPr>
                  <w:tcW w:w="987" w:type="pct"/>
                  <w:tcBorders>
                    <w:tl2br w:val="nil"/>
                    <w:tr2bl w:val="nil"/>
                  </w:tcBorders>
                  <w:vAlign w:val="center"/>
                </w:tcPr>
                <w:p w14:paraId="60DB0179">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w:t>
                  </w:r>
                </w:p>
              </w:tc>
              <w:tc>
                <w:tcPr>
                  <w:tcW w:w="1621" w:type="pct"/>
                  <w:tcBorders>
                    <w:tl2br w:val="nil"/>
                    <w:tr2bl w:val="nil"/>
                  </w:tcBorders>
                  <w:vAlign w:val="center"/>
                </w:tcPr>
                <w:p w14:paraId="4CD47951">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r>
            <w:tr w14:paraId="13364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000" w:type="pct"/>
                  <w:gridSpan w:val="6"/>
                  <w:tcBorders>
                    <w:tl2br w:val="nil"/>
                    <w:tr2bl w:val="nil"/>
                  </w:tcBorders>
                  <w:vAlign w:val="center"/>
                </w:tcPr>
                <w:p w14:paraId="1DB0659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路面砖</w:t>
                  </w:r>
                </w:p>
              </w:tc>
            </w:tr>
            <w:tr w14:paraId="72324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2597FF64">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572" w:type="pct"/>
                  <w:tcBorders>
                    <w:tl2br w:val="nil"/>
                    <w:tr2bl w:val="nil"/>
                  </w:tcBorders>
                  <w:vAlign w:val="center"/>
                </w:tcPr>
                <w:p w14:paraId="532D6742">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水泥</w:t>
                  </w:r>
                </w:p>
              </w:tc>
              <w:tc>
                <w:tcPr>
                  <w:tcW w:w="607" w:type="pct"/>
                  <w:tcBorders>
                    <w:tl2br w:val="nil"/>
                    <w:tr2bl w:val="nil"/>
                  </w:tcBorders>
                  <w:vAlign w:val="center"/>
                </w:tcPr>
                <w:p w14:paraId="0FDF3735">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96078.3</w:t>
                  </w:r>
                </w:p>
              </w:tc>
              <w:tc>
                <w:tcPr>
                  <w:tcW w:w="574" w:type="pct"/>
                  <w:tcBorders>
                    <w:tl2br w:val="nil"/>
                    <w:tr2bl w:val="nil"/>
                  </w:tcBorders>
                  <w:vAlign w:val="center"/>
                </w:tcPr>
                <w:p w14:paraId="015592C5">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10</w:t>
                  </w:r>
                </w:p>
              </w:tc>
              <w:tc>
                <w:tcPr>
                  <w:tcW w:w="987" w:type="pct"/>
                  <w:tcBorders>
                    <w:tl2br w:val="nil"/>
                    <w:tr2bl w:val="nil"/>
                  </w:tcBorders>
                  <w:vAlign w:val="center"/>
                </w:tcPr>
                <w:p w14:paraId="4AEC50F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水泥筒仓内</w:t>
                  </w:r>
                </w:p>
              </w:tc>
              <w:tc>
                <w:tcPr>
                  <w:tcW w:w="1621" w:type="pct"/>
                  <w:tcBorders>
                    <w:tl2br w:val="nil"/>
                    <w:tr2bl w:val="nil"/>
                  </w:tcBorders>
                  <w:vAlign w:val="center"/>
                </w:tcPr>
                <w:p w14:paraId="66EB769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18EAC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0E6634BF">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572" w:type="pct"/>
                  <w:tcBorders>
                    <w:tl2br w:val="nil"/>
                    <w:tr2bl w:val="nil"/>
                  </w:tcBorders>
                  <w:vAlign w:val="center"/>
                </w:tcPr>
                <w:p w14:paraId="02023BA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砂子</w:t>
                  </w:r>
                </w:p>
              </w:tc>
              <w:tc>
                <w:tcPr>
                  <w:tcW w:w="607" w:type="pct"/>
                  <w:tcBorders>
                    <w:tl2br w:val="nil"/>
                    <w:tr2bl w:val="nil"/>
                  </w:tcBorders>
                  <w:vAlign w:val="center"/>
                </w:tcPr>
                <w:p w14:paraId="2AB785AF">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201188.0</w:t>
                  </w:r>
                </w:p>
              </w:tc>
              <w:tc>
                <w:tcPr>
                  <w:tcW w:w="574" w:type="pct"/>
                  <w:tcBorders>
                    <w:tl2br w:val="nil"/>
                    <w:tr2bl w:val="nil"/>
                  </w:tcBorders>
                  <w:vAlign w:val="center"/>
                </w:tcPr>
                <w:p w14:paraId="5D904266">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20.94</w:t>
                  </w:r>
                </w:p>
              </w:tc>
              <w:tc>
                <w:tcPr>
                  <w:tcW w:w="987" w:type="pct"/>
                  <w:tcBorders>
                    <w:tl2br w:val="nil"/>
                    <w:tr2bl w:val="nil"/>
                  </w:tcBorders>
                  <w:vAlign w:val="center"/>
                </w:tcPr>
                <w:p w14:paraId="025019E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原料棚内</w:t>
                  </w:r>
                </w:p>
              </w:tc>
              <w:tc>
                <w:tcPr>
                  <w:tcW w:w="1621" w:type="pct"/>
                  <w:tcBorders>
                    <w:tl2br w:val="nil"/>
                    <w:tr2bl w:val="nil"/>
                  </w:tcBorders>
                  <w:vAlign w:val="center"/>
                </w:tcPr>
                <w:p w14:paraId="55FE540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3F21D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6" w:type="pct"/>
                  <w:tcBorders>
                    <w:tl2br w:val="nil"/>
                    <w:tr2bl w:val="nil"/>
                  </w:tcBorders>
                  <w:vAlign w:val="center"/>
                </w:tcPr>
                <w:p w14:paraId="012342F8">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572" w:type="pct"/>
                  <w:tcBorders>
                    <w:tl2br w:val="nil"/>
                    <w:tr2bl w:val="nil"/>
                  </w:tcBorders>
                  <w:vAlign w:val="center"/>
                </w:tcPr>
                <w:p w14:paraId="40CCDA31">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尾泥</w:t>
                  </w:r>
                </w:p>
              </w:tc>
              <w:tc>
                <w:tcPr>
                  <w:tcW w:w="607" w:type="pct"/>
                  <w:tcBorders>
                    <w:tl2br w:val="nil"/>
                    <w:tr2bl w:val="nil"/>
                  </w:tcBorders>
                  <w:shd w:val="clear" w:color="auto" w:fill="auto"/>
                  <w:vAlign w:val="center"/>
                </w:tcPr>
                <w:p w14:paraId="0DDB6930">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487864.5</w:t>
                  </w:r>
                </w:p>
              </w:tc>
              <w:tc>
                <w:tcPr>
                  <w:tcW w:w="574" w:type="pct"/>
                  <w:tcBorders>
                    <w:tl2br w:val="nil"/>
                    <w:tr2bl w:val="nil"/>
                  </w:tcBorders>
                  <w:vAlign w:val="center"/>
                </w:tcPr>
                <w:p w14:paraId="355F1E25">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21.36</w:t>
                  </w:r>
                </w:p>
              </w:tc>
              <w:tc>
                <w:tcPr>
                  <w:tcW w:w="987" w:type="pct"/>
                  <w:tcBorders>
                    <w:tl2br w:val="nil"/>
                    <w:tr2bl w:val="nil"/>
                  </w:tcBorders>
                  <w:vAlign w:val="center"/>
                </w:tcPr>
                <w:p w14:paraId="1D1444C4">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尾泥棚内</w:t>
                  </w:r>
                </w:p>
              </w:tc>
              <w:tc>
                <w:tcPr>
                  <w:tcW w:w="1621" w:type="pct"/>
                  <w:tcBorders>
                    <w:tl2br w:val="nil"/>
                    <w:tr2bl w:val="nil"/>
                  </w:tcBorders>
                  <w:vAlign w:val="center"/>
                </w:tcPr>
                <w:p w14:paraId="2D9EC615">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洗煤工段</w:t>
                  </w:r>
                </w:p>
              </w:tc>
            </w:tr>
            <w:tr w14:paraId="781F5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0FCBB25E">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572" w:type="pct"/>
                  <w:tcBorders>
                    <w:tl2br w:val="nil"/>
                    <w:tr2bl w:val="nil"/>
                  </w:tcBorders>
                  <w:vAlign w:val="center"/>
                </w:tcPr>
                <w:p w14:paraId="14868B61">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煤矸石</w:t>
                  </w:r>
                </w:p>
              </w:tc>
              <w:tc>
                <w:tcPr>
                  <w:tcW w:w="607" w:type="pct"/>
                  <w:tcBorders>
                    <w:tl2br w:val="nil"/>
                    <w:tr2bl w:val="nil"/>
                  </w:tcBorders>
                  <w:vAlign w:val="center"/>
                </w:tcPr>
                <w:p w14:paraId="089DC9CE">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470952.4</w:t>
                  </w:r>
                </w:p>
              </w:tc>
              <w:tc>
                <w:tcPr>
                  <w:tcW w:w="574" w:type="pct"/>
                  <w:tcBorders>
                    <w:tl2br w:val="nil"/>
                    <w:tr2bl w:val="nil"/>
                  </w:tcBorders>
                  <w:vAlign w:val="center"/>
                </w:tcPr>
                <w:p w14:paraId="285394D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47.04</w:t>
                  </w:r>
                </w:p>
              </w:tc>
              <w:tc>
                <w:tcPr>
                  <w:tcW w:w="987" w:type="pct"/>
                  <w:tcBorders>
                    <w:tl2br w:val="nil"/>
                    <w:tr2bl w:val="nil"/>
                  </w:tcBorders>
                  <w:vAlign w:val="center"/>
                </w:tcPr>
                <w:p w14:paraId="2981CE01">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尾矸棚内</w:t>
                  </w:r>
                </w:p>
              </w:tc>
              <w:tc>
                <w:tcPr>
                  <w:tcW w:w="1621" w:type="pct"/>
                  <w:tcBorders>
                    <w:tl2br w:val="nil"/>
                    <w:tr2bl w:val="nil"/>
                  </w:tcBorders>
                  <w:vAlign w:val="center"/>
                </w:tcPr>
                <w:p w14:paraId="73C8C44B">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洗煤工段</w:t>
                  </w:r>
                </w:p>
              </w:tc>
            </w:tr>
            <w:tr w14:paraId="6B303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65B843E8">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5</w:t>
                  </w:r>
                </w:p>
              </w:tc>
              <w:tc>
                <w:tcPr>
                  <w:tcW w:w="572" w:type="pct"/>
                  <w:tcBorders>
                    <w:tl2br w:val="nil"/>
                    <w:tr2bl w:val="nil"/>
                  </w:tcBorders>
                  <w:vAlign w:val="center"/>
                </w:tcPr>
                <w:p w14:paraId="69120A1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水</w:t>
                  </w:r>
                </w:p>
              </w:tc>
              <w:tc>
                <w:tcPr>
                  <w:tcW w:w="607" w:type="pct"/>
                  <w:tcBorders>
                    <w:tl2br w:val="nil"/>
                    <w:tr2bl w:val="nil"/>
                  </w:tcBorders>
                  <w:vAlign w:val="center"/>
                </w:tcPr>
                <w:p w14:paraId="741A53B8">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5956.8</w:t>
                  </w:r>
                </w:p>
              </w:tc>
              <w:tc>
                <w:tcPr>
                  <w:tcW w:w="574" w:type="pct"/>
                  <w:tcBorders>
                    <w:tl2br w:val="nil"/>
                    <w:tr2bl w:val="nil"/>
                  </w:tcBorders>
                  <w:vAlign w:val="center"/>
                </w:tcPr>
                <w:p w14:paraId="310AB69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0.62</w:t>
                  </w:r>
                </w:p>
              </w:tc>
              <w:tc>
                <w:tcPr>
                  <w:tcW w:w="987" w:type="pct"/>
                  <w:tcBorders>
                    <w:tl2br w:val="nil"/>
                    <w:tr2bl w:val="nil"/>
                  </w:tcBorders>
                  <w:vAlign w:val="center"/>
                </w:tcPr>
                <w:p w14:paraId="030BF60F">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621" w:type="pct"/>
                  <w:tcBorders>
                    <w:tl2br w:val="nil"/>
                    <w:tr2bl w:val="nil"/>
                  </w:tcBorders>
                  <w:vAlign w:val="center"/>
                </w:tcPr>
                <w:p w14:paraId="7CEB5531">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来自金鸡滩镇煤矿疏干水</w:t>
                  </w:r>
                </w:p>
              </w:tc>
            </w:tr>
            <w:tr w14:paraId="2EAD9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34D6BAB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w:t>
                  </w:r>
                </w:p>
              </w:tc>
              <w:tc>
                <w:tcPr>
                  <w:tcW w:w="572" w:type="pct"/>
                  <w:tcBorders>
                    <w:tl2br w:val="nil"/>
                    <w:tr2bl w:val="nil"/>
                  </w:tcBorders>
                  <w:vAlign w:val="center"/>
                </w:tcPr>
                <w:p w14:paraId="2CC64C2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固化剂</w:t>
                  </w:r>
                </w:p>
              </w:tc>
              <w:tc>
                <w:tcPr>
                  <w:tcW w:w="607" w:type="pct"/>
                  <w:tcBorders>
                    <w:tl2br w:val="nil"/>
                    <w:tr2bl w:val="nil"/>
                  </w:tcBorders>
                  <w:vAlign w:val="center"/>
                </w:tcPr>
                <w:p w14:paraId="4E648B86">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288.2</w:t>
                  </w:r>
                </w:p>
              </w:tc>
              <w:tc>
                <w:tcPr>
                  <w:tcW w:w="574" w:type="pct"/>
                  <w:tcBorders>
                    <w:tl2br w:val="nil"/>
                    <w:tr2bl w:val="nil"/>
                  </w:tcBorders>
                  <w:vAlign w:val="center"/>
                </w:tcPr>
                <w:p w14:paraId="02496A3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0.03</w:t>
                  </w:r>
                </w:p>
              </w:tc>
              <w:tc>
                <w:tcPr>
                  <w:tcW w:w="987" w:type="pct"/>
                  <w:tcBorders>
                    <w:tl2br w:val="nil"/>
                    <w:tr2bl w:val="nil"/>
                  </w:tcBorders>
                  <w:vAlign w:val="center"/>
                </w:tcPr>
                <w:p w14:paraId="557CDEA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原料棚内</w:t>
                  </w:r>
                </w:p>
              </w:tc>
              <w:tc>
                <w:tcPr>
                  <w:tcW w:w="1621" w:type="pct"/>
                  <w:tcBorders>
                    <w:tl2br w:val="nil"/>
                    <w:tr2bl w:val="nil"/>
                  </w:tcBorders>
                  <w:vAlign w:val="center"/>
                </w:tcPr>
                <w:p w14:paraId="3277881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60A78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36" w:type="pct"/>
                  <w:tcBorders>
                    <w:tl2br w:val="nil"/>
                    <w:tr2bl w:val="nil"/>
                  </w:tcBorders>
                  <w:vAlign w:val="center"/>
                </w:tcPr>
                <w:p w14:paraId="5444AF5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7</w:t>
                  </w:r>
                </w:p>
              </w:tc>
              <w:tc>
                <w:tcPr>
                  <w:tcW w:w="572" w:type="pct"/>
                  <w:tcBorders>
                    <w:tl2br w:val="nil"/>
                    <w:tr2bl w:val="nil"/>
                  </w:tcBorders>
                  <w:vAlign w:val="center"/>
                </w:tcPr>
                <w:p w14:paraId="6A0781AE">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颜料</w:t>
                  </w:r>
                </w:p>
              </w:tc>
              <w:tc>
                <w:tcPr>
                  <w:tcW w:w="607" w:type="pct"/>
                  <w:tcBorders>
                    <w:tl2br w:val="nil"/>
                    <w:tr2bl w:val="nil"/>
                  </w:tcBorders>
                  <w:vAlign w:val="center"/>
                </w:tcPr>
                <w:p w14:paraId="3D06F1B0">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96.0</w:t>
                  </w:r>
                </w:p>
              </w:tc>
              <w:tc>
                <w:tcPr>
                  <w:tcW w:w="574" w:type="pct"/>
                  <w:tcBorders>
                    <w:tl2br w:val="nil"/>
                    <w:tr2bl w:val="nil"/>
                  </w:tcBorders>
                  <w:vAlign w:val="center"/>
                </w:tcPr>
                <w:p w14:paraId="4E72C1FB">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0.01</w:t>
                  </w:r>
                </w:p>
              </w:tc>
              <w:tc>
                <w:tcPr>
                  <w:tcW w:w="987" w:type="pct"/>
                  <w:tcBorders>
                    <w:tl2br w:val="nil"/>
                    <w:tr2bl w:val="nil"/>
                  </w:tcBorders>
                  <w:vAlign w:val="center"/>
                </w:tcPr>
                <w:p w14:paraId="23889A3E">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原料棚内</w:t>
                  </w:r>
                </w:p>
              </w:tc>
              <w:tc>
                <w:tcPr>
                  <w:tcW w:w="1621" w:type="pct"/>
                  <w:tcBorders>
                    <w:tl2br w:val="nil"/>
                    <w:tr2bl w:val="nil"/>
                  </w:tcBorders>
                  <w:vAlign w:val="center"/>
                </w:tcPr>
                <w:p w14:paraId="4A92111E">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1A096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9" w:type="pct"/>
                  <w:gridSpan w:val="2"/>
                  <w:tcBorders>
                    <w:tl2br w:val="nil"/>
                    <w:tr2bl w:val="nil"/>
                  </w:tcBorders>
                  <w:vAlign w:val="center"/>
                </w:tcPr>
                <w:p w14:paraId="162CD08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合计</w:t>
                  </w:r>
                </w:p>
              </w:tc>
              <w:tc>
                <w:tcPr>
                  <w:tcW w:w="607" w:type="pct"/>
                  <w:tcBorders>
                    <w:tl2br w:val="nil"/>
                    <w:tr2bl w:val="nil"/>
                  </w:tcBorders>
                  <w:shd w:val="clear" w:color="auto" w:fill="auto"/>
                  <w:vAlign w:val="center"/>
                </w:tcPr>
                <w:p w14:paraId="50496539">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1262424.3</w:t>
                  </w:r>
                </w:p>
              </w:tc>
              <w:tc>
                <w:tcPr>
                  <w:tcW w:w="574" w:type="pct"/>
                  <w:tcBorders>
                    <w:tl2br w:val="nil"/>
                    <w:tr2bl w:val="nil"/>
                  </w:tcBorders>
                  <w:vAlign w:val="center"/>
                </w:tcPr>
                <w:p w14:paraId="2ABD17CC">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987" w:type="pct"/>
                  <w:tcBorders>
                    <w:tl2br w:val="nil"/>
                    <w:tr2bl w:val="nil"/>
                  </w:tcBorders>
                  <w:vAlign w:val="center"/>
                </w:tcPr>
                <w:p w14:paraId="3346A9A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621" w:type="pct"/>
                  <w:tcBorders>
                    <w:tl2br w:val="nil"/>
                    <w:tr2bl w:val="nil"/>
                  </w:tcBorders>
                  <w:vAlign w:val="center"/>
                </w:tcPr>
                <w:p w14:paraId="38E73C84">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r>
            <w:tr w14:paraId="775F8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000" w:type="pct"/>
                  <w:gridSpan w:val="6"/>
                  <w:tcBorders>
                    <w:tl2br w:val="nil"/>
                    <w:tr2bl w:val="nil"/>
                  </w:tcBorders>
                  <w:vAlign w:val="center"/>
                </w:tcPr>
                <w:p w14:paraId="76B77710">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en-US"/>
                      <w14:textFill>
                        <w14:solidFill>
                          <w14:schemeClr w14:val="tx1"/>
                        </w14:solidFill>
                      </w14:textFill>
                    </w:rPr>
                    <w:t>工字路面砖</w:t>
                  </w:r>
                </w:p>
              </w:tc>
            </w:tr>
            <w:tr w14:paraId="55FDB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27F6678E">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572" w:type="pct"/>
                  <w:tcBorders>
                    <w:tl2br w:val="nil"/>
                    <w:tr2bl w:val="nil"/>
                  </w:tcBorders>
                  <w:vAlign w:val="center"/>
                </w:tcPr>
                <w:p w14:paraId="32EF69A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水泥</w:t>
                  </w:r>
                </w:p>
              </w:tc>
              <w:tc>
                <w:tcPr>
                  <w:tcW w:w="607" w:type="pct"/>
                  <w:tcBorders>
                    <w:tl2br w:val="nil"/>
                    <w:tr2bl w:val="nil"/>
                  </w:tcBorders>
                  <w:vAlign w:val="center"/>
                </w:tcPr>
                <w:p w14:paraId="25B53F47">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12414.7</w:t>
                  </w:r>
                </w:p>
              </w:tc>
              <w:tc>
                <w:tcPr>
                  <w:tcW w:w="574" w:type="pct"/>
                  <w:tcBorders>
                    <w:tl2br w:val="nil"/>
                    <w:tr2bl w:val="nil"/>
                  </w:tcBorders>
                  <w:vAlign w:val="center"/>
                </w:tcPr>
                <w:p w14:paraId="35495A30">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8.5</w:t>
                  </w:r>
                </w:p>
              </w:tc>
              <w:tc>
                <w:tcPr>
                  <w:tcW w:w="987" w:type="pct"/>
                  <w:tcBorders>
                    <w:tl2br w:val="nil"/>
                    <w:tr2bl w:val="nil"/>
                  </w:tcBorders>
                  <w:vAlign w:val="center"/>
                </w:tcPr>
                <w:p w14:paraId="5A15C3A5">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水泥筒仓内</w:t>
                  </w:r>
                </w:p>
              </w:tc>
              <w:tc>
                <w:tcPr>
                  <w:tcW w:w="1621" w:type="pct"/>
                  <w:tcBorders>
                    <w:tl2br w:val="nil"/>
                    <w:tr2bl w:val="nil"/>
                  </w:tcBorders>
                  <w:vAlign w:val="center"/>
                </w:tcPr>
                <w:p w14:paraId="0FFF737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44306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0255073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572" w:type="pct"/>
                  <w:tcBorders>
                    <w:tl2br w:val="nil"/>
                    <w:tr2bl w:val="nil"/>
                  </w:tcBorders>
                  <w:vAlign w:val="center"/>
                </w:tcPr>
                <w:p w14:paraId="1302E908">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砂子</w:t>
                  </w:r>
                </w:p>
              </w:tc>
              <w:tc>
                <w:tcPr>
                  <w:tcW w:w="607" w:type="pct"/>
                  <w:tcBorders>
                    <w:tl2br w:val="nil"/>
                    <w:tr2bl w:val="nil"/>
                  </w:tcBorders>
                  <w:vAlign w:val="center"/>
                </w:tcPr>
                <w:p w14:paraId="71B28AC8">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44534.6</w:t>
                  </w:r>
                </w:p>
              </w:tc>
              <w:tc>
                <w:tcPr>
                  <w:tcW w:w="574" w:type="pct"/>
                  <w:tcBorders>
                    <w:tl2br w:val="nil"/>
                    <w:tr2bl w:val="nil"/>
                  </w:tcBorders>
                  <w:vAlign w:val="center"/>
                </w:tcPr>
                <w:p w14:paraId="6983184F">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18.0</w:t>
                  </w:r>
                </w:p>
              </w:tc>
              <w:tc>
                <w:tcPr>
                  <w:tcW w:w="987" w:type="pct"/>
                  <w:tcBorders>
                    <w:tl2br w:val="nil"/>
                    <w:tr2bl w:val="nil"/>
                  </w:tcBorders>
                  <w:vAlign w:val="center"/>
                </w:tcPr>
                <w:p w14:paraId="65488010">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原料棚内</w:t>
                  </w:r>
                </w:p>
              </w:tc>
              <w:tc>
                <w:tcPr>
                  <w:tcW w:w="1621" w:type="pct"/>
                  <w:tcBorders>
                    <w:tl2br w:val="nil"/>
                    <w:tr2bl w:val="nil"/>
                  </w:tcBorders>
                  <w:vAlign w:val="center"/>
                </w:tcPr>
                <w:p w14:paraId="2965DF33">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3B921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0F9B75F8">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572" w:type="pct"/>
                  <w:tcBorders>
                    <w:tl2br w:val="nil"/>
                    <w:tr2bl w:val="nil"/>
                  </w:tcBorders>
                  <w:vAlign w:val="center"/>
                </w:tcPr>
                <w:p w14:paraId="5A09573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尾泥</w:t>
                  </w:r>
                </w:p>
              </w:tc>
              <w:tc>
                <w:tcPr>
                  <w:tcW w:w="607" w:type="pct"/>
                  <w:tcBorders>
                    <w:tl2br w:val="nil"/>
                    <w:tr2bl w:val="nil"/>
                  </w:tcBorders>
                  <w:shd w:val="clear" w:color="auto" w:fill="auto"/>
                  <w:vAlign w:val="center"/>
                </w:tcPr>
                <w:p w14:paraId="33642563">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31654.3</w:t>
                  </w:r>
                </w:p>
              </w:tc>
              <w:tc>
                <w:tcPr>
                  <w:tcW w:w="574" w:type="pct"/>
                  <w:tcBorders>
                    <w:tl2br w:val="nil"/>
                    <w:tr2bl w:val="nil"/>
                  </w:tcBorders>
                  <w:vAlign w:val="center"/>
                </w:tcPr>
                <w:p w14:paraId="23FB0E3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27.03</w:t>
                  </w:r>
                </w:p>
              </w:tc>
              <w:tc>
                <w:tcPr>
                  <w:tcW w:w="987" w:type="pct"/>
                  <w:tcBorders>
                    <w:tl2br w:val="nil"/>
                    <w:tr2bl w:val="nil"/>
                  </w:tcBorders>
                  <w:vAlign w:val="center"/>
                </w:tcPr>
                <w:p w14:paraId="715D7094">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尾泥棚内</w:t>
                  </w:r>
                </w:p>
              </w:tc>
              <w:tc>
                <w:tcPr>
                  <w:tcW w:w="1621" w:type="pct"/>
                  <w:tcBorders>
                    <w:tl2br w:val="nil"/>
                    <w:tr2bl w:val="nil"/>
                  </w:tcBorders>
                  <w:vAlign w:val="center"/>
                </w:tcPr>
                <w:p w14:paraId="28B4CFBC">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洗煤工段</w:t>
                  </w:r>
                </w:p>
              </w:tc>
            </w:tr>
            <w:tr w14:paraId="1655E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36" w:type="pct"/>
                  <w:tcBorders>
                    <w:tl2br w:val="nil"/>
                    <w:tr2bl w:val="nil"/>
                  </w:tcBorders>
                  <w:vAlign w:val="center"/>
                </w:tcPr>
                <w:p w14:paraId="6F7F353C">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572" w:type="pct"/>
                  <w:tcBorders>
                    <w:tl2br w:val="nil"/>
                    <w:tr2bl w:val="nil"/>
                  </w:tcBorders>
                  <w:vAlign w:val="center"/>
                </w:tcPr>
                <w:p w14:paraId="7E2A34CE">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煤矸石</w:t>
                  </w:r>
                </w:p>
              </w:tc>
              <w:tc>
                <w:tcPr>
                  <w:tcW w:w="607" w:type="pct"/>
                  <w:tcBorders>
                    <w:tl2br w:val="nil"/>
                    <w:tr2bl w:val="nil"/>
                  </w:tcBorders>
                  <w:vAlign w:val="center"/>
                </w:tcPr>
                <w:p w14:paraId="3438C656">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605.2</w:t>
                  </w:r>
                </w:p>
              </w:tc>
              <w:tc>
                <w:tcPr>
                  <w:tcW w:w="574" w:type="pct"/>
                  <w:tcBorders>
                    <w:tl2br w:val="nil"/>
                    <w:tr2bl w:val="nil"/>
                  </w:tcBorders>
                  <w:vAlign w:val="center"/>
                </w:tcPr>
                <w:p w14:paraId="011DA2B2">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46.35</w:t>
                  </w:r>
                </w:p>
              </w:tc>
              <w:tc>
                <w:tcPr>
                  <w:tcW w:w="987" w:type="pct"/>
                  <w:tcBorders>
                    <w:tl2br w:val="nil"/>
                    <w:tr2bl w:val="nil"/>
                  </w:tcBorders>
                  <w:vAlign w:val="center"/>
                </w:tcPr>
                <w:p w14:paraId="68F724C8">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尾矸棚内</w:t>
                  </w:r>
                </w:p>
              </w:tc>
              <w:tc>
                <w:tcPr>
                  <w:tcW w:w="1621" w:type="pct"/>
                  <w:tcBorders>
                    <w:tl2br w:val="nil"/>
                    <w:tr2bl w:val="nil"/>
                  </w:tcBorders>
                  <w:vAlign w:val="center"/>
                </w:tcPr>
                <w:p w14:paraId="6C4B0D9B">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洗煤工段</w:t>
                  </w:r>
                </w:p>
              </w:tc>
            </w:tr>
            <w:tr w14:paraId="43A78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636" w:type="pct"/>
                  <w:tcBorders>
                    <w:tl2br w:val="nil"/>
                    <w:tr2bl w:val="nil"/>
                  </w:tcBorders>
                  <w:vAlign w:val="center"/>
                </w:tcPr>
                <w:p w14:paraId="79DC00C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5</w:t>
                  </w:r>
                </w:p>
              </w:tc>
              <w:tc>
                <w:tcPr>
                  <w:tcW w:w="572" w:type="pct"/>
                  <w:tcBorders>
                    <w:tl2br w:val="nil"/>
                    <w:tr2bl w:val="nil"/>
                  </w:tcBorders>
                  <w:vAlign w:val="center"/>
                </w:tcPr>
                <w:p w14:paraId="0817A712">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水</w:t>
                  </w:r>
                </w:p>
              </w:tc>
              <w:tc>
                <w:tcPr>
                  <w:tcW w:w="607" w:type="pct"/>
                  <w:tcBorders>
                    <w:tl2br w:val="nil"/>
                    <w:tr2bl w:val="nil"/>
                  </w:tcBorders>
                  <w:vAlign w:val="center"/>
                </w:tcPr>
                <w:p w14:paraId="0E7114EA">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24.2</w:t>
                  </w:r>
                </w:p>
              </w:tc>
              <w:tc>
                <w:tcPr>
                  <w:tcW w:w="574" w:type="pct"/>
                  <w:tcBorders>
                    <w:tl2br w:val="nil"/>
                    <w:tr2bl w:val="nil"/>
                  </w:tcBorders>
                  <w:vAlign w:val="center"/>
                </w:tcPr>
                <w:p w14:paraId="233C116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0.08</w:t>
                  </w:r>
                </w:p>
              </w:tc>
              <w:tc>
                <w:tcPr>
                  <w:tcW w:w="987" w:type="pct"/>
                  <w:tcBorders>
                    <w:tl2br w:val="nil"/>
                    <w:tr2bl w:val="nil"/>
                  </w:tcBorders>
                  <w:vAlign w:val="center"/>
                </w:tcPr>
                <w:p w14:paraId="52745F54">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621" w:type="pct"/>
                  <w:tcBorders>
                    <w:tl2br w:val="nil"/>
                    <w:tr2bl w:val="nil"/>
                  </w:tcBorders>
                  <w:vAlign w:val="center"/>
                </w:tcPr>
                <w:p w14:paraId="5579FB3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来自金鸡滩镇煤矿疏干水</w:t>
                  </w:r>
                </w:p>
              </w:tc>
            </w:tr>
            <w:tr w14:paraId="32CE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0E053CD9">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6</w:t>
                  </w:r>
                </w:p>
              </w:tc>
              <w:tc>
                <w:tcPr>
                  <w:tcW w:w="572" w:type="pct"/>
                  <w:tcBorders>
                    <w:tl2br w:val="nil"/>
                    <w:tr2bl w:val="nil"/>
                  </w:tcBorders>
                  <w:vAlign w:val="center"/>
                </w:tcPr>
                <w:p w14:paraId="79FBF9AA">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固化剂</w:t>
                  </w:r>
                </w:p>
              </w:tc>
              <w:tc>
                <w:tcPr>
                  <w:tcW w:w="607" w:type="pct"/>
                  <w:tcBorders>
                    <w:tl2br w:val="nil"/>
                    <w:tr2bl w:val="nil"/>
                  </w:tcBorders>
                  <w:vAlign w:val="center"/>
                </w:tcPr>
                <w:p w14:paraId="52A5EEBC">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5.2</w:t>
                  </w:r>
                </w:p>
              </w:tc>
              <w:tc>
                <w:tcPr>
                  <w:tcW w:w="574" w:type="pct"/>
                  <w:tcBorders>
                    <w:tl2br w:val="nil"/>
                    <w:tr2bl w:val="nil"/>
                  </w:tcBorders>
                  <w:vAlign w:val="center"/>
                </w:tcPr>
                <w:p w14:paraId="42C4856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0.03</w:t>
                  </w:r>
                </w:p>
              </w:tc>
              <w:tc>
                <w:tcPr>
                  <w:tcW w:w="987" w:type="pct"/>
                  <w:tcBorders>
                    <w:tl2br w:val="nil"/>
                    <w:tr2bl w:val="nil"/>
                  </w:tcBorders>
                  <w:vAlign w:val="center"/>
                </w:tcPr>
                <w:p w14:paraId="083F8C5B">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原料棚内</w:t>
                  </w:r>
                </w:p>
              </w:tc>
              <w:tc>
                <w:tcPr>
                  <w:tcW w:w="1621" w:type="pct"/>
                  <w:tcBorders>
                    <w:tl2br w:val="nil"/>
                    <w:tr2bl w:val="nil"/>
                  </w:tcBorders>
                  <w:vAlign w:val="center"/>
                </w:tcPr>
                <w:p w14:paraId="08F825C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77B96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36" w:type="pct"/>
                  <w:tcBorders>
                    <w:tl2br w:val="nil"/>
                    <w:tr2bl w:val="nil"/>
                  </w:tcBorders>
                  <w:vAlign w:val="center"/>
                </w:tcPr>
                <w:p w14:paraId="44780E07">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7</w:t>
                  </w:r>
                </w:p>
              </w:tc>
              <w:tc>
                <w:tcPr>
                  <w:tcW w:w="572" w:type="pct"/>
                  <w:tcBorders>
                    <w:tl2br w:val="nil"/>
                    <w:tr2bl w:val="nil"/>
                  </w:tcBorders>
                  <w:vAlign w:val="center"/>
                </w:tcPr>
                <w:p w14:paraId="4CBEFDCE">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颜料</w:t>
                  </w:r>
                </w:p>
              </w:tc>
              <w:tc>
                <w:tcPr>
                  <w:tcW w:w="607" w:type="pct"/>
                  <w:tcBorders>
                    <w:tl2br w:val="nil"/>
                    <w:tr2bl w:val="nil"/>
                  </w:tcBorders>
                  <w:vAlign w:val="center"/>
                </w:tcPr>
                <w:p w14:paraId="561BAAD1">
                  <w:pPr>
                    <w:pStyle w:val="144"/>
                    <w:jc w:val="center"/>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12414.7</w:t>
                  </w:r>
                </w:p>
              </w:tc>
              <w:tc>
                <w:tcPr>
                  <w:tcW w:w="574" w:type="pct"/>
                  <w:tcBorders>
                    <w:tl2br w:val="nil"/>
                    <w:tr2bl w:val="nil"/>
                  </w:tcBorders>
                  <w:vAlign w:val="center"/>
                </w:tcPr>
                <w:p w14:paraId="7E74EBB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0.01</w:t>
                  </w:r>
                </w:p>
              </w:tc>
              <w:tc>
                <w:tcPr>
                  <w:tcW w:w="987" w:type="pct"/>
                  <w:tcBorders>
                    <w:tl2br w:val="nil"/>
                    <w:tr2bl w:val="nil"/>
                  </w:tcBorders>
                  <w:vAlign w:val="center"/>
                </w:tcPr>
                <w:p w14:paraId="6684AD5D">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原料棚内</w:t>
                  </w:r>
                </w:p>
              </w:tc>
              <w:tc>
                <w:tcPr>
                  <w:tcW w:w="1621" w:type="pct"/>
                  <w:tcBorders>
                    <w:tl2br w:val="nil"/>
                    <w:tr2bl w:val="nil"/>
                  </w:tcBorders>
                  <w:vAlign w:val="center"/>
                </w:tcPr>
                <w:p w14:paraId="0AFBC4CC">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外购</w:t>
                  </w:r>
                </w:p>
              </w:tc>
            </w:tr>
            <w:tr w14:paraId="1250C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09" w:type="pct"/>
                  <w:gridSpan w:val="2"/>
                  <w:tcBorders>
                    <w:tl2br w:val="nil"/>
                    <w:tr2bl w:val="nil"/>
                  </w:tcBorders>
                  <w:vAlign w:val="center"/>
                </w:tcPr>
                <w:p w14:paraId="1F43FAA5">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合计</w:t>
                  </w:r>
                </w:p>
              </w:tc>
              <w:tc>
                <w:tcPr>
                  <w:tcW w:w="607" w:type="pct"/>
                  <w:tcBorders>
                    <w:tl2br w:val="nil"/>
                    <w:tr2bl w:val="nil"/>
                  </w:tcBorders>
                  <w:shd w:val="clear" w:color="auto" w:fill="auto"/>
                  <w:vAlign w:val="center"/>
                </w:tcPr>
                <w:p w14:paraId="0DF34544">
                  <w:pPr>
                    <w:pStyle w:val="144"/>
                    <w:jc w:val="center"/>
                    <w:rPr>
                      <w:rFonts w:hint="default" w:ascii="Times New Roman" w:hAnsi="Times New Roman" w:eastAsiaTheme="minorEastAsia"/>
                      <w:color w:val="000000" w:themeColor="text1"/>
                      <w:szCs w:val="21"/>
                      <w:lang w:val="en-US" w:eastAsia="en-US"/>
                      <w14:textFill>
                        <w14:solidFill>
                          <w14:schemeClr w14:val="tx1"/>
                        </w14:solidFill>
                      </w14:textFill>
                    </w:rPr>
                  </w:pPr>
                  <w:r>
                    <w:rPr>
                      <w:rFonts w:hint="default" w:ascii="Times New Roman" w:hAnsi="Times New Roman" w:eastAsiaTheme="minorEastAsia"/>
                      <w:color w:val="000000" w:themeColor="text1"/>
                      <w:szCs w:val="21"/>
                      <w:lang w:val="en-US" w:eastAsia="zh-CN"/>
                      <w14:textFill>
                        <w14:solidFill>
                          <w14:schemeClr w14:val="tx1"/>
                        </w14:solidFill>
                      </w14:textFill>
                    </w:rPr>
                    <w:t>95116.5</w:t>
                  </w:r>
                </w:p>
              </w:tc>
              <w:tc>
                <w:tcPr>
                  <w:tcW w:w="574" w:type="pct"/>
                  <w:tcBorders>
                    <w:tl2br w:val="nil"/>
                    <w:tr2bl w:val="nil"/>
                  </w:tcBorders>
                  <w:vAlign w:val="center"/>
                </w:tcPr>
                <w:p w14:paraId="48B4F375">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987" w:type="pct"/>
                  <w:tcBorders>
                    <w:tl2br w:val="nil"/>
                    <w:tr2bl w:val="nil"/>
                  </w:tcBorders>
                  <w:vAlign w:val="center"/>
                </w:tcPr>
                <w:p w14:paraId="60EC9A5B">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1621" w:type="pct"/>
                  <w:tcBorders>
                    <w:tl2br w:val="nil"/>
                    <w:tr2bl w:val="nil"/>
                  </w:tcBorders>
                  <w:vAlign w:val="center"/>
                </w:tcPr>
                <w:p w14:paraId="6FEA8081">
                  <w:pPr>
                    <w:pStyle w:val="144"/>
                    <w:jc w:val="center"/>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r>
          </w:tbl>
          <w:p w14:paraId="3F02A1D7">
            <w:pPr>
              <w:pStyle w:val="312"/>
              <w:widowControl w:val="0"/>
              <w:numPr>
                <w:ilvl w:val="0"/>
                <w:numId w:val="14"/>
              </w:numPr>
              <w:spacing w:line="240" w:lineRule="auto"/>
              <w:ind w:left="-2" w:firstLine="482" w:firstLineChars="0"/>
              <w:rPr>
                <w:rFonts w:eastAsiaTheme="minorEastAsia"/>
                <w:b/>
                <w:color w:val="000000" w:themeColor="text1"/>
                <w:lang w:val="zh-CN"/>
                <w14:textFill>
                  <w14:solidFill>
                    <w14:schemeClr w14:val="tx1"/>
                  </w14:solidFill>
                </w14:textFill>
              </w:rPr>
            </w:pPr>
            <w:r>
              <w:rPr>
                <w:rFonts w:eastAsiaTheme="minorEastAsia"/>
                <w:b/>
                <w:color w:val="000000" w:themeColor="text1"/>
                <w14:textFill>
                  <w14:solidFill>
                    <w14:schemeClr w14:val="tx1"/>
                  </w14:solidFill>
                </w14:textFill>
              </w:rPr>
              <w:t xml:space="preserve"> </w:t>
            </w:r>
            <w:r>
              <w:rPr>
                <w:rFonts w:eastAsiaTheme="minorEastAsia"/>
                <w:b/>
                <w:color w:val="000000" w:themeColor="text1"/>
                <w14:textFill>
                  <w14:solidFill>
                    <w14:schemeClr w14:val="tx1"/>
                  </w14:solidFill>
                </w14:textFill>
              </w:rPr>
              <w:t xml:space="preserve">            机制砂生产线物料平衡一览表</w:t>
            </w:r>
          </w:p>
          <w:tbl>
            <w:tblPr>
              <w:tblStyle w:val="1297"/>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65"/>
              <w:gridCol w:w="1093"/>
              <w:gridCol w:w="1343"/>
              <w:gridCol w:w="1352"/>
              <w:gridCol w:w="1381"/>
              <w:gridCol w:w="2734"/>
            </w:tblGrid>
            <w:tr w14:paraId="592E4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4" w:type="pct"/>
                  <w:vMerge w:val="restart"/>
                  <w:tcBorders>
                    <w:bottom w:val="nil"/>
                  </w:tcBorders>
                  <w:vAlign w:val="center"/>
                </w:tcPr>
                <w:p w14:paraId="6307959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序号</w:t>
                  </w:r>
                </w:p>
              </w:tc>
              <w:tc>
                <w:tcPr>
                  <w:tcW w:w="1438" w:type="pct"/>
                  <w:gridSpan w:val="2"/>
                  <w:vAlign w:val="center"/>
                </w:tcPr>
                <w:p w14:paraId="3503801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投入</w:t>
                  </w:r>
                </w:p>
              </w:tc>
              <w:tc>
                <w:tcPr>
                  <w:tcW w:w="1613" w:type="pct"/>
                  <w:gridSpan w:val="2"/>
                  <w:vAlign w:val="center"/>
                </w:tcPr>
                <w:p w14:paraId="62554326">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产出</w:t>
                  </w:r>
                </w:p>
              </w:tc>
              <w:tc>
                <w:tcPr>
                  <w:tcW w:w="1614" w:type="pct"/>
                  <w:vMerge w:val="restart"/>
                  <w:vAlign w:val="center"/>
                </w:tcPr>
                <w:p w14:paraId="7BFDF85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备注</w:t>
                  </w:r>
                </w:p>
              </w:tc>
            </w:tr>
            <w:tr w14:paraId="7F8AD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4" w:type="pct"/>
                  <w:vMerge w:val="continue"/>
                  <w:tcBorders>
                    <w:top w:val="nil"/>
                  </w:tcBorders>
                  <w:vAlign w:val="center"/>
                </w:tcPr>
                <w:p w14:paraId="5E5E45B7">
                  <w:pPr>
                    <w:pStyle w:val="144"/>
                    <w:rPr>
                      <w:rFonts w:ascii="Times New Roman" w:hAnsi="Times New Roman" w:eastAsiaTheme="minorEastAsia"/>
                      <w:color w:val="000000" w:themeColor="text1"/>
                      <w:szCs w:val="21"/>
                      <w:lang w:eastAsia="en-US"/>
                      <w14:textFill>
                        <w14:solidFill>
                          <w14:schemeClr w14:val="tx1"/>
                        </w14:solidFill>
                      </w14:textFill>
                    </w:rPr>
                  </w:pPr>
                </w:p>
              </w:tc>
              <w:tc>
                <w:tcPr>
                  <w:tcW w:w="644" w:type="pct"/>
                  <w:vAlign w:val="center"/>
                </w:tcPr>
                <w:p w14:paraId="61A56BA0">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名称</w:t>
                  </w:r>
                </w:p>
              </w:tc>
              <w:tc>
                <w:tcPr>
                  <w:tcW w:w="793" w:type="pct"/>
                  <w:vAlign w:val="center"/>
                </w:tcPr>
                <w:p w14:paraId="221EB36A">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数量</w:t>
                  </w:r>
                  <w:r>
                    <w:rPr>
                      <w:rFonts w:hint="eastAsia" w:ascii="Times New Roman" w:hAnsi="Times New Roman" w:eastAsiaTheme="minorEastAsia"/>
                      <w:color w:val="000000" w:themeColor="text1"/>
                      <w:szCs w:val="21"/>
                      <w:lang w:eastAsia="en-US"/>
                      <w14:textFill>
                        <w14:solidFill>
                          <w14:schemeClr w14:val="tx1"/>
                        </w14:solidFill>
                      </w14:textFill>
                    </w:rPr>
                    <w:t>（</w:t>
                  </w:r>
                  <w:r>
                    <w:rPr>
                      <w:rFonts w:ascii="Times New Roman" w:hAnsi="Times New Roman" w:eastAsiaTheme="minorEastAsia"/>
                      <w:color w:val="000000" w:themeColor="text1"/>
                      <w:szCs w:val="21"/>
                      <w:lang w:eastAsia="en-US"/>
                      <w14:textFill>
                        <w14:solidFill>
                          <w14:schemeClr w14:val="tx1"/>
                        </w14:solidFill>
                      </w14:textFill>
                    </w:rPr>
                    <w:t>万t/a</w:t>
                  </w:r>
                  <w:r>
                    <w:rPr>
                      <w:rFonts w:hint="eastAsia" w:ascii="Times New Roman" w:hAnsi="Times New Roman" w:eastAsiaTheme="minorEastAsia"/>
                      <w:color w:val="000000" w:themeColor="text1"/>
                      <w:szCs w:val="21"/>
                      <w:lang w:eastAsia="en-US"/>
                      <w14:textFill>
                        <w14:solidFill>
                          <w14:schemeClr w14:val="tx1"/>
                        </w14:solidFill>
                      </w14:textFill>
                    </w:rPr>
                    <w:t>）</w:t>
                  </w:r>
                </w:p>
              </w:tc>
              <w:tc>
                <w:tcPr>
                  <w:tcW w:w="798" w:type="pct"/>
                  <w:vAlign w:val="center"/>
                </w:tcPr>
                <w:p w14:paraId="0ED5BEA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名称</w:t>
                  </w:r>
                </w:p>
              </w:tc>
              <w:tc>
                <w:tcPr>
                  <w:tcW w:w="815" w:type="pct"/>
                  <w:vAlign w:val="center"/>
                </w:tcPr>
                <w:p w14:paraId="38FEE72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数量</w:t>
                  </w:r>
                  <w:r>
                    <w:rPr>
                      <w:rFonts w:hint="eastAsia" w:ascii="Times New Roman" w:hAnsi="Times New Roman" w:eastAsiaTheme="minorEastAsia"/>
                      <w:color w:val="000000" w:themeColor="text1"/>
                      <w:szCs w:val="21"/>
                      <w:lang w:eastAsia="en-US"/>
                      <w14:textFill>
                        <w14:solidFill>
                          <w14:schemeClr w14:val="tx1"/>
                        </w14:solidFill>
                      </w14:textFill>
                    </w:rPr>
                    <w:t>（</w:t>
                  </w:r>
                  <w:r>
                    <w:rPr>
                      <w:rFonts w:ascii="Times New Roman" w:hAnsi="Times New Roman" w:eastAsiaTheme="minorEastAsia"/>
                      <w:color w:val="000000" w:themeColor="text1"/>
                      <w:szCs w:val="21"/>
                      <w:lang w:eastAsia="en-US"/>
                      <w14:textFill>
                        <w14:solidFill>
                          <w14:schemeClr w14:val="tx1"/>
                        </w14:solidFill>
                      </w14:textFill>
                    </w:rPr>
                    <w:t>万t/a</w:t>
                  </w:r>
                  <w:r>
                    <w:rPr>
                      <w:rFonts w:hint="eastAsia" w:ascii="Times New Roman" w:hAnsi="Times New Roman" w:eastAsiaTheme="minorEastAsia"/>
                      <w:color w:val="000000" w:themeColor="text1"/>
                      <w:szCs w:val="21"/>
                      <w:lang w:eastAsia="en-US"/>
                      <w14:textFill>
                        <w14:solidFill>
                          <w14:schemeClr w14:val="tx1"/>
                        </w14:solidFill>
                      </w14:textFill>
                    </w:rPr>
                    <w:t>）</w:t>
                  </w:r>
                </w:p>
              </w:tc>
              <w:tc>
                <w:tcPr>
                  <w:tcW w:w="1614" w:type="pct"/>
                  <w:vMerge w:val="continue"/>
                  <w:vAlign w:val="center"/>
                </w:tcPr>
                <w:p w14:paraId="25F693A5">
                  <w:pPr>
                    <w:pStyle w:val="144"/>
                    <w:rPr>
                      <w:rFonts w:ascii="Times New Roman" w:hAnsi="Times New Roman" w:eastAsiaTheme="minorEastAsia"/>
                      <w:color w:val="000000" w:themeColor="text1"/>
                      <w:szCs w:val="21"/>
                      <w:lang w:eastAsia="en-US"/>
                      <w14:textFill>
                        <w14:solidFill>
                          <w14:schemeClr w14:val="tx1"/>
                        </w14:solidFill>
                      </w14:textFill>
                    </w:rPr>
                  </w:pPr>
                </w:p>
              </w:tc>
            </w:tr>
            <w:tr w14:paraId="06981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4" w:type="pct"/>
                  <w:vAlign w:val="center"/>
                </w:tcPr>
                <w:p w14:paraId="0C7C991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1</w:t>
                  </w:r>
                </w:p>
              </w:tc>
              <w:tc>
                <w:tcPr>
                  <w:tcW w:w="644" w:type="pct"/>
                  <w:vAlign w:val="center"/>
                </w:tcPr>
                <w:p w14:paraId="230AB34C">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机制砂用</w:t>
                  </w:r>
                </w:p>
                <w:p w14:paraId="6C8D2234">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煤矸石</w:t>
                  </w:r>
                </w:p>
              </w:tc>
              <w:tc>
                <w:tcPr>
                  <w:tcW w:w="793" w:type="pct"/>
                  <w:vAlign w:val="center"/>
                </w:tcPr>
                <w:p w14:paraId="7D661C8C">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83.25</w:t>
                  </w:r>
                </w:p>
              </w:tc>
              <w:tc>
                <w:tcPr>
                  <w:tcW w:w="798" w:type="pct"/>
                  <w:vAlign w:val="center"/>
                </w:tcPr>
                <w:p w14:paraId="51622A3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机制砂</w:t>
                  </w:r>
                </w:p>
              </w:tc>
              <w:tc>
                <w:tcPr>
                  <w:tcW w:w="815" w:type="pct"/>
                  <w:vAlign w:val="center"/>
                </w:tcPr>
                <w:p w14:paraId="3DFA1D2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40</w:t>
                  </w:r>
                </w:p>
              </w:tc>
              <w:tc>
                <w:tcPr>
                  <w:tcW w:w="1614" w:type="pct"/>
                  <w:vAlign w:val="center"/>
                </w:tcPr>
                <w:p w14:paraId="3F3C47B7">
                  <w:pPr>
                    <w:pStyle w:val="144"/>
                    <w:rPr>
                      <w:rFonts w:ascii="Times New Roman" w:hAnsi="Times New Roman" w:eastAsiaTheme="minorEastAsia"/>
                      <w:color w:val="000000" w:themeColor="text1"/>
                      <w:szCs w:val="21"/>
                      <w:lang w:eastAsia="en-US"/>
                      <w14:textFill>
                        <w14:solidFill>
                          <w14:schemeClr w14:val="tx1"/>
                        </w14:solidFill>
                      </w14:textFill>
                    </w:rPr>
                  </w:pPr>
                </w:p>
              </w:tc>
            </w:tr>
            <w:tr w14:paraId="1CC1E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4" w:type="pct"/>
                  <w:vAlign w:val="center"/>
                </w:tcPr>
                <w:p w14:paraId="12DD487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2</w:t>
                  </w:r>
                </w:p>
              </w:tc>
              <w:tc>
                <w:tcPr>
                  <w:tcW w:w="644" w:type="pct"/>
                  <w:vAlign w:val="center"/>
                </w:tcPr>
                <w:p w14:paraId="4E31B042">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793" w:type="pct"/>
                  <w:vAlign w:val="center"/>
                </w:tcPr>
                <w:p w14:paraId="6343A23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798" w:type="pct"/>
                  <w:vAlign w:val="center"/>
                </w:tcPr>
                <w:p w14:paraId="34B270A5">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粉面（副产品）</w:t>
                  </w:r>
                </w:p>
              </w:tc>
              <w:tc>
                <w:tcPr>
                  <w:tcW w:w="1403" w:type="dxa"/>
                  <w:vAlign w:val="center"/>
                </w:tcPr>
                <w:p w14:paraId="3C9835EB">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3.875</w:t>
                  </w:r>
                </w:p>
              </w:tc>
              <w:tc>
                <w:tcPr>
                  <w:tcW w:w="1614" w:type="pct"/>
                  <w:vAlign w:val="center"/>
                </w:tcPr>
                <w:p w14:paraId="36595941">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用于</w:t>
                  </w:r>
                  <w:r>
                    <w:rPr>
                      <w:rFonts w:hint="eastAsia" w:ascii="Times New Roman" w:hAnsi="Times New Roman" w:eastAsiaTheme="minorEastAsia"/>
                      <w:color w:val="000000" w:themeColor="text1"/>
                      <w:szCs w:val="21"/>
                      <w:lang w:val="en-US" w:eastAsia="zh-CN"/>
                      <w14:textFill>
                        <w14:solidFill>
                          <w14:schemeClr w14:val="tx1"/>
                        </w14:solidFill>
                      </w14:textFill>
                    </w:rPr>
                    <w:t>免烧砖</w:t>
                  </w:r>
                  <w:r>
                    <w:rPr>
                      <w:rFonts w:ascii="Times New Roman" w:hAnsi="Times New Roman" w:eastAsiaTheme="minorEastAsia"/>
                      <w:color w:val="000000" w:themeColor="text1"/>
                      <w:szCs w:val="21"/>
                      <w:lang w:eastAsia="en-US"/>
                      <w14:textFill>
                        <w14:solidFill>
                          <w14:schemeClr w14:val="tx1"/>
                        </w14:solidFill>
                      </w14:textFill>
                    </w:rPr>
                    <w:t>生产线</w:t>
                  </w:r>
                </w:p>
              </w:tc>
            </w:tr>
            <w:tr w14:paraId="0A7A4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4" w:type="pct"/>
                  <w:vAlign w:val="center"/>
                </w:tcPr>
                <w:p w14:paraId="55CCD8F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3</w:t>
                  </w:r>
                </w:p>
              </w:tc>
              <w:tc>
                <w:tcPr>
                  <w:tcW w:w="644" w:type="pct"/>
                  <w:vAlign w:val="center"/>
                </w:tcPr>
                <w:p w14:paraId="2EAD79B7">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793" w:type="pct"/>
                  <w:vAlign w:val="center"/>
                </w:tcPr>
                <w:p w14:paraId="50233B7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798" w:type="pct"/>
                  <w:vAlign w:val="center"/>
                </w:tcPr>
                <w:p w14:paraId="72AD4A33">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小料</w:t>
                  </w:r>
                </w:p>
              </w:tc>
              <w:tc>
                <w:tcPr>
                  <w:tcW w:w="1403" w:type="dxa"/>
                  <w:vAlign w:val="center"/>
                </w:tcPr>
                <w:p w14:paraId="7D047E09">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30.5</w:t>
                  </w:r>
                </w:p>
              </w:tc>
              <w:tc>
                <w:tcPr>
                  <w:tcW w:w="1614" w:type="pct"/>
                  <w:vMerge w:val="restart"/>
                  <w:vAlign w:val="center"/>
                </w:tcPr>
                <w:p w14:paraId="306414A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外售给混凝土搅拌站、沥青搅拌站</w:t>
                  </w:r>
                </w:p>
              </w:tc>
            </w:tr>
            <w:tr w14:paraId="06701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34" w:type="pct"/>
                  <w:vAlign w:val="center"/>
                </w:tcPr>
                <w:p w14:paraId="105BE77F">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4</w:t>
                  </w:r>
                </w:p>
              </w:tc>
              <w:tc>
                <w:tcPr>
                  <w:tcW w:w="644" w:type="pct"/>
                  <w:vAlign w:val="center"/>
                </w:tcPr>
                <w:p w14:paraId="30CCADA8">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793" w:type="pct"/>
                  <w:vAlign w:val="center"/>
                </w:tcPr>
                <w:p w14:paraId="372EDA8D">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w:t>
                  </w:r>
                </w:p>
              </w:tc>
              <w:tc>
                <w:tcPr>
                  <w:tcW w:w="798" w:type="pct"/>
                  <w:vAlign w:val="center"/>
                </w:tcPr>
                <w:p w14:paraId="1B8328DE">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中料</w:t>
                  </w:r>
                </w:p>
              </w:tc>
              <w:tc>
                <w:tcPr>
                  <w:tcW w:w="1403" w:type="dxa"/>
                  <w:vAlign w:val="center"/>
                </w:tcPr>
                <w:p w14:paraId="11C397BB">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23.875</w:t>
                  </w:r>
                </w:p>
              </w:tc>
              <w:tc>
                <w:tcPr>
                  <w:tcW w:w="1614" w:type="pct"/>
                  <w:vMerge w:val="continue"/>
                  <w:vAlign w:val="center"/>
                </w:tcPr>
                <w:p w14:paraId="17A09490">
                  <w:pPr>
                    <w:pStyle w:val="144"/>
                    <w:rPr>
                      <w:rFonts w:ascii="Times New Roman" w:hAnsi="Times New Roman" w:eastAsiaTheme="minorEastAsia"/>
                      <w:color w:val="000000" w:themeColor="text1"/>
                      <w:szCs w:val="21"/>
                      <w:lang w:eastAsia="en-US"/>
                      <w14:textFill>
                        <w14:solidFill>
                          <w14:schemeClr w14:val="tx1"/>
                        </w14:solidFill>
                      </w14:textFill>
                    </w:rPr>
                  </w:pPr>
                </w:p>
              </w:tc>
            </w:tr>
            <w:tr w14:paraId="73881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979" w:type="pct"/>
                  <w:gridSpan w:val="2"/>
                  <w:vAlign w:val="center"/>
                </w:tcPr>
                <w:p w14:paraId="145E6C1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合计</w:t>
                  </w:r>
                </w:p>
              </w:tc>
              <w:tc>
                <w:tcPr>
                  <w:tcW w:w="793" w:type="pct"/>
                  <w:vAlign w:val="center"/>
                </w:tcPr>
                <w:p w14:paraId="0565CA0F">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83.25</w:t>
                  </w:r>
                </w:p>
              </w:tc>
              <w:tc>
                <w:tcPr>
                  <w:tcW w:w="798" w:type="pct"/>
                  <w:vAlign w:val="center"/>
                </w:tcPr>
                <w:p w14:paraId="2D056629">
                  <w:pPr>
                    <w:pStyle w:val="144"/>
                    <w:rPr>
                      <w:rFonts w:ascii="Times New Roman" w:hAnsi="Times New Roman" w:eastAsiaTheme="minorEastAsia"/>
                      <w:color w:val="000000" w:themeColor="text1"/>
                      <w:szCs w:val="21"/>
                      <w:lang w:eastAsia="en-US"/>
                      <w14:textFill>
                        <w14:solidFill>
                          <w14:schemeClr w14:val="tx1"/>
                        </w14:solidFill>
                      </w14:textFill>
                    </w:rPr>
                  </w:pPr>
                  <w:r>
                    <w:rPr>
                      <w:rFonts w:ascii="Times New Roman" w:hAnsi="Times New Roman" w:eastAsiaTheme="minorEastAsia"/>
                      <w:color w:val="000000" w:themeColor="text1"/>
                      <w:szCs w:val="21"/>
                      <w:lang w:eastAsia="en-US"/>
                      <w14:textFill>
                        <w14:solidFill>
                          <w14:schemeClr w14:val="tx1"/>
                        </w14:solidFill>
                      </w14:textFill>
                    </w:rPr>
                    <w:t>合计</w:t>
                  </w:r>
                </w:p>
              </w:tc>
              <w:tc>
                <w:tcPr>
                  <w:tcW w:w="1403" w:type="dxa"/>
                  <w:vAlign w:val="center"/>
                </w:tcPr>
                <w:p w14:paraId="432CFC06">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83.25</w:t>
                  </w:r>
                </w:p>
              </w:tc>
              <w:tc>
                <w:tcPr>
                  <w:tcW w:w="1614" w:type="pct"/>
                  <w:vAlign w:val="center"/>
                </w:tcPr>
                <w:p w14:paraId="2FCD56CF">
                  <w:pPr>
                    <w:pStyle w:val="144"/>
                    <w:rPr>
                      <w:rFonts w:ascii="Times New Roman" w:hAnsi="Times New Roman" w:eastAsiaTheme="minorEastAsia"/>
                      <w:color w:val="000000" w:themeColor="text1"/>
                      <w:szCs w:val="21"/>
                      <w:lang w:eastAsia="en-US"/>
                      <w14:textFill>
                        <w14:solidFill>
                          <w14:schemeClr w14:val="tx1"/>
                        </w14:solidFill>
                      </w14:textFill>
                    </w:rPr>
                  </w:pPr>
                </w:p>
              </w:tc>
            </w:tr>
          </w:tbl>
          <w:p w14:paraId="26A35C85">
            <w:pPr>
              <w:pStyle w:val="312"/>
              <w:widowControl w:val="0"/>
              <w:numPr>
                <w:ilvl w:val="0"/>
                <w:numId w:val="14"/>
              </w:numPr>
              <w:spacing w:line="240" w:lineRule="auto"/>
              <w:ind w:left="-2" w:firstLine="482" w:firstLineChars="0"/>
              <w:rPr>
                <w:rFonts w:hint="default" w:ascii="Times New Roman" w:hAnsi="Times New Roman" w:cs="Times New Roman" w:eastAsiaTheme="minorEastAsia"/>
                <w:b/>
                <w:color w:val="000000" w:themeColor="text1"/>
                <w14:textFill>
                  <w14:solidFill>
                    <w14:schemeClr w14:val="tx1"/>
                  </w14:solidFill>
                </w14:textFill>
              </w:rPr>
            </w:pPr>
            <w:r>
              <w:rPr>
                <w:rFonts w:hint="eastAsia" w:ascii="Times New Roman" w:hAnsi="Times New Roman" w:cs="Times New Roman" w:eastAsiaTheme="minorEastAsia"/>
                <w:b/>
                <w:color w:val="000000" w:themeColor="text1"/>
                <w:lang w:val="en-US" w:eastAsia="zh-CN"/>
                <w14:textFill>
                  <w14:solidFill>
                    <w14:schemeClr w14:val="tx1"/>
                  </w14:solidFill>
                </w14:textFill>
              </w:rPr>
              <w:t xml:space="preserve">              </w:t>
            </w:r>
            <w:r>
              <w:rPr>
                <w:rFonts w:hint="eastAsia" w:ascii="Times New Roman" w:hAnsi="Times New Roman" w:cs="Times New Roman" w:eastAsiaTheme="minorEastAsia"/>
                <w:b/>
                <w:color w:val="000000" w:themeColor="text1"/>
                <w:lang w:eastAsia="zh-CN"/>
                <w14:textFill>
                  <w14:solidFill>
                    <w14:schemeClr w14:val="tx1"/>
                  </w14:solidFill>
                </w14:textFill>
              </w:rPr>
              <w:t>烧结砖生产线硫平衡</w:t>
            </w:r>
            <w:r>
              <w:rPr>
                <w:rFonts w:hint="default" w:ascii="Times New Roman" w:hAnsi="Times New Roman" w:cs="Times New Roman" w:eastAsiaTheme="minorEastAsia"/>
                <w:b/>
                <w:color w:val="000000" w:themeColor="text1"/>
                <w14:textFill>
                  <w14:solidFill>
                    <w14:schemeClr w14:val="tx1"/>
                  </w14:solidFill>
                </w14:textFill>
              </w:rPr>
              <w:t>一览表</w:t>
            </w:r>
          </w:p>
          <w:tbl>
            <w:tblPr>
              <w:tblStyle w:val="8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9"/>
              <w:gridCol w:w="1051"/>
              <w:gridCol w:w="1354"/>
              <w:gridCol w:w="1161"/>
              <w:gridCol w:w="1496"/>
              <w:gridCol w:w="1523"/>
              <w:gridCol w:w="1146"/>
            </w:tblGrid>
            <w:tr w14:paraId="0A2B1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36" w:type="pct"/>
                  <w:vMerge w:val="restart"/>
                  <w:noWrap w:val="0"/>
                  <w:vAlign w:val="center"/>
                </w:tcPr>
                <w:p w14:paraId="39719D9A">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序号</w:t>
                  </w:r>
                </w:p>
              </w:tc>
              <w:tc>
                <w:tcPr>
                  <w:tcW w:w="2987" w:type="pct"/>
                  <w:gridSpan w:val="4"/>
                  <w:noWrap w:val="0"/>
                  <w:vAlign w:val="center"/>
                </w:tcPr>
                <w:p w14:paraId="05171FE2">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年投入</w:t>
                  </w:r>
                </w:p>
              </w:tc>
              <w:tc>
                <w:tcPr>
                  <w:tcW w:w="1575" w:type="pct"/>
                  <w:gridSpan w:val="2"/>
                  <w:noWrap w:val="0"/>
                  <w:vAlign w:val="center"/>
                </w:tcPr>
                <w:p w14:paraId="0F610706">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年产出</w:t>
                  </w:r>
                </w:p>
              </w:tc>
            </w:tr>
            <w:tr w14:paraId="4DD11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36" w:type="pct"/>
                  <w:vMerge w:val="continue"/>
                  <w:tcBorders>
                    <w:top w:val="nil"/>
                  </w:tcBorders>
                  <w:noWrap w:val="0"/>
                  <w:vAlign w:val="center"/>
                </w:tcPr>
                <w:p w14:paraId="051AC32C">
                  <w:pPr>
                    <w:pStyle w:val="144"/>
                    <w:rPr>
                      <w:rFonts w:ascii="Times New Roman" w:hAnsi="Times New Roman" w:cs="Times New Roman" w:eastAsiaTheme="minorEastAsia"/>
                      <w:color w:val="000000" w:themeColor="text1"/>
                      <w:szCs w:val="21"/>
                      <w:lang w:eastAsia="en-US"/>
                      <w14:textFill>
                        <w14:solidFill>
                          <w14:schemeClr w14:val="tx1"/>
                        </w14:solidFill>
                      </w14:textFill>
                    </w:rPr>
                  </w:pPr>
                </w:p>
              </w:tc>
              <w:tc>
                <w:tcPr>
                  <w:tcW w:w="620" w:type="pct"/>
                  <w:noWrap w:val="0"/>
                  <w:vAlign w:val="center"/>
                </w:tcPr>
                <w:p w14:paraId="45BF06C2">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名称</w:t>
                  </w:r>
                </w:p>
              </w:tc>
              <w:tc>
                <w:tcPr>
                  <w:tcW w:w="799" w:type="pct"/>
                  <w:noWrap w:val="0"/>
                  <w:vAlign w:val="center"/>
                </w:tcPr>
                <w:p w14:paraId="0EA3A267">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数量（万t）</w:t>
                  </w:r>
                </w:p>
              </w:tc>
              <w:tc>
                <w:tcPr>
                  <w:tcW w:w="685" w:type="pct"/>
                  <w:noWrap w:val="0"/>
                  <w:vAlign w:val="center"/>
                </w:tcPr>
                <w:p w14:paraId="30703648">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含硫率</w:t>
                  </w:r>
                </w:p>
              </w:tc>
              <w:tc>
                <w:tcPr>
                  <w:tcW w:w="882" w:type="pct"/>
                  <w:noWrap w:val="0"/>
                  <w:vAlign w:val="center"/>
                </w:tcPr>
                <w:p w14:paraId="6383B4E8">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硫含量（t）</w:t>
                  </w:r>
                </w:p>
              </w:tc>
              <w:tc>
                <w:tcPr>
                  <w:tcW w:w="899" w:type="pct"/>
                  <w:noWrap w:val="0"/>
                  <w:vAlign w:val="center"/>
                </w:tcPr>
                <w:p w14:paraId="028C156D">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名称</w:t>
                  </w:r>
                </w:p>
              </w:tc>
              <w:tc>
                <w:tcPr>
                  <w:tcW w:w="675" w:type="pct"/>
                  <w:noWrap w:val="0"/>
                  <w:vAlign w:val="center"/>
                </w:tcPr>
                <w:p w14:paraId="2D6A2BCD">
                  <w:pPr>
                    <w:pStyle w:val="144"/>
                    <w:ind w:firstLine="0" w:firstLineChars="0"/>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硫含量（t）</w:t>
                  </w:r>
                </w:p>
              </w:tc>
            </w:tr>
            <w:tr w14:paraId="7FA4A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36" w:type="pct"/>
                  <w:noWrap w:val="0"/>
                  <w:vAlign w:val="center"/>
                </w:tcPr>
                <w:p w14:paraId="5EA8CA4F">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1</w:t>
                  </w:r>
                </w:p>
              </w:tc>
              <w:tc>
                <w:tcPr>
                  <w:tcW w:w="620" w:type="pct"/>
                  <w:noWrap w:val="0"/>
                  <w:vAlign w:val="center"/>
                </w:tcPr>
                <w:p w14:paraId="1F7A9E9D">
                  <w:pPr>
                    <w:pStyle w:val="144"/>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矸石</w:t>
                  </w:r>
                </w:p>
              </w:tc>
              <w:tc>
                <w:tcPr>
                  <w:tcW w:w="799" w:type="pct"/>
                  <w:noWrap w:val="0"/>
                  <w:vAlign w:val="center"/>
                </w:tcPr>
                <w:p w14:paraId="529FF621">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73.185</w:t>
                  </w:r>
                </w:p>
              </w:tc>
              <w:tc>
                <w:tcPr>
                  <w:tcW w:w="685" w:type="pct"/>
                  <w:noWrap w:val="0"/>
                  <w:vAlign w:val="center"/>
                </w:tcPr>
                <w:p w14:paraId="431CF67F">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0.</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23</w:t>
                  </w: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882" w:type="pct"/>
                  <w:noWrap w:val="0"/>
                  <w:vAlign w:val="center"/>
                </w:tcPr>
                <w:p w14:paraId="1DA8CE47">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1683.25</w:t>
                  </w:r>
                </w:p>
              </w:tc>
              <w:tc>
                <w:tcPr>
                  <w:tcW w:w="899" w:type="pct"/>
                  <w:noWrap w:val="0"/>
                  <w:vAlign w:val="center"/>
                </w:tcPr>
                <w:p w14:paraId="2B74F6FC">
                  <w:pPr>
                    <w:pStyle w:val="144"/>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烧结砖含硫</w:t>
                  </w:r>
                </w:p>
              </w:tc>
              <w:tc>
                <w:tcPr>
                  <w:tcW w:w="1146" w:type="dxa"/>
                  <w:noWrap w:val="0"/>
                  <w:vAlign w:val="center"/>
                </w:tcPr>
                <w:p w14:paraId="502E543E">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1055.25</w:t>
                  </w:r>
                </w:p>
              </w:tc>
            </w:tr>
            <w:tr w14:paraId="7121A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36" w:type="pct"/>
                  <w:noWrap w:val="0"/>
                  <w:vAlign w:val="center"/>
                </w:tcPr>
                <w:p w14:paraId="517D7162">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2</w:t>
                  </w:r>
                </w:p>
              </w:tc>
              <w:tc>
                <w:tcPr>
                  <w:tcW w:w="1051" w:type="dxa"/>
                  <w:noWrap w:val="0"/>
                  <w:vAlign w:val="center"/>
                </w:tcPr>
                <w:p w14:paraId="1C20B5A2">
                  <w:pPr>
                    <w:pStyle w:val="144"/>
                    <w:ind w:firstLine="0" w:firstLineChars="0"/>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1354" w:type="dxa"/>
                  <w:noWrap w:val="0"/>
                  <w:vAlign w:val="center"/>
                </w:tcPr>
                <w:p w14:paraId="54A4DC76">
                  <w:pPr>
                    <w:pStyle w:val="144"/>
                    <w:ind w:firstLine="0" w:firstLineChars="0"/>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1161" w:type="dxa"/>
                  <w:noWrap w:val="0"/>
                  <w:vAlign w:val="center"/>
                </w:tcPr>
                <w:p w14:paraId="5B16E181">
                  <w:pPr>
                    <w:pStyle w:val="144"/>
                    <w:ind w:firstLine="0" w:firstLineChars="0"/>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1496" w:type="dxa"/>
                  <w:noWrap w:val="0"/>
                  <w:vAlign w:val="center"/>
                </w:tcPr>
                <w:p w14:paraId="32A48988">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w:t>
                  </w:r>
                </w:p>
              </w:tc>
              <w:tc>
                <w:tcPr>
                  <w:tcW w:w="899" w:type="pct"/>
                  <w:noWrap w:val="0"/>
                  <w:vAlign w:val="center"/>
                </w:tcPr>
                <w:p w14:paraId="21CE520D">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烟气排放</w:t>
                  </w:r>
                </w:p>
              </w:tc>
              <w:tc>
                <w:tcPr>
                  <w:tcW w:w="1146" w:type="dxa"/>
                  <w:noWrap w:val="0"/>
                  <w:vAlign w:val="center"/>
                </w:tcPr>
                <w:p w14:paraId="51E81A67">
                  <w:pPr>
                    <w:pStyle w:val="144"/>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35.08</w:t>
                  </w:r>
                </w:p>
              </w:tc>
            </w:tr>
            <w:tr w14:paraId="2E685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36" w:type="pct"/>
                  <w:noWrap w:val="0"/>
                  <w:vAlign w:val="center"/>
                </w:tcPr>
                <w:p w14:paraId="773C3AF8">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3</w:t>
                  </w:r>
                </w:p>
              </w:tc>
              <w:tc>
                <w:tcPr>
                  <w:tcW w:w="620" w:type="pct"/>
                  <w:noWrap w:val="0"/>
                  <w:vAlign w:val="center"/>
                </w:tcPr>
                <w:p w14:paraId="5AF349B7">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799" w:type="pct"/>
                  <w:noWrap w:val="0"/>
                  <w:vAlign w:val="center"/>
                </w:tcPr>
                <w:p w14:paraId="38B3C474">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685" w:type="pct"/>
                  <w:noWrap w:val="0"/>
                  <w:vAlign w:val="center"/>
                </w:tcPr>
                <w:p w14:paraId="6E9CCDF8">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882" w:type="pct"/>
                  <w:noWrap w:val="0"/>
                  <w:vAlign w:val="center"/>
                </w:tcPr>
                <w:p w14:paraId="1A6A021D">
                  <w:pPr>
                    <w:pStyle w:val="144"/>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w:t>
                  </w:r>
                </w:p>
              </w:tc>
              <w:tc>
                <w:tcPr>
                  <w:tcW w:w="899" w:type="pct"/>
                  <w:noWrap w:val="0"/>
                  <w:vAlign w:val="center"/>
                </w:tcPr>
                <w:p w14:paraId="70F9B18B">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脱硫渣</w:t>
                  </w:r>
                </w:p>
              </w:tc>
              <w:tc>
                <w:tcPr>
                  <w:tcW w:w="1146" w:type="dxa"/>
                  <w:noWrap w:val="0"/>
                  <w:vAlign w:val="center"/>
                </w:tcPr>
                <w:p w14:paraId="3FD456B1">
                  <w:pPr>
                    <w:pStyle w:val="144"/>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592.92</w:t>
                  </w:r>
                </w:p>
              </w:tc>
            </w:tr>
            <w:tr w14:paraId="7EE7E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36" w:type="pct"/>
                  <w:noWrap w:val="0"/>
                  <w:vAlign w:val="center"/>
                </w:tcPr>
                <w:p w14:paraId="125A2990">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合计</w:t>
                  </w:r>
                </w:p>
              </w:tc>
              <w:tc>
                <w:tcPr>
                  <w:tcW w:w="620" w:type="pct"/>
                  <w:noWrap w:val="0"/>
                  <w:vAlign w:val="center"/>
                </w:tcPr>
                <w:p w14:paraId="56E46CF2">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799" w:type="pct"/>
                  <w:noWrap w:val="0"/>
                  <w:vAlign w:val="center"/>
                </w:tcPr>
                <w:p w14:paraId="06818C7E">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685" w:type="pct"/>
                  <w:noWrap w:val="0"/>
                  <w:vAlign w:val="center"/>
                </w:tcPr>
                <w:p w14:paraId="13C32D47">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882" w:type="pct"/>
                  <w:noWrap w:val="0"/>
                  <w:vAlign w:val="center"/>
                </w:tcPr>
                <w:p w14:paraId="7D943AB3">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1683.25</w:t>
                  </w:r>
                </w:p>
              </w:tc>
              <w:tc>
                <w:tcPr>
                  <w:tcW w:w="899" w:type="pct"/>
                  <w:noWrap w:val="0"/>
                  <w:vAlign w:val="center"/>
                </w:tcPr>
                <w:p w14:paraId="309583E0">
                  <w:pPr>
                    <w:pStyle w:val="144"/>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en-US"/>
                      <w14:textFill>
                        <w14:solidFill>
                          <w14:schemeClr w14:val="tx1"/>
                        </w14:solidFill>
                      </w14:textFill>
                    </w:rPr>
                    <w:t>合计</w:t>
                  </w:r>
                </w:p>
              </w:tc>
              <w:tc>
                <w:tcPr>
                  <w:tcW w:w="1146" w:type="dxa"/>
                  <w:noWrap w:val="0"/>
                  <w:vAlign w:val="center"/>
                </w:tcPr>
                <w:p w14:paraId="449EA9D4">
                  <w:pPr>
                    <w:pStyle w:val="144"/>
                    <w:rPr>
                      <w:rFonts w:hint="eastAsia" w:ascii="Times New Roman" w:hAnsi="Times New Roman" w:eastAsiaTheme="minorEastAsia"/>
                      <w:color w:val="000000" w:themeColor="text1"/>
                      <w:szCs w:val="21"/>
                      <w:lang w:val="en-US"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1683.25</w:t>
                  </w:r>
                </w:p>
              </w:tc>
            </w:tr>
          </w:tbl>
          <w:p w14:paraId="11A0DEA8">
            <w:pPr>
              <w:pStyle w:val="312"/>
              <w:widowControl w:val="0"/>
              <w:numPr>
                <w:ilvl w:val="0"/>
                <w:numId w:val="14"/>
              </w:numPr>
              <w:spacing w:line="240" w:lineRule="auto"/>
              <w:ind w:left="-2" w:firstLine="482" w:firstLineChars="0"/>
              <w:rPr>
                <w:rFonts w:hint="default" w:ascii="Times New Roman" w:hAnsi="Times New Roman" w:cs="Times New Roman" w:eastAsiaTheme="minorEastAsia"/>
                <w:b/>
                <w:color w:val="000000" w:themeColor="text1"/>
                <w:lang w:val="en-US" w:eastAsia="zh-CN"/>
                <w14:textFill>
                  <w14:solidFill>
                    <w14:schemeClr w14:val="tx1"/>
                  </w14:solidFill>
                </w14:textFill>
              </w:rPr>
            </w:pPr>
            <w:r>
              <w:rPr>
                <w:rFonts w:hint="eastAsia" w:cs="Times New Roman" w:eastAsiaTheme="minorEastAsia"/>
                <w:b/>
                <w:color w:val="000000" w:themeColor="text1"/>
                <w:lang w:val="en-US" w:eastAsia="zh-CN"/>
                <w14:textFill>
                  <w14:solidFill>
                    <w14:schemeClr w14:val="tx1"/>
                  </w14:solidFill>
                </w14:textFill>
              </w:rPr>
              <w:t xml:space="preserve">              </w:t>
            </w:r>
            <w:r>
              <w:rPr>
                <w:rFonts w:hint="eastAsia" w:ascii="Times New Roman" w:hAnsi="Times New Roman" w:cs="Times New Roman" w:eastAsiaTheme="minorEastAsia"/>
                <w:b/>
                <w:color w:val="000000" w:themeColor="text1"/>
                <w:lang w:val="en-US" w:eastAsia="zh-CN"/>
                <w14:textFill>
                  <w14:solidFill>
                    <w14:schemeClr w14:val="tx1"/>
                  </w14:solidFill>
                </w14:textFill>
              </w:rPr>
              <w:t>烧结砖生产线氟平衡</w:t>
            </w:r>
            <w:r>
              <w:rPr>
                <w:rFonts w:hint="default" w:ascii="Times New Roman" w:hAnsi="Times New Roman" w:cs="Times New Roman" w:eastAsiaTheme="minorEastAsia"/>
                <w:b/>
                <w:color w:val="000000" w:themeColor="text1"/>
                <w:lang w:val="en-US" w:eastAsia="zh-CN"/>
                <w14:textFill>
                  <w14:solidFill>
                    <w14:schemeClr w14:val="tx1"/>
                  </w14:solidFill>
                </w14:textFill>
              </w:rPr>
              <w:t>一览表</w:t>
            </w:r>
          </w:p>
          <w:tbl>
            <w:tblPr>
              <w:tblStyle w:val="82"/>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8"/>
              <w:gridCol w:w="1019"/>
              <w:gridCol w:w="1215"/>
              <w:gridCol w:w="1263"/>
              <w:gridCol w:w="1458"/>
              <w:gridCol w:w="1474"/>
              <w:gridCol w:w="1324"/>
            </w:tblGrid>
            <w:tr w14:paraId="2DC88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24" w:type="pct"/>
                  <w:vMerge w:val="restart"/>
                  <w:noWrap w:val="0"/>
                  <w:vAlign w:val="center"/>
                </w:tcPr>
                <w:p w14:paraId="3107D2D1">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序号</w:t>
                  </w:r>
                </w:p>
              </w:tc>
              <w:tc>
                <w:tcPr>
                  <w:tcW w:w="2923" w:type="pct"/>
                  <w:gridSpan w:val="4"/>
                  <w:noWrap w:val="0"/>
                  <w:vAlign w:val="center"/>
                </w:tcPr>
                <w:p w14:paraId="025D69FB">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年投入</w:t>
                  </w:r>
                </w:p>
              </w:tc>
              <w:tc>
                <w:tcPr>
                  <w:tcW w:w="1651" w:type="pct"/>
                  <w:gridSpan w:val="2"/>
                  <w:noWrap w:val="0"/>
                  <w:vAlign w:val="center"/>
                </w:tcPr>
                <w:p w14:paraId="616CF0DB">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年产出</w:t>
                  </w:r>
                </w:p>
              </w:tc>
            </w:tr>
            <w:tr w14:paraId="1837E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24" w:type="pct"/>
                  <w:vMerge w:val="continue"/>
                  <w:tcBorders>
                    <w:top w:val="nil"/>
                  </w:tcBorders>
                  <w:noWrap w:val="0"/>
                  <w:vAlign w:val="center"/>
                </w:tcPr>
                <w:p w14:paraId="43695BD0">
                  <w:pPr>
                    <w:pStyle w:val="144"/>
                    <w:rPr>
                      <w:rFonts w:ascii="Times New Roman" w:hAnsi="Times New Roman" w:cs="Times New Roman" w:eastAsiaTheme="minorEastAsia"/>
                      <w:color w:val="000000" w:themeColor="text1"/>
                      <w:szCs w:val="21"/>
                      <w:lang w:eastAsia="en-US"/>
                      <w14:textFill>
                        <w14:solidFill>
                          <w14:schemeClr w14:val="tx1"/>
                        </w14:solidFill>
                      </w14:textFill>
                    </w:rPr>
                  </w:pPr>
                </w:p>
              </w:tc>
              <w:tc>
                <w:tcPr>
                  <w:tcW w:w="601" w:type="pct"/>
                  <w:noWrap w:val="0"/>
                  <w:vAlign w:val="center"/>
                </w:tcPr>
                <w:p w14:paraId="6624D2BF">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名称</w:t>
                  </w:r>
                </w:p>
              </w:tc>
              <w:tc>
                <w:tcPr>
                  <w:tcW w:w="717" w:type="pct"/>
                  <w:noWrap w:val="0"/>
                  <w:vAlign w:val="center"/>
                </w:tcPr>
                <w:p w14:paraId="2FCD7CC6">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数量（万 t）</w:t>
                  </w:r>
                </w:p>
              </w:tc>
              <w:tc>
                <w:tcPr>
                  <w:tcW w:w="745" w:type="pct"/>
                  <w:noWrap w:val="0"/>
                  <w:vAlign w:val="center"/>
                </w:tcPr>
                <w:p w14:paraId="1D8ECA69">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含</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氟</w:t>
                  </w:r>
                  <w:r>
                    <w:rPr>
                      <w:rFonts w:ascii="Times New Roman" w:hAnsi="Times New Roman" w:cs="Times New Roman" w:eastAsiaTheme="minorEastAsia"/>
                      <w:color w:val="000000" w:themeColor="text1"/>
                      <w:szCs w:val="21"/>
                      <w:lang w:eastAsia="en-US"/>
                      <w14:textFill>
                        <w14:solidFill>
                          <w14:schemeClr w14:val="tx1"/>
                        </w14:solidFill>
                      </w14:textFill>
                    </w:rPr>
                    <w:t>率</w:t>
                  </w:r>
                </w:p>
              </w:tc>
              <w:tc>
                <w:tcPr>
                  <w:tcW w:w="859" w:type="pct"/>
                  <w:noWrap w:val="0"/>
                  <w:vAlign w:val="center"/>
                </w:tcPr>
                <w:p w14:paraId="0C118392">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氟</w:t>
                  </w:r>
                  <w:r>
                    <w:rPr>
                      <w:rFonts w:ascii="Times New Roman" w:hAnsi="Times New Roman" w:cs="Times New Roman" w:eastAsiaTheme="minorEastAsia"/>
                      <w:color w:val="000000" w:themeColor="text1"/>
                      <w:szCs w:val="21"/>
                      <w:lang w:eastAsia="en-US"/>
                      <w14:textFill>
                        <w14:solidFill>
                          <w14:schemeClr w14:val="tx1"/>
                        </w14:solidFill>
                      </w14:textFill>
                    </w:rPr>
                    <w:t>含量（t）</w:t>
                  </w:r>
                </w:p>
              </w:tc>
              <w:tc>
                <w:tcPr>
                  <w:tcW w:w="870" w:type="pct"/>
                  <w:noWrap w:val="0"/>
                  <w:vAlign w:val="center"/>
                </w:tcPr>
                <w:p w14:paraId="42AF44CA">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名称</w:t>
                  </w:r>
                </w:p>
              </w:tc>
              <w:tc>
                <w:tcPr>
                  <w:tcW w:w="781" w:type="pct"/>
                  <w:noWrap w:val="0"/>
                  <w:vAlign w:val="center"/>
                </w:tcPr>
                <w:p w14:paraId="078925C9">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氟</w:t>
                  </w:r>
                  <w:r>
                    <w:rPr>
                      <w:rFonts w:ascii="Times New Roman" w:hAnsi="Times New Roman" w:cs="Times New Roman" w:eastAsiaTheme="minorEastAsia"/>
                      <w:color w:val="000000" w:themeColor="text1"/>
                      <w:szCs w:val="21"/>
                      <w:lang w:eastAsia="en-US"/>
                      <w14:textFill>
                        <w14:solidFill>
                          <w14:schemeClr w14:val="tx1"/>
                        </w14:solidFill>
                      </w14:textFill>
                    </w:rPr>
                    <w:t>含量（t）</w:t>
                  </w:r>
                </w:p>
              </w:tc>
            </w:tr>
            <w:tr w14:paraId="3FDF3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24" w:type="pct"/>
                  <w:noWrap w:val="0"/>
                  <w:vAlign w:val="center"/>
                </w:tcPr>
                <w:p w14:paraId="289C20F6">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1</w:t>
                  </w:r>
                </w:p>
              </w:tc>
              <w:tc>
                <w:tcPr>
                  <w:tcW w:w="601" w:type="pct"/>
                  <w:noWrap w:val="0"/>
                  <w:vAlign w:val="center"/>
                </w:tcPr>
                <w:p w14:paraId="60EDD49E">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矸石</w:t>
                  </w:r>
                </w:p>
              </w:tc>
              <w:tc>
                <w:tcPr>
                  <w:tcW w:w="717" w:type="pct"/>
                  <w:noWrap w:val="0"/>
                  <w:vAlign w:val="center"/>
                </w:tcPr>
                <w:p w14:paraId="03987BF0">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73.185</w:t>
                  </w:r>
                </w:p>
              </w:tc>
              <w:tc>
                <w:tcPr>
                  <w:tcW w:w="745" w:type="pct"/>
                  <w:noWrap w:val="0"/>
                  <w:vAlign w:val="center"/>
                </w:tcPr>
                <w:p w14:paraId="26C468A9">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0.</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0079</w:t>
                  </w: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859" w:type="pct"/>
                  <w:noWrap w:val="0"/>
                  <w:vAlign w:val="center"/>
                </w:tcPr>
                <w:p w14:paraId="74EDD23C">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5.782</w:t>
                  </w:r>
                </w:p>
              </w:tc>
              <w:tc>
                <w:tcPr>
                  <w:tcW w:w="870" w:type="pct"/>
                  <w:noWrap w:val="0"/>
                  <w:vAlign w:val="center"/>
                </w:tcPr>
                <w:p w14:paraId="1F7DCF84">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烧结砖</w:t>
                  </w:r>
                </w:p>
              </w:tc>
              <w:tc>
                <w:tcPr>
                  <w:tcW w:w="1329" w:type="dxa"/>
                  <w:noWrap w:val="0"/>
                  <w:vAlign w:val="center"/>
                </w:tcPr>
                <w:p w14:paraId="627433FB">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2.652</w:t>
                  </w:r>
                </w:p>
              </w:tc>
            </w:tr>
            <w:tr w14:paraId="15A98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24" w:type="pct"/>
                  <w:noWrap w:val="0"/>
                  <w:vAlign w:val="center"/>
                </w:tcPr>
                <w:p w14:paraId="66BD9243">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2</w:t>
                  </w:r>
                </w:p>
              </w:tc>
              <w:tc>
                <w:tcPr>
                  <w:tcW w:w="601" w:type="pct"/>
                  <w:noWrap w:val="0"/>
                  <w:vAlign w:val="center"/>
                </w:tcPr>
                <w:p w14:paraId="14CCF1B4">
                  <w:pPr>
                    <w:pStyle w:val="144"/>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717" w:type="pct"/>
                  <w:noWrap w:val="0"/>
                  <w:vAlign w:val="center"/>
                </w:tcPr>
                <w:p w14:paraId="6456F926">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745" w:type="pct"/>
                  <w:noWrap w:val="0"/>
                  <w:vAlign w:val="center"/>
                </w:tcPr>
                <w:p w14:paraId="7B683A78">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859" w:type="pct"/>
                  <w:noWrap w:val="0"/>
                  <w:vAlign w:val="center"/>
                </w:tcPr>
                <w:p w14:paraId="58B63638">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870" w:type="pct"/>
                  <w:noWrap w:val="0"/>
                  <w:vAlign w:val="center"/>
                </w:tcPr>
                <w:p w14:paraId="0E01A62F">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脱硫渣中</w:t>
                  </w:r>
                </w:p>
              </w:tc>
              <w:tc>
                <w:tcPr>
                  <w:tcW w:w="1329" w:type="dxa"/>
                  <w:noWrap w:val="0"/>
                  <w:vAlign w:val="center"/>
                </w:tcPr>
                <w:p w14:paraId="11EC8F80">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3.001</w:t>
                  </w:r>
                </w:p>
              </w:tc>
            </w:tr>
            <w:tr w14:paraId="585DB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24" w:type="pct"/>
                  <w:noWrap w:val="0"/>
                  <w:vAlign w:val="center"/>
                </w:tcPr>
                <w:p w14:paraId="71141A42">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3</w:t>
                  </w:r>
                </w:p>
              </w:tc>
              <w:tc>
                <w:tcPr>
                  <w:tcW w:w="601" w:type="pct"/>
                  <w:noWrap w:val="0"/>
                  <w:vAlign w:val="center"/>
                </w:tcPr>
                <w:p w14:paraId="4FE826C8">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717" w:type="pct"/>
                  <w:noWrap w:val="0"/>
                  <w:vAlign w:val="center"/>
                </w:tcPr>
                <w:p w14:paraId="36768763">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745" w:type="pct"/>
                  <w:noWrap w:val="0"/>
                  <w:vAlign w:val="center"/>
                </w:tcPr>
                <w:p w14:paraId="663923D2">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859" w:type="pct"/>
                  <w:noWrap w:val="0"/>
                  <w:vAlign w:val="center"/>
                </w:tcPr>
                <w:p w14:paraId="275AE55C">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870" w:type="pct"/>
                  <w:noWrap w:val="0"/>
                  <w:vAlign w:val="center"/>
                </w:tcPr>
                <w:p w14:paraId="140B113F">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废气</w:t>
                  </w:r>
                </w:p>
              </w:tc>
              <w:tc>
                <w:tcPr>
                  <w:tcW w:w="1329" w:type="dxa"/>
                  <w:noWrap w:val="0"/>
                  <w:vAlign w:val="center"/>
                </w:tcPr>
                <w:p w14:paraId="1F2E383C">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0.129</w:t>
                  </w:r>
                </w:p>
              </w:tc>
            </w:tr>
            <w:tr w14:paraId="0CFDA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24" w:type="pct"/>
                  <w:noWrap w:val="0"/>
                  <w:vAlign w:val="center"/>
                </w:tcPr>
                <w:p w14:paraId="60C33E02">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合计</w:t>
                  </w:r>
                </w:p>
              </w:tc>
              <w:tc>
                <w:tcPr>
                  <w:tcW w:w="601" w:type="pct"/>
                  <w:noWrap w:val="0"/>
                  <w:vAlign w:val="center"/>
                </w:tcPr>
                <w:p w14:paraId="0D79D18B">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717" w:type="pct"/>
                  <w:noWrap w:val="0"/>
                  <w:vAlign w:val="center"/>
                </w:tcPr>
                <w:p w14:paraId="4BF56170">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745" w:type="pct"/>
                  <w:noWrap w:val="0"/>
                  <w:vAlign w:val="center"/>
                </w:tcPr>
                <w:p w14:paraId="510EB799">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w:t>
                  </w:r>
                </w:p>
              </w:tc>
              <w:tc>
                <w:tcPr>
                  <w:tcW w:w="859" w:type="pct"/>
                  <w:noWrap w:val="0"/>
                  <w:vAlign w:val="center"/>
                </w:tcPr>
                <w:p w14:paraId="3418C53F">
                  <w:pPr>
                    <w:pStyle w:val="144"/>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5.782</w:t>
                  </w:r>
                </w:p>
              </w:tc>
              <w:tc>
                <w:tcPr>
                  <w:tcW w:w="870" w:type="pct"/>
                  <w:noWrap w:val="0"/>
                  <w:vAlign w:val="center"/>
                </w:tcPr>
                <w:p w14:paraId="35A0D810">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ascii="Times New Roman" w:hAnsi="Times New Roman" w:cs="Times New Roman" w:eastAsiaTheme="minorEastAsia"/>
                      <w:color w:val="000000" w:themeColor="text1"/>
                      <w:szCs w:val="21"/>
                      <w:lang w:eastAsia="en-US"/>
                      <w14:textFill>
                        <w14:solidFill>
                          <w14:schemeClr w14:val="tx1"/>
                        </w14:solidFill>
                      </w14:textFill>
                    </w:rPr>
                    <w:t>合计</w:t>
                  </w:r>
                </w:p>
              </w:tc>
              <w:tc>
                <w:tcPr>
                  <w:tcW w:w="1329" w:type="dxa"/>
                  <w:noWrap w:val="0"/>
                  <w:vAlign w:val="center"/>
                </w:tcPr>
                <w:p w14:paraId="4BE24F80">
                  <w:pPr>
                    <w:pStyle w:val="144"/>
                    <w:rPr>
                      <w:rFonts w:ascii="Times New Roman" w:hAnsi="Times New Roman" w:cs="Times New Roman" w:eastAsiaTheme="minorEastAsia"/>
                      <w:color w:val="000000" w:themeColor="text1"/>
                      <w:szCs w:val="21"/>
                      <w:lang w:eastAsia="en-US"/>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5.782</w:t>
                  </w:r>
                </w:p>
              </w:tc>
            </w:tr>
          </w:tbl>
          <w:p w14:paraId="225563D8">
            <w:pPr>
              <w:ind w:firstLine="482"/>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热平衡：</w:t>
            </w:r>
          </w:p>
          <w:p w14:paraId="3ED41EA5">
            <w:pPr>
              <w:ind w:firstLine="482"/>
              <w:rPr>
                <w:rFonts w:hint="eastAsia" w:asciiTheme="minorEastAsia" w:hAnsiTheme="minorEastAsia" w:eastAsiaTheme="minorEastAsia" w:cstheme="minorEastAsia"/>
                <w:b/>
                <w:bCs/>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eastAsia" w:cs="Times New Roman"/>
                <w:color w:val="000000" w:themeColor="text1"/>
                <w:sz w:val="24"/>
                <w:szCs w:val="24"/>
                <w:lang w:val="en-US" w:eastAsia="zh-CN"/>
                <w14:textFill>
                  <w14:solidFill>
                    <w14:schemeClr w14:val="tx1"/>
                  </w14:solidFill>
                </w14:textFill>
              </w:rPr>
              <w:t>检测报告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煤矸石</w:t>
            </w:r>
            <w:r>
              <w:rPr>
                <w:rFonts w:hint="default" w:ascii="Times New Roman" w:hAnsi="Times New Roman" w:eastAsia="宋体" w:cs="Times New Roman"/>
                <w:color w:val="000000" w:themeColor="text1"/>
                <w:sz w:val="24"/>
                <w:szCs w:val="24"/>
                <w14:textFill>
                  <w14:solidFill>
                    <w14:schemeClr w14:val="tx1"/>
                  </w14:solidFill>
                </w14:textFill>
              </w:rPr>
              <w:t>低位发热量为</w:t>
            </w:r>
            <w:r>
              <w:rPr>
                <w:rFonts w:hint="eastAsia" w:cs="Times New Roman"/>
                <w:color w:val="000000" w:themeColor="text1"/>
                <w:sz w:val="24"/>
                <w:szCs w:val="24"/>
                <w:lang w:val="en-US" w:eastAsia="zh-CN"/>
                <w14:textFill>
                  <w14:solidFill>
                    <w14:schemeClr w14:val="tx1"/>
                  </w14:solidFill>
                </w14:textFill>
              </w:rPr>
              <w:t>5.57</w:t>
            </w:r>
            <w:r>
              <w:rPr>
                <w:rFonts w:hint="default" w:ascii="Times New Roman" w:hAnsi="Times New Roman" w:eastAsia="宋体" w:cs="Times New Roman"/>
                <w:color w:val="000000" w:themeColor="text1"/>
                <w:sz w:val="24"/>
                <w:szCs w:val="24"/>
                <w14:textFill>
                  <w14:solidFill>
                    <w14:schemeClr w14:val="tx1"/>
                  </w14:solidFill>
                </w14:textFill>
              </w:rPr>
              <w:t>MJ/kg，参考《我国烧结砖隧道窑当前建设中值得重视的问题》（2010年第8期《砖瓦世界》，梁嘉琪）、《我国烧结砖隧道窑建设中值得重视的问题》（2014年第7期《砖瓦世界》，䓪茗）等文献研究资料，隧道窑烧结砖所需热量为300~350kcal/k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即</w:t>
            </w:r>
            <w:r>
              <w:rPr>
                <w:rFonts w:hint="default" w:ascii="Times New Roman" w:hAnsi="Times New Roman" w:eastAsia="宋体" w:cs="Times New Roman"/>
                <w:color w:val="000000" w:themeColor="text1"/>
                <w:sz w:val="24"/>
                <w:szCs w:val="24"/>
                <w14:textFill>
                  <w14:solidFill>
                    <w14:schemeClr w14:val="tx1"/>
                  </w14:solidFill>
                </w14:textFill>
              </w:rPr>
              <w:t>1230~1435kJ/kg</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则隧道窑烧结一块标砖（重量2.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kg/块）所需热量为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2952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3444</w:t>
            </w:r>
            <w:r>
              <w:rPr>
                <w:rFonts w:hint="default" w:ascii="Times New Roman" w:hAnsi="Times New Roman" w:eastAsia="宋体" w:cs="Times New Roman"/>
                <w:color w:val="000000" w:themeColor="text1"/>
                <w:sz w:val="24"/>
                <w:szCs w:val="24"/>
                <w14:textFill>
                  <w14:solidFill>
                    <w14:schemeClr w14:val="tx1"/>
                  </w14:solidFill>
                </w14:textFill>
              </w:rPr>
              <w:t>kJ/kg，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平均</w:t>
            </w:r>
            <w:r>
              <w:rPr>
                <w:rFonts w:hint="default" w:ascii="Times New Roman" w:hAnsi="Times New Roman" w:eastAsia="宋体" w:cs="Times New Roman"/>
                <w:color w:val="000000" w:themeColor="text1"/>
                <w:sz w:val="24"/>
                <w:szCs w:val="24"/>
                <w14:textFill>
                  <w14:solidFill>
                    <w14:schemeClr w14:val="tx1"/>
                  </w14:solidFill>
                </w14:textFill>
              </w:rPr>
              <w:t>所需热量为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3198</w:t>
            </w:r>
            <w:r>
              <w:rPr>
                <w:rFonts w:hint="default" w:ascii="Times New Roman" w:hAnsi="Times New Roman" w:eastAsia="宋体" w:cs="Times New Roman"/>
                <w:color w:val="000000" w:themeColor="text1"/>
                <w:sz w:val="24"/>
                <w:szCs w:val="24"/>
                <w14:textFill>
                  <w14:solidFill>
                    <w14:schemeClr w14:val="tx1"/>
                  </w14:solidFill>
                </w14:textFill>
              </w:rPr>
              <w:t>kJ/块标砖。本项目建成后主要产品为煤矸石烧结</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普通</w:t>
            </w:r>
            <w:r>
              <w:rPr>
                <w:rFonts w:hint="default" w:ascii="Times New Roman" w:hAnsi="Times New Roman" w:eastAsia="宋体" w:cs="Times New Roman"/>
                <w:color w:val="000000" w:themeColor="text1"/>
                <w:sz w:val="24"/>
                <w:szCs w:val="24"/>
                <w14:textFill>
                  <w14:solidFill>
                    <w14:schemeClr w14:val="tx1"/>
                  </w14:solidFill>
                </w14:textFill>
              </w:rPr>
              <w:t>砖（240*115*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53</w:t>
            </w:r>
            <w:r>
              <w:rPr>
                <w:rFonts w:hint="default" w:ascii="Times New Roman" w:hAnsi="Times New Roman" w:eastAsia="宋体" w:cs="Times New Roman"/>
                <w:color w:val="000000" w:themeColor="text1"/>
                <w:sz w:val="24"/>
                <w:szCs w:val="24"/>
                <w14:textFill>
                  <w14:solidFill>
                    <w14:schemeClr w14:val="tx1"/>
                  </w14:solidFill>
                </w14:textFill>
              </w:rPr>
              <w:t>mm），采用一次码烧工艺，故本次热平衡核算中产品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普通</w:t>
            </w:r>
            <w:r>
              <w:rPr>
                <w:rFonts w:hint="default" w:ascii="Times New Roman" w:hAnsi="Times New Roman" w:eastAsia="宋体" w:cs="Times New Roman"/>
                <w:color w:val="000000" w:themeColor="text1"/>
                <w:sz w:val="24"/>
                <w:szCs w:val="24"/>
                <w14:textFill>
                  <w14:solidFill>
                    <w14:schemeClr w14:val="tx1"/>
                  </w14:solidFill>
                </w14:textFill>
              </w:rPr>
              <w:t>砖烧结所需热量按生产一块标砖所需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平均</w:t>
            </w:r>
            <w:r>
              <w:rPr>
                <w:rFonts w:hint="default" w:ascii="Times New Roman" w:hAnsi="Times New Roman" w:eastAsia="宋体" w:cs="Times New Roman"/>
                <w:color w:val="000000" w:themeColor="text1"/>
                <w:sz w:val="24"/>
                <w:szCs w:val="24"/>
                <w14:textFill>
                  <w14:solidFill>
                    <w14:schemeClr w14:val="tx1"/>
                  </w14:solidFill>
                </w14:textFill>
              </w:rPr>
              <w:t>热量值即按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3198</w:t>
            </w:r>
            <w:r>
              <w:rPr>
                <w:rFonts w:hint="default" w:ascii="Times New Roman" w:hAnsi="Times New Roman" w:eastAsia="宋体" w:cs="Times New Roman"/>
                <w:color w:val="000000" w:themeColor="text1"/>
                <w:sz w:val="24"/>
                <w:szCs w:val="24"/>
                <w14:textFill>
                  <w14:solidFill>
                    <w14:schemeClr w14:val="tx1"/>
                  </w14:solidFill>
                </w14:textFill>
              </w:rPr>
              <w:t>kJ/块标砖计，项目年产标砖为</w:t>
            </w:r>
            <w:r>
              <w:rPr>
                <w:rFonts w:hint="eastAsia" w:cs="Times New Roman"/>
                <w:color w:val="000000" w:themeColor="text1"/>
                <w:sz w:val="24"/>
                <w:szCs w:val="24"/>
                <w:lang w:val="en-US" w:eastAsia="zh-CN"/>
                <w14:textFill>
                  <w14:solidFill>
                    <w14:schemeClr w14:val="tx1"/>
                  </w14:solidFill>
                </w14:textFill>
              </w:rPr>
              <w:t>3亿</w:t>
            </w:r>
            <w:r>
              <w:rPr>
                <w:rFonts w:hint="default" w:ascii="Times New Roman" w:hAnsi="Times New Roman" w:eastAsia="宋体" w:cs="Times New Roman"/>
                <w:color w:val="000000" w:themeColor="text1"/>
                <w:sz w:val="24"/>
                <w:szCs w:val="24"/>
                <w14:textFill>
                  <w14:solidFill>
                    <w14:schemeClr w14:val="tx1"/>
                  </w14:solidFill>
                </w14:textFill>
              </w:rPr>
              <w:t>块，则所需要的总热量为：</w:t>
            </w:r>
            <w:r>
              <w:rPr>
                <w:rFonts w:hint="eastAsia" w:cs="Times New Roman"/>
                <w:color w:val="000000" w:themeColor="text1"/>
                <w:sz w:val="24"/>
                <w:szCs w:val="24"/>
                <w:lang w:val="en-US" w:eastAsia="zh-CN"/>
                <w14:textFill>
                  <w14:solidFill>
                    <w14:schemeClr w14:val="tx1"/>
                  </w14:solidFill>
                </w14:textFill>
              </w:rPr>
              <w:t>3亿</w:t>
            </w:r>
            <w:r>
              <w:rPr>
                <w:rFonts w:hint="default" w:ascii="Times New Roman" w:hAnsi="Times New Roman" w:eastAsia="宋体" w:cs="Times New Roman"/>
                <w:color w:val="000000" w:themeColor="text1"/>
                <w:sz w:val="24"/>
                <w:szCs w:val="24"/>
                <w14:textFill>
                  <w14:solidFill>
                    <w14:schemeClr w14:val="tx1"/>
                  </w14:solidFill>
                </w14:textFill>
              </w:rPr>
              <w:t>块标砖×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3198</w:t>
            </w:r>
            <w:r>
              <w:rPr>
                <w:rFonts w:hint="default" w:ascii="Times New Roman" w:hAnsi="Times New Roman" w:eastAsia="宋体" w:cs="Times New Roman"/>
                <w:color w:val="000000" w:themeColor="text1"/>
                <w:sz w:val="24"/>
                <w:szCs w:val="24"/>
                <w14:textFill>
                  <w14:solidFill>
                    <w14:schemeClr w14:val="tx1"/>
                  </w14:solidFill>
                </w14:textFill>
              </w:rPr>
              <w:t>kJ/块标砖=</w:t>
            </w:r>
            <w:r>
              <w:rPr>
                <w:rFonts w:hint="eastAsia" w:cs="Times New Roman"/>
                <w:color w:val="000000" w:themeColor="text1"/>
                <w:sz w:val="24"/>
                <w:szCs w:val="24"/>
                <w:lang w:val="en-US" w:eastAsia="zh-CN"/>
                <w14:textFill>
                  <w14:solidFill>
                    <w14:schemeClr w14:val="tx1"/>
                  </w14:solidFill>
                </w14:textFill>
              </w:rPr>
              <w:t>9.594</w:t>
            </w:r>
            <w:r>
              <w:rPr>
                <w:rFonts w:hint="default" w:ascii="Times New Roman" w:hAnsi="Times New Roman" w:eastAsia="宋体" w:cs="Times New Roman"/>
                <w:color w:val="000000" w:themeColor="text1"/>
                <w:sz w:val="24"/>
                <w:szCs w:val="24"/>
                <w14:textFill>
                  <w14:solidFill>
                    <w14:schemeClr w14:val="tx1"/>
                  </w14:solidFill>
                </w14:textFill>
              </w:rPr>
              <w:t>×10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14:textFill>
                  <w14:solidFill>
                    <w14:schemeClr w14:val="tx1"/>
                  </w14:solidFill>
                </w14:textFill>
              </w:rPr>
              <w:t>KJ=</w:t>
            </w:r>
            <w:r>
              <w:rPr>
                <w:rFonts w:hint="eastAsia" w:cs="Times New Roman"/>
                <w:color w:val="000000" w:themeColor="text1"/>
                <w:sz w:val="24"/>
                <w:szCs w:val="24"/>
                <w:lang w:val="en-US" w:eastAsia="zh-CN"/>
                <w14:textFill>
                  <w14:solidFill>
                    <w14:schemeClr w14:val="tx1"/>
                  </w14:solidFill>
                </w14:textFill>
              </w:rPr>
              <w:t>9.594</w:t>
            </w:r>
            <w:r>
              <w:rPr>
                <w:rFonts w:hint="default" w:ascii="Times New Roman" w:hAnsi="Times New Roman" w:eastAsia="宋体" w:cs="Times New Roman"/>
                <w:color w:val="000000" w:themeColor="text1"/>
                <w:sz w:val="24"/>
                <w:szCs w:val="24"/>
                <w14:textFill>
                  <w14:solidFill>
                    <w14:schemeClr w14:val="tx1"/>
                  </w14:solidFill>
                </w14:textFill>
              </w:rPr>
              <w:t>×10</w:t>
            </w:r>
            <w:r>
              <w:rPr>
                <w:rFonts w:hint="eastAsia" w:cs="Times New Roman"/>
                <w:color w:val="000000" w:themeColor="text1"/>
                <w:sz w:val="24"/>
                <w:szCs w:val="24"/>
                <w:vertAlign w:val="superscript"/>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MJ。项目隧道窑已建成并投用，根据企业提供相关生产经验数据，受季节温度变化影响，隧道窑热效率范围为</w:t>
            </w:r>
            <w:r>
              <w:rPr>
                <w:rFonts w:hint="eastAsia"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color w:val="000000" w:themeColor="text1"/>
                <w:sz w:val="24"/>
                <w:szCs w:val="24"/>
                <w14:textFill>
                  <w14:solidFill>
                    <w14:schemeClr w14:val="tx1"/>
                  </w14:solidFill>
                </w14:textFill>
              </w:rPr>
              <w:t>%~8</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%，本次核算炉窑热效率以</w:t>
            </w:r>
            <w:r>
              <w:rPr>
                <w:rFonts w:hint="eastAsia"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color w:val="000000" w:themeColor="text1"/>
                <w:sz w:val="24"/>
                <w:szCs w:val="24"/>
                <w14:textFill>
                  <w14:solidFill>
                    <w14:schemeClr w14:val="tx1"/>
                  </w14:solidFill>
                </w14:textFill>
              </w:rPr>
              <w:t>%计（即炉窑热损失量为</w:t>
            </w:r>
            <w:r>
              <w:rPr>
                <w:rFonts w:hint="eastAsia" w:cs="Times New Roman"/>
                <w:color w:val="000000" w:themeColor="text1"/>
                <w:sz w:val="24"/>
                <w:szCs w:val="24"/>
                <w:lang w:val="en-US" w:eastAsia="zh-CN"/>
                <w14:textFill>
                  <w14:solidFill>
                    <w14:schemeClr w14:val="tx1"/>
                  </w14:solidFill>
                </w14:textFill>
              </w:rPr>
              <w:t>45</w:t>
            </w:r>
            <w:r>
              <w:rPr>
                <w:rFonts w:hint="default" w:ascii="Times New Roman" w:hAnsi="Times New Roman" w:eastAsia="宋体" w:cs="Times New Roman"/>
                <w:color w:val="000000" w:themeColor="text1"/>
                <w:sz w:val="24"/>
                <w:szCs w:val="24"/>
                <w14:textFill>
                  <w14:solidFill>
                    <w14:schemeClr w14:val="tx1"/>
                  </w14:solidFill>
                </w14:textFill>
              </w:rPr>
              <w:t>%）；项目砖坯烘干热量来源于砖坯中煤矸石燃烧，则项目</w:t>
            </w:r>
            <w:r>
              <w:rPr>
                <w:rFonts w:hint="eastAsia" w:cs="Times New Roman"/>
                <w:color w:val="000000" w:themeColor="text1"/>
                <w:sz w:val="24"/>
                <w:szCs w:val="24"/>
                <w:lang w:val="en-US" w:eastAsia="zh-CN"/>
                <w14:textFill>
                  <w14:solidFill>
                    <w14:schemeClr w14:val="tx1"/>
                  </w14:solidFill>
                </w14:textFill>
              </w:rPr>
              <w:t>烧结砖需用</w:t>
            </w:r>
            <w:r>
              <w:rPr>
                <w:rFonts w:hint="default" w:ascii="Times New Roman" w:hAnsi="Times New Roman" w:eastAsia="宋体" w:cs="Times New Roman"/>
                <w:color w:val="000000" w:themeColor="text1"/>
                <w:sz w:val="24"/>
                <w:szCs w:val="24"/>
                <w14:textFill>
                  <w14:solidFill>
                    <w14:schemeClr w14:val="tx1"/>
                  </w14:solidFill>
                </w14:textFill>
              </w:rPr>
              <w:t>煤矸石量为</w:t>
            </w:r>
            <w:r>
              <w:rPr>
                <w:rFonts w:hint="eastAsia" w:cs="Times New Roman"/>
                <w:color w:val="000000" w:themeColor="text1"/>
                <w:sz w:val="24"/>
                <w:szCs w:val="24"/>
                <w:lang w:val="en-US" w:eastAsia="zh-CN"/>
                <w14:textFill>
                  <w14:solidFill>
                    <w14:schemeClr w14:val="tx1"/>
                  </w14:solidFill>
                </w14:textFill>
              </w:rPr>
              <w:t>9.594</w:t>
            </w:r>
            <w:r>
              <w:rPr>
                <w:rFonts w:hint="default" w:ascii="Times New Roman" w:hAnsi="Times New Roman" w:eastAsia="宋体" w:cs="Times New Roman"/>
                <w:color w:val="000000" w:themeColor="text1"/>
                <w:sz w:val="24"/>
                <w:szCs w:val="24"/>
                <w14:textFill>
                  <w14:solidFill>
                    <w14:schemeClr w14:val="tx1"/>
                  </w14:solidFill>
                </w14:textFill>
              </w:rPr>
              <w:t>×10</w:t>
            </w:r>
            <w:r>
              <w:rPr>
                <w:rFonts w:hint="eastAsia" w:cs="Times New Roman"/>
                <w:color w:val="000000" w:themeColor="text1"/>
                <w:sz w:val="24"/>
                <w:szCs w:val="24"/>
                <w:vertAlign w:val="superscript"/>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MJ÷</w:t>
            </w:r>
            <w:r>
              <w:rPr>
                <w:rFonts w:hint="eastAsia"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5.57</w:t>
            </w:r>
            <w:r>
              <w:rPr>
                <w:rFonts w:hint="default" w:ascii="Times New Roman" w:hAnsi="Times New Roman" w:eastAsia="宋体" w:cs="Times New Roman"/>
                <w:color w:val="000000" w:themeColor="text1"/>
                <w:sz w:val="24"/>
                <w:szCs w:val="24"/>
                <w14:textFill>
                  <w14:solidFill>
                    <w14:schemeClr w14:val="tx1"/>
                  </w14:solidFill>
                </w14:textFill>
              </w:rPr>
              <w:t>MJ/kg=</w:t>
            </w:r>
            <w:r>
              <w:rPr>
                <w:rFonts w:hint="eastAsia" w:cs="Times New Roman"/>
                <w:color w:val="000000" w:themeColor="text1"/>
                <w:sz w:val="24"/>
                <w:szCs w:val="24"/>
                <w:lang w:val="en-US" w:eastAsia="zh-CN"/>
                <w14:textFill>
                  <w14:solidFill>
                    <w14:schemeClr w14:val="tx1"/>
                  </w14:solidFill>
                </w14:textFill>
              </w:rPr>
              <w:t>3.13</w:t>
            </w:r>
            <w:r>
              <w:rPr>
                <w:rFonts w:hint="default" w:ascii="Times New Roman" w:hAnsi="Times New Roman" w:eastAsia="宋体" w:cs="Times New Roman"/>
                <w:color w:val="000000" w:themeColor="text1"/>
                <w:sz w:val="24"/>
                <w:szCs w:val="24"/>
                <w14:textFill>
                  <w14:solidFill>
                    <w14:schemeClr w14:val="tx1"/>
                  </w14:solidFill>
                </w14:textFill>
              </w:rPr>
              <w:t>×10</w:t>
            </w:r>
            <w:r>
              <w:rPr>
                <w:rFonts w:hint="eastAsia" w:cs="Times New Roman"/>
                <w:color w:val="000000" w:themeColor="text1"/>
                <w:sz w:val="24"/>
                <w:szCs w:val="24"/>
                <w:vertAlign w:val="superscript"/>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kg=</w:t>
            </w:r>
            <w:r>
              <w:rPr>
                <w:rFonts w:hint="eastAsia" w:cs="Times New Roman"/>
                <w:color w:val="000000" w:themeColor="text1"/>
                <w:sz w:val="24"/>
                <w:szCs w:val="24"/>
                <w:lang w:val="en-US" w:eastAsia="zh-CN"/>
                <w14:textFill>
                  <w14:solidFill>
                    <w14:schemeClr w14:val="tx1"/>
                  </w14:solidFill>
                </w14:textFill>
              </w:rPr>
              <w:t>3.13</w:t>
            </w:r>
            <w:r>
              <w:rPr>
                <w:rFonts w:hint="default" w:ascii="Times New Roman" w:hAnsi="Times New Roman" w:eastAsia="宋体" w:cs="Times New Roman"/>
                <w:color w:val="000000" w:themeColor="text1"/>
                <w:sz w:val="24"/>
                <w:szCs w:val="24"/>
                <w14:textFill>
                  <w14:solidFill>
                    <w14:schemeClr w14:val="tx1"/>
                  </w14:solidFill>
                </w14:textFill>
              </w:rPr>
              <w:t>×10</w:t>
            </w:r>
            <w:r>
              <w:rPr>
                <w:rFonts w:hint="eastAsia" w:cs="Times New Roman"/>
                <w:color w:val="000000" w:themeColor="text1"/>
                <w:sz w:val="24"/>
                <w:szCs w:val="24"/>
                <w:vertAlign w:val="super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小于本项目投入煤矸石量</w:t>
            </w:r>
            <w:r>
              <w:rPr>
                <w:rFonts w:hint="default" w:ascii="Times New Roman" w:hAnsi="Times New Roman" w:eastAsia="宋体" w:cs="Times New Roman"/>
                <w:color w:val="000000" w:themeColor="text1"/>
                <w:sz w:val="24"/>
                <w:szCs w:val="24"/>
                <w14:textFill>
                  <w14:solidFill>
                    <w14:schemeClr w14:val="tx1"/>
                  </w14:solidFill>
                </w14:textFill>
              </w:rPr>
              <w:t>。</w:t>
            </w:r>
          </w:p>
          <w:p w14:paraId="477B7E0E">
            <w:pPr>
              <w:ind w:firstLine="482"/>
              <w:rPr>
                <w:rFonts w:hint="eastAsia" w:asciiTheme="minorEastAsia" w:hAnsiTheme="minorEastAsia" w:eastAsiaTheme="minorEastAsia" w:cstheme="minorEastAsia"/>
                <w:b/>
                <w:bCs/>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7.公用工程</w:t>
            </w:r>
          </w:p>
          <w:p w14:paraId="679FBCF8">
            <w:pPr>
              <w:ind w:firstLine="484"/>
              <w:rPr>
                <w:color w:val="000000" w:themeColor="text1"/>
                <w:spacing w:val="1"/>
                <w:szCs w:val="24"/>
                <w:lang w:val="zh-CN"/>
                <w14:textFill>
                  <w14:solidFill>
                    <w14:schemeClr w14:val="tx1"/>
                  </w14:solidFill>
                </w14:textFill>
              </w:rPr>
            </w:pPr>
            <w:r>
              <w:rPr>
                <w:rFonts w:hint="eastAsia"/>
                <w:color w:val="000000" w:themeColor="text1"/>
                <w:spacing w:val="1"/>
                <w:szCs w:val="24"/>
                <w14:textFill>
                  <w14:solidFill>
                    <w14:schemeClr w14:val="tx1"/>
                  </w14:solidFill>
                </w14:textFill>
              </w:rPr>
              <w:t>（1）</w:t>
            </w:r>
            <w:r>
              <w:rPr>
                <w:rFonts w:hint="eastAsia"/>
                <w:color w:val="000000" w:themeColor="text1"/>
                <w:spacing w:val="1"/>
                <w:szCs w:val="24"/>
                <w:lang w:val="zh-CN"/>
                <w14:textFill>
                  <w14:solidFill>
                    <w14:schemeClr w14:val="tx1"/>
                  </w14:solidFill>
                </w14:textFill>
              </w:rPr>
              <w:t>给、</w:t>
            </w:r>
            <w:r>
              <w:rPr>
                <w:rFonts w:hint="eastAsia"/>
                <w:color w:val="000000" w:themeColor="text1"/>
                <w:spacing w:val="1"/>
                <w:szCs w:val="24"/>
                <w14:textFill>
                  <w14:solidFill>
                    <w14:schemeClr w14:val="tx1"/>
                  </w14:solidFill>
                </w14:textFill>
              </w:rPr>
              <w:t>排</w:t>
            </w:r>
            <w:r>
              <w:rPr>
                <w:rFonts w:hint="eastAsia"/>
                <w:color w:val="000000" w:themeColor="text1"/>
                <w:spacing w:val="1"/>
                <w:szCs w:val="24"/>
                <w:lang w:val="zh-CN"/>
                <w14:textFill>
                  <w14:solidFill>
                    <w14:schemeClr w14:val="tx1"/>
                  </w14:solidFill>
                </w14:textFill>
              </w:rPr>
              <w:t>水</w:t>
            </w:r>
          </w:p>
          <w:p w14:paraId="762166C8">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①</w:t>
            </w:r>
            <w:r>
              <w:rPr>
                <w:rFonts w:hint="eastAsia"/>
                <w:color w:val="000000" w:themeColor="text1"/>
                <w:spacing w:val="1"/>
                <w:szCs w:val="24"/>
                <w14:textFill>
                  <w14:solidFill>
                    <w14:schemeClr w14:val="tx1"/>
                  </w14:solidFill>
                </w14:textFill>
              </w:rPr>
              <w:t xml:space="preserve"> 给水</w:t>
            </w:r>
          </w:p>
          <w:p w14:paraId="7A710E0C">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本项目的生产用水由金鸡滩镇煤矿疏干水提供，疏干水管路通过地埋式敷设，敷设管路通过陕西汇荣禾能源环保科技有限公司厂区，白舍牛滩村同意陕西汇荣禾能源环保科技</w:t>
            </w:r>
            <w:r>
              <w:rPr>
                <w:color w:val="000000" w:themeColor="text1"/>
                <w:szCs w:val="24"/>
                <w14:textFill>
                  <w14:solidFill>
                    <w14:schemeClr w14:val="tx1"/>
                  </w14:solidFill>
                </w14:textFill>
              </w:rPr>
              <w:t>有限公司在厂区内加设三通闸阀增加支管就近取水，生</w:t>
            </w:r>
            <w:r>
              <w:rPr>
                <w:color w:val="000000" w:themeColor="text1"/>
                <w:spacing w:val="-1"/>
                <w:szCs w:val="24"/>
                <w14:textFill>
                  <w14:solidFill>
                    <w14:schemeClr w14:val="tx1"/>
                  </w14:solidFill>
                </w14:textFill>
              </w:rPr>
              <w:t>活用水由厂区自备井提供。</w:t>
            </w:r>
          </w:p>
          <w:p w14:paraId="5E34EB40">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洗煤工序用水：洗煤工序总用水量为</w:t>
            </w:r>
            <w:r>
              <w:rPr>
                <w:rFonts w:hint="eastAsia"/>
                <w:color w:val="000000" w:themeColor="text1"/>
                <w:spacing w:val="1"/>
                <w:szCs w:val="24"/>
                <w:lang w:val="en-US" w:eastAsia="zh-CN"/>
                <w14:textFill>
                  <w14:solidFill>
                    <w14:schemeClr w14:val="tx1"/>
                  </w14:solidFill>
                </w14:textFill>
              </w:rPr>
              <w:t>20000</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/d，其中新鲜水补充水</w:t>
            </w:r>
            <w:r>
              <w:rPr>
                <w:rFonts w:hint="eastAsia"/>
                <w:color w:val="000000" w:themeColor="text1"/>
                <w:spacing w:val="1"/>
                <w:szCs w:val="24"/>
                <w:lang w:val="en-US" w:eastAsia="zh-CN"/>
                <w14:textFill>
                  <w14:solidFill>
                    <w14:schemeClr w14:val="tx1"/>
                  </w14:solidFill>
                </w14:textFill>
              </w:rPr>
              <w:t>1060</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/d，取金鸡滩镇煤矿疏干水，循环用水量为</w:t>
            </w:r>
            <w:r>
              <w:rPr>
                <w:rFonts w:hint="eastAsia"/>
                <w:color w:val="000000" w:themeColor="text1"/>
                <w:spacing w:val="1"/>
                <w:szCs w:val="24"/>
                <w:lang w:val="en-US" w:eastAsia="zh-CN"/>
                <w14:textFill>
                  <w14:solidFill>
                    <w14:schemeClr w14:val="tx1"/>
                  </w14:solidFill>
                </w14:textFill>
              </w:rPr>
              <w:t>18940</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/d，煤矸石带入水量为</w:t>
            </w:r>
            <w:r>
              <w:rPr>
                <w:rFonts w:hint="eastAsia"/>
                <w:color w:val="000000" w:themeColor="text1"/>
                <w:spacing w:val="1"/>
                <w:szCs w:val="24"/>
                <w:lang w:val="en-US" w:eastAsia="zh-CN"/>
                <w14:textFill>
                  <w14:solidFill>
                    <w14:schemeClr w14:val="tx1"/>
                  </w14:solidFill>
                </w14:textFill>
              </w:rPr>
              <w:t>577</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/d。工艺水重复利用率大于90%，入选吨煤耗水0.095m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w:t>
            </w:r>
          </w:p>
          <w:p w14:paraId="2F31F10F">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烧结制砖搅拌用水：该项目生产用水主要为在搅拌工序应加入一定的水拌合，每生产一块砖需水量为0.2L，本项目共生产烧结砖</w:t>
            </w:r>
            <w:r>
              <w:rPr>
                <w:rFonts w:hint="eastAsia"/>
                <w:color w:val="000000" w:themeColor="text1"/>
                <w:spacing w:val="1"/>
                <w:szCs w:val="24"/>
                <w:lang w:val="en-US" w:eastAsia="zh-CN"/>
                <w14:textFill>
                  <w14:solidFill>
                    <w14:schemeClr w14:val="tx1"/>
                  </w14:solidFill>
                </w14:textFill>
              </w:rPr>
              <w:t>3</w:t>
            </w:r>
            <w:r>
              <w:rPr>
                <w:rFonts w:hint="eastAsia"/>
                <w:color w:val="000000" w:themeColor="text1"/>
                <w:spacing w:val="1"/>
                <w:szCs w:val="24"/>
                <w14:textFill>
                  <w14:solidFill>
                    <w14:schemeClr w14:val="tx1"/>
                  </w14:solidFill>
                </w14:textFill>
              </w:rPr>
              <w:t>亿</w:t>
            </w:r>
            <w:r>
              <w:rPr>
                <w:color w:val="000000" w:themeColor="text1"/>
                <w:spacing w:val="1"/>
                <w:szCs w:val="24"/>
                <w14:textFill>
                  <w14:solidFill>
                    <w14:schemeClr w14:val="tx1"/>
                  </w14:solidFill>
                </w14:textFill>
              </w:rPr>
              <w:t>块砖，则用水量为</w:t>
            </w:r>
            <w:r>
              <w:rPr>
                <w:rFonts w:hint="eastAsia"/>
                <w:color w:val="000000" w:themeColor="text1"/>
                <w:spacing w:val="1"/>
                <w:szCs w:val="24"/>
                <w:lang w:val="en-US" w:eastAsia="zh-CN"/>
                <w14:textFill>
                  <w14:solidFill>
                    <w14:schemeClr w14:val="tx1"/>
                  </w14:solidFill>
                </w14:textFill>
              </w:rPr>
              <w:t>285.75</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w:t>
            </w:r>
            <w:r>
              <w:rPr>
                <w:rFonts w:hint="eastAsia"/>
                <w:color w:val="000000" w:themeColor="text1"/>
                <w:spacing w:val="1"/>
                <w:szCs w:val="24"/>
                <w:lang w:val="en-US" w:eastAsia="zh-CN"/>
                <w14:textFill>
                  <w14:solidFill>
                    <w14:schemeClr w14:val="tx1"/>
                  </w14:solidFill>
                </w14:textFill>
              </w:rPr>
              <w:t>6</w:t>
            </w:r>
            <w:r>
              <w:rPr>
                <w:rFonts w:hint="eastAsia"/>
                <w:color w:val="000000" w:themeColor="text1"/>
                <w:spacing w:val="1"/>
                <w:szCs w:val="24"/>
                <w14:textFill>
                  <w14:solidFill>
                    <w14:schemeClr w14:val="tx1"/>
                  </w14:solidFill>
                </w14:textFill>
              </w:rPr>
              <w:t>0</w:t>
            </w:r>
            <w:r>
              <w:rPr>
                <w:color w:val="000000" w:themeColor="text1"/>
                <w:spacing w:val="1"/>
                <w:szCs w:val="24"/>
                <w14:textFill>
                  <w14:solidFill>
                    <w14:schemeClr w14:val="tx1"/>
                  </w14:solidFill>
                </w14:textFill>
              </w:rPr>
              <w:t>000m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/a。全部进入砖坯。</w:t>
            </w:r>
          </w:p>
          <w:p w14:paraId="29F99B20">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免烧砖生产搅拌用水：根据项目生产方案，生产搅拌用水量约</w:t>
            </w:r>
            <w:r>
              <w:rPr>
                <w:rFonts w:hint="eastAsia"/>
                <w:color w:val="000000" w:themeColor="text1"/>
                <w:spacing w:val="1"/>
                <w:szCs w:val="24"/>
                <w:lang w:val="en-US" w:eastAsia="zh-CN"/>
                <w14:textFill>
                  <w14:solidFill>
                    <w14:schemeClr w14:val="tx1"/>
                  </w14:solidFill>
                </w14:textFill>
              </w:rPr>
              <w:t>40.768</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w:t>
            </w:r>
            <w:r>
              <w:rPr>
                <w:rFonts w:hint="eastAsia"/>
                <w:color w:val="000000" w:themeColor="text1"/>
                <w:spacing w:val="1"/>
                <w:szCs w:val="24"/>
                <w:lang w:val="en-US" w:eastAsia="zh-CN"/>
                <w14:textFill>
                  <w14:solidFill>
                    <w14:schemeClr w14:val="tx1"/>
                  </w14:solidFill>
                </w14:textFill>
              </w:rPr>
              <w:t>8561.1</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/a），生产搅拌用水全部随产品带走。</w:t>
            </w:r>
          </w:p>
          <w:p w14:paraId="67C0E9D2">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免烧砖养护用水：项目采用喷淋装置进行自然养护，自然养护用水量预计为2m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/d（480m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/a），废水产生量以20%计，则废水产生量为</w:t>
            </w:r>
            <w:r>
              <w:rPr>
                <w:rFonts w:hint="eastAsia"/>
                <w:color w:val="000000" w:themeColor="text1"/>
                <w:spacing w:val="1"/>
                <w:szCs w:val="24"/>
                <w14:textFill>
                  <w14:solidFill>
                    <w14:schemeClr w14:val="tx1"/>
                  </w14:solidFill>
                </w14:textFill>
              </w:rPr>
              <w:t>0.</w:t>
            </w:r>
            <w:r>
              <w:rPr>
                <w:color w:val="000000" w:themeColor="text1"/>
                <w:spacing w:val="1"/>
                <w:szCs w:val="24"/>
                <w14:textFill>
                  <w14:solidFill>
                    <w14:schemeClr w14:val="tx1"/>
                  </w14:solidFill>
                </w14:textFill>
              </w:rPr>
              <w:t>4m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/d（96m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/a），养护区场地进行硬化，流入雨水收集池中，废水收集后循环使用，不外排。</w:t>
            </w:r>
          </w:p>
          <w:p w14:paraId="6ED71D44">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车辆冲洗用水：每次车辆进出厂区均需冲洗，则日用水量为</w:t>
            </w:r>
            <w:r>
              <w:rPr>
                <w:rFonts w:hint="eastAsia"/>
                <w:color w:val="000000" w:themeColor="text1"/>
                <w:spacing w:val="1"/>
                <w:szCs w:val="24"/>
                <w14:textFill>
                  <w14:solidFill>
                    <w14:schemeClr w14:val="tx1"/>
                  </w14:solidFill>
                </w14:textFill>
              </w:rPr>
              <w:t>10</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w:t>
            </w:r>
            <w:r>
              <w:rPr>
                <w:rFonts w:hint="eastAsia"/>
                <w:color w:val="000000" w:themeColor="text1"/>
                <w:spacing w:val="1"/>
                <w:szCs w:val="24"/>
                <w14:textFill>
                  <w14:solidFill>
                    <w14:schemeClr w14:val="tx1"/>
                  </w14:solidFill>
                </w14:textFill>
              </w:rPr>
              <w:t>2400</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/a），冲洗废水经沉淀池处理后回用于洗车。</w:t>
            </w:r>
          </w:p>
          <w:p w14:paraId="4D8A9CD5">
            <w:pPr>
              <w:ind w:firstLine="484"/>
              <w:rPr>
                <w:color w:val="000000" w:themeColor="text1"/>
                <w:spacing w:val="1"/>
                <w:szCs w:val="24"/>
                <w:highlight w:val="none"/>
                <w14:textFill>
                  <w14:solidFill>
                    <w14:schemeClr w14:val="tx1"/>
                  </w14:solidFill>
                </w14:textFill>
              </w:rPr>
            </w:pPr>
            <w:r>
              <w:rPr>
                <w:color w:val="000000" w:themeColor="text1"/>
                <w:spacing w:val="1"/>
                <w:szCs w:val="24"/>
                <w:highlight w:val="none"/>
                <w14:textFill>
                  <w14:solidFill>
                    <w14:schemeClr w14:val="tx1"/>
                  </w14:solidFill>
                </w14:textFill>
              </w:rPr>
              <w:t>脱硫用水：本项目设置两座隧道窑，脱硫塔的液气比为2.5:1，2座的循环水</w:t>
            </w:r>
            <w:r>
              <w:rPr>
                <w:rFonts w:hint="eastAsia"/>
                <w:color w:val="000000" w:themeColor="text1"/>
                <w:spacing w:val="1"/>
                <w:szCs w:val="24"/>
                <w:highlight w:val="none"/>
                <w:lang w:val="en-US" w:eastAsia="zh-CN"/>
                <w14:textFill>
                  <w14:solidFill>
                    <w14:schemeClr w14:val="tx1"/>
                  </w14:solidFill>
                </w14:textFill>
              </w:rPr>
              <w:t>总</w:t>
            </w:r>
            <w:r>
              <w:rPr>
                <w:color w:val="000000" w:themeColor="text1"/>
                <w:spacing w:val="1"/>
                <w:szCs w:val="24"/>
                <w:highlight w:val="none"/>
                <w14:textFill>
                  <w14:solidFill>
                    <w14:schemeClr w14:val="tx1"/>
                  </w14:solidFill>
                </w14:textFill>
              </w:rPr>
              <w:t>量为</w:t>
            </w:r>
            <w:r>
              <w:rPr>
                <w:rFonts w:hint="eastAsia"/>
                <w:color w:val="000000" w:themeColor="text1"/>
                <w:spacing w:val="1"/>
                <w:szCs w:val="24"/>
                <w:highlight w:val="none"/>
                <w:lang w:val="en-US" w:eastAsia="zh-CN"/>
                <w14:textFill>
                  <w14:solidFill>
                    <w14:schemeClr w14:val="tx1"/>
                  </w14:solidFill>
                </w14:textFill>
              </w:rPr>
              <w:t>1200</w:t>
            </w:r>
            <w:r>
              <w:rPr>
                <w:color w:val="000000" w:themeColor="text1"/>
                <w:spacing w:val="1"/>
                <w:szCs w:val="24"/>
                <w:highlight w:val="none"/>
                <w14:textFill>
                  <w14:solidFill>
                    <w14:schemeClr w14:val="tx1"/>
                  </w14:solidFill>
                </w14:textFill>
              </w:rPr>
              <w:t>m</w:t>
            </w:r>
            <w:r>
              <w:rPr>
                <w:color w:val="000000" w:themeColor="text1"/>
                <w:spacing w:val="1"/>
                <w:szCs w:val="24"/>
                <w:highlight w:val="none"/>
                <w:vertAlign w:val="superscript"/>
                <w14:textFill>
                  <w14:solidFill>
                    <w14:schemeClr w14:val="tx1"/>
                  </w14:solidFill>
                </w14:textFill>
              </w:rPr>
              <w:t>3</w:t>
            </w:r>
            <w:r>
              <w:rPr>
                <w:color w:val="000000" w:themeColor="text1"/>
                <w:spacing w:val="1"/>
                <w:szCs w:val="24"/>
                <w:highlight w:val="none"/>
                <w14:textFill>
                  <w14:solidFill>
                    <w14:schemeClr w14:val="tx1"/>
                  </w14:solidFill>
                </w14:textFill>
              </w:rPr>
              <w:t>/d，新鲜补水量为</w:t>
            </w:r>
            <w:r>
              <w:rPr>
                <w:rFonts w:hint="eastAsia"/>
                <w:color w:val="000000" w:themeColor="text1"/>
                <w:spacing w:val="1"/>
                <w:szCs w:val="24"/>
                <w:highlight w:val="none"/>
                <w:lang w:val="en-US" w:eastAsia="zh-CN"/>
                <w14:textFill>
                  <w14:solidFill>
                    <w14:schemeClr w14:val="tx1"/>
                  </w14:solidFill>
                </w14:textFill>
              </w:rPr>
              <w:t>220</w:t>
            </w:r>
            <w:r>
              <w:rPr>
                <w:color w:val="000000" w:themeColor="text1"/>
                <w:spacing w:val="1"/>
                <w:szCs w:val="24"/>
                <w:highlight w:val="none"/>
                <w14:textFill>
                  <w14:solidFill>
                    <w14:schemeClr w14:val="tx1"/>
                  </w14:solidFill>
                </w14:textFill>
              </w:rPr>
              <w:t>m</w:t>
            </w:r>
            <w:r>
              <w:rPr>
                <w:color w:val="000000" w:themeColor="text1"/>
                <w:spacing w:val="1"/>
                <w:szCs w:val="24"/>
                <w:highlight w:val="none"/>
                <w:vertAlign w:val="superscript"/>
                <w14:textFill>
                  <w14:solidFill>
                    <w14:schemeClr w14:val="tx1"/>
                  </w14:solidFill>
                </w14:textFill>
              </w:rPr>
              <w:t>3</w:t>
            </w:r>
            <w:r>
              <w:rPr>
                <w:color w:val="000000" w:themeColor="text1"/>
                <w:spacing w:val="1"/>
                <w:szCs w:val="24"/>
                <w:highlight w:val="none"/>
                <w14:textFill>
                  <w14:solidFill>
                    <w14:schemeClr w14:val="tx1"/>
                  </w14:solidFill>
                </w14:textFill>
              </w:rPr>
              <w:t>/d，年总用水量为</w:t>
            </w:r>
            <w:r>
              <w:rPr>
                <w:rFonts w:hint="eastAsia"/>
                <w:color w:val="000000" w:themeColor="text1"/>
                <w:spacing w:val="1"/>
                <w:szCs w:val="24"/>
                <w:highlight w:val="none"/>
                <w:lang w:val="en-US" w:eastAsia="zh-CN"/>
                <w14:textFill>
                  <w14:solidFill>
                    <w14:schemeClr w14:val="tx1"/>
                  </w14:solidFill>
                </w14:textFill>
              </w:rPr>
              <w:t>4.62万</w:t>
            </w:r>
            <w:r>
              <w:rPr>
                <w:color w:val="000000" w:themeColor="text1"/>
                <w:spacing w:val="1"/>
                <w:szCs w:val="24"/>
                <w:highlight w:val="none"/>
                <w14:textFill>
                  <w14:solidFill>
                    <w14:schemeClr w14:val="tx1"/>
                  </w14:solidFill>
                </w14:textFill>
              </w:rPr>
              <w:t>m</w:t>
            </w:r>
            <w:r>
              <w:rPr>
                <w:color w:val="000000" w:themeColor="text1"/>
                <w:spacing w:val="1"/>
                <w:szCs w:val="24"/>
                <w:highlight w:val="none"/>
                <w:vertAlign w:val="superscript"/>
                <w14:textFill>
                  <w14:solidFill>
                    <w14:schemeClr w14:val="tx1"/>
                  </w14:solidFill>
                </w14:textFill>
              </w:rPr>
              <w:t>3</w:t>
            </w:r>
            <w:r>
              <w:rPr>
                <w:color w:val="000000" w:themeColor="text1"/>
                <w:spacing w:val="1"/>
                <w:szCs w:val="24"/>
                <w:highlight w:val="none"/>
                <w14:textFill>
                  <w14:solidFill>
                    <w14:schemeClr w14:val="tx1"/>
                  </w14:solidFill>
                </w14:textFill>
              </w:rPr>
              <w:t>/a。脱硫后废水经再生沉淀后回用于脱硫工序，脱硫循环水约2个月全部更换一次，更换量为</w:t>
            </w:r>
            <w:r>
              <w:rPr>
                <w:rFonts w:hint="eastAsia"/>
                <w:color w:val="000000" w:themeColor="text1"/>
                <w:spacing w:val="1"/>
                <w:szCs w:val="24"/>
                <w:highlight w:val="none"/>
                <w:lang w:val="en-US" w:eastAsia="zh-CN"/>
                <w14:textFill>
                  <w14:solidFill>
                    <w14:schemeClr w14:val="tx1"/>
                  </w14:solidFill>
                </w14:textFill>
              </w:rPr>
              <w:t>1200</w:t>
            </w:r>
            <w:r>
              <w:rPr>
                <w:color w:val="000000" w:themeColor="text1"/>
                <w:spacing w:val="1"/>
                <w:szCs w:val="24"/>
                <w:highlight w:val="none"/>
                <w14:textFill>
                  <w14:solidFill>
                    <w14:schemeClr w14:val="tx1"/>
                  </w14:solidFill>
                </w14:textFill>
              </w:rPr>
              <w:t>m</w:t>
            </w:r>
            <w:r>
              <w:rPr>
                <w:color w:val="000000" w:themeColor="text1"/>
                <w:spacing w:val="1"/>
                <w:szCs w:val="24"/>
                <w:highlight w:val="none"/>
                <w:vertAlign w:val="superscript"/>
                <w14:textFill>
                  <w14:solidFill>
                    <w14:schemeClr w14:val="tx1"/>
                  </w14:solidFill>
                </w14:textFill>
              </w:rPr>
              <w:t>3</w:t>
            </w:r>
            <w:r>
              <w:rPr>
                <w:color w:val="000000" w:themeColor="text1"/>
                <w:spacing w:val="1"/>
                <w:szCs w:val="24"/>
                <w:highlight w:val="none"/>
                <w14:textFill>
                  <w14:solidFill>
                    <w14:schemeClr w14:val="tx1"/>
                  </w14:solidFill>
                </w14:textFill>
              </w:rPr>
              <w:t>（</w:t>
            </w:r>
            <w:r>
              <w:rPr>
                <w:rFonts w:hint="eastAsia"/>
                <w:color w:val="000000" w:themeColor="text1"/>
                <w:spacing w:val="1"/>
                <w:szCs w:val="24"/>
                <w:highlight w:val="none"/>
                <w:lang w:val="en-US" w:eastAsia="zh-CN"/>
                <w14:textFill>
                  <w14:solidFill>
                    <w14:schemeClr w14:val="tx1"/>
                  </w14:solidFill>
                </w14:textFill>
              </w:rPr>
              <w:t>4800</w:t>
            </w:r>
            <w:r>
              <w:rPr>
                <w:color w:val="000000" w:themeColor="text1"/>
                <w:spacing w:val="1"/>
                <w:szCs w:val="24"/>
                <w:highlight w:val="none"/>
                <w14:textFill>
                  <w14:solidFill>
                    <w14:schemeClr w14:val="tx1"/>
                  </w14:solidFill>
                </w14:textFill>
              </w:rPr>
              <w:t>m</w:t>
            </w:r>
            <w:r>
              <w:rPr>
                <w:color w:val="000000" w:themeColor="text1"/>
                <w:spacing w:val="1"/>
                <w:szCs w:val="24"/>
                <w:highlight w:val="none"/>
                <w:vertAlign w:val="superscript"/>
                <w14:textFill>
                  <w14:solidFill>
                    <w14:schemeClr w14:val="tx1"/>
                  </w14:solidFill>
                </w14:textFill>
              </w:rPr>
              <w:t>3</w:t>
            </w:r>
            <w:r>
              <w:rPr>
                <w:color w:val="000000" w:themeColor="text1"/>
                <w:spacing w:val="1"/>
                <w:szCs w:val="24"/>
                <w:highlight w:val="none"/>
                <w14:textFill>
                  <w14:solidFill>
                    <w14:schemeClr w14:val="tx1"/>
                  </w14:solidFill>
                </w14:textFill>
              </w:rPr>
              <w:t>/a），更换的脱硫废水全部回用于制砖搅拌工序，则脱硫除尘用水量为</w:t>
            </w:r>
            <w:r>
              <w:rPr>
                <w:rFonts w:hint="eastAsia"/>
                <w:color w:val="000000" w:themeColor="text1"/>
                <w:spacing w:val="1"/>
                <w:szCs w:val="24"/>
                <w:highlight w:val="none"/>
                <w:lang w:val="en-US" w:eastAsia="zh-CN"/>
                <w14:textFill>
                  <w14:solidFill>
                    <w14:schemeClr w14:val="tx1"/>
                  </w14:solidFill>
                </w14:textFill>
              </w:rPr>
              <w:t>5.1万</w:t>
            </w:r>
            <w:r>
              <w:rPr>
                <w:color w:val="000000" w:themeColor="text1"/>
                <w:spacing w:val="1"/>
                <w:szCs w:val="24"/>
                <w:highlight w:val="none"/>
                <w14:textFill>
                  <w14:solidFill>
                    <w14:schemeClr w14:val="tx1"/>
                  </w14:solidFill>
                </w14:textFill>
              </w:rPr>
              <w:t>m</w:t>
            </w:r>
            <w:r>
              <w:rPr>
                <w:color w:val="000000" w:themeColor="text1"/>
                <w:spacing w:val="1"/>
                <w:szCs w:val="24"/>
                <w:highlight w:val="none"/>
                <w:vertAlign w:val="superscript"/>
                <w14:textFill>
                  <w14:solidFill>
                    <w14:schemeClr w14:val="tx1"/>
                  </w14:solidFill>
                </w14:textFill>
              </w:rPr>
              <w:t>3</w:t>
            </w:r>
            <w:r>
              <w:rPr>
                <w:color w:val="000000" w:themeColor="text1"/>
                <w:spacing w:val="1"/>
                <w:szCs w:val="24"/>
                <w:highlight w:val="none"/>
                <w14:textFill>
                  <w14:solidFill>
                    <w14:schemeClr w14:val="tx1"/>
                  </w14:solidFill>
                </w14:textFill>
              </w:rPr>
              <w:t>/a，平均日用水量</w:t>
            </w:r>
            <w:r>
              <w:rPr>
                <w:rFonts w:hint="eastAsia"/>
                <w:color w:val="000000" w:themeColor="text1"/>
                <w:spacing w:val="1"/>
                <w:szCs w:val="24"/>
                <w:highlight w:val="none"/>
                <w:lang w:val="en-US" w:eastAsia="zh-CN"/>
                <w14:textFill>
                  <w14:solidFill>
                    <w14:schemeClr w14:val="tx1"/>
                  </w14:solidFill>
                </w14:textFill>
              </w:rPr>
              <w:t>242.86</w:t>
            </w:r>
            <w:r>
              <w:rPr>
                <w:color w:val="000000" w:themeColor="text1"/>
                <w:spacing w:val="1"/>
                <w:szCs w:val="24"/>
                <w:highlight w:val="none"/>
                <w14:textFill>
                  <w14:solidFill>
                    <w14:schemeClr w14:val="tx1"/>
                  </w14:solidFill>
                </w14:textFill>
              </w:rPr>
              <w:t>m</w:t>
            </w:r>
            <w:r>
              <w:rPr>
                <w:color w:val="000000" w:themeColor="text1"/>
                <w:spacing w:val="1"/>
                <w:szCs w:val="24"/>
                <w:highlight w:val="none"/>
                <w:vertAlign w:val="superscript"/>
                <w14:textFill>
                  <w14:solidFill>
                    <w14:schemeClr w14:val="tx1"/>
                  </w14:solidFill>
                </w14:textFill>
              </w:rPr>
              <w:t>3</w:t>
            </w:r>
            <w:r>
              <w:rPr>
                <w:color w:val="000000" w:themeColor="text1"/>
                <w:spacing w:val="1"/>
                <w:szCs w:val="24"/>
                <w:highlight w:val="none"/>
                <w14:textFill>
                  <w14:solidFill>
                    <w14:schemeClr w14:val="tx1"/>
                  </w14:solidFill>
                </w14:textFill>
              </w:rPr>
              <w:t>/d（折合到210天）。</w:t>
            </w:r>
          </w:p>
          <w:p w14:paraId="59AF7D35">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绿化用水：本项目绿化面积56000m</w:t>
            </w:r>
            <w:r>
              <w:rPr>
                <w:color w:val="000000" w:themeColor="text1"/>
                <w:spacing w:val="1"/>
                <w:szCs w:val="24"/>
                <w:vertAlign w:val="superscript"/>
                <w14:textFill>
                  <w14:solidFill>
                    <w14:schemeClr w14:val="tx1"/>
                  </w14:solidFill>
                </w14:textFill>
              </w:rPr>
              <w:t>2</w:t>
            </w:r>
            <w:r>
              <w:rPr>
                <w:color w:val="000000" w:themeColor="text1"/>
                <w:spacing w:val="1"/>
                <w:szCs w:val="24"/>
                <w14:textFill>
                  <w14:solidFill>
                    <w14:schemeClr w14:val="tx1"/>
                  </w14:solidFill>
                </w14:textFill>
              </w:rPr>
              <w:t>，年绿化洒水天数按100d计算，则日平均绿化用水量为67.2m</w:t>
            </w:r>
            <w:r>
              <w:rPr>
                <w:rFonts w:hint="eastAsia"/>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/d，年总用水量为6720m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w:t>
            </w:r>
          </w:p>
          <w:p w14:paraId="3C632E53">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道路洒水抑尘用水：道路洒水面积按8000m</w:t>
            </w:r>
            <w:r>
              <w:rPr>
                <w:color w:val="000000" w:themeColor="text1"/>
                <w:spacing w:val="1"/>
                <w:szCs w:val="24"/>
                <w:vertAlign w:val="superscript"/>
                <w14:textFill>
                  <w14:solidFill>
                    <w14:schemeClr w14:val="tx1"/>
                  </w14:solidFill>
                </w14:textFill>
              </w:rPr>
              <w:t>2</w:t>
            </w:r>
            <w:r>
              <w:rPr>
                <w:color w:val="000000" w:themeColor="text1"/>
                <w:spacing w:val="1"/>
                <w:szCs w:val="24"/>
                <w14:textFill>
                  <w14:solidFill>
                    <w14:schemeClr w14:val="tx1"/>
                  </w14:solidFill>
                </w14:textFill>
              </w:rPr>
              <w:t>计算，则平均每日用水量为16m</w:t>
            </w:r>
            <w:r>
              <w:rPr>
                <w:color w:val="000000" w:themeColor="text1"/>
                <w:spacing w:val="1"/>
                <w:szCs w:val="24"/>
                <w:vertAlign w:val="superscript"/>
                <w14:textFill>
                  <w14:solidFill>
                    <w14:schemeClr w14:val="tx1"/>
                  </w14:solidFill>
                </w14:textFill>
              </w:rPr>
              <w:t>2</w:t>
            </w:r>
            <w:r>
              <w:rPr>
                <w:color w:val="000000" w:themeColor="text1"/>
                <w:spacing w:val="1"/>
                <w:szCs w:val="24"/>
                <w14:textFill>
                  <w14:solidFill>
                    <w14:schemeClr w14:val="tx1"/>
                  </w14:solidFill>
                </w14:textFill>
              </w:rPr>
              <w:t>/d，则年总用水量为1600m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w:t>
            </w:r>
          </w:p>
          <w:p w14:paraId="43F4F859">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职工日常生活用水：项目职工定员120人，生产天数300天，日总用水量为7.8m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/d，年总用水量为2340m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w:t>
            </w:r>
          </w:p>
          <w:p w14:paraId="27E85223">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食堂用水：该项目设有食堂，根据建设单位提供的数据，食堂每天用餐人数约为120人。则项目食堂用水量为3.84m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/d，年运行300天，年用水量为1152m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w:t>
            </w:r>
          </w:p>
          <w:p w14:paraId="16A3E075">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②</w:t>
            </w:r>
            <w:r>
              <w:rPr>
                <w:rFonts w:hint="eastAsia"/>
                <w:color w:val="000000" w:themeColor="text1"/>
                <w:spacing w:val="1"/>
                <w:szCs w:val="24"/>
                <w14:textFill>
                  <w14:solidFill>
                    <w14:schemeClr w14:val="tx1"/>
                  </w14:solidFill>
                </w14:textFill>
              </w:rPr>
              <w:t xml:space="preserve"> 排水</w:t>
            </w:r>
          </w:p>
          <w:p w14:paraId="27E6B6E1">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本项目无生产废水排放，制砖工段中原料破碎和搅拌工序用水全部进入砖坯内，在烘干烧制过程中以水蒸气形式挥发。</w:t>
            </w:r>
          </w:p>
          <w:p w14:paraId="5902AF6D">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洗选工段生产废水主要为煤泥水，经煤泥水处理系统处理后循环使用，不外排；同时厂区地面进行水泥硬化、防渗处理，当发生非正常工况时，事故废水排入事故池中，待事故处理完毕后回用至生产洗煤工序，煤泥水不外排。</w:t>
            </w:r>
          </w:p>
          <w:p w14:paraId="5710D2B2">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公司现有工作人员120人，本项目不新增定员，</w:t>
            </w:r>
            <w:r>
              <w:rPr>
                <w:color w:val="000000" w:themeColor="text1"/>
                <w:spacing w:val="1"/>
                <w:szCs w:val="24"/>
                <w14:textFill>
                  <w14:solidFill>
                    <w14:schemeClr w14:val="tx1"/>
                  </w14:solidFill>
                </w14:textFill>
              </w:rPr>
              <w:t>生活污水产生量按用水量的80%计，为6.24m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/d（1872m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/a）。生活污水主要为职工盥洗废水，设</w:t>
            </w:r>
            <w:r>
              <w:rPr>
                <w:rFonts w:hint="eastAsia"/>
                <w:color w:val="000000" w:themeColor="text1"/>
                <w:spacing w:val="1"/>
                <w:szCs w:val="24"/>
                <w14:textFill>
                  <w14:solidFill>
                    <w14:schemeClr w14:val="tx1"/>
                  </w14:solidFill>
                </w14:textFill>
              </w:rPr>
              <w:t>有</w:t>
            </w:r>
            <w:r>
              <w:rPr>
                <w:color w:val="000000" w:themeColor="text1"/>
                <w:spacing w:val="1"/>
                <w:szCs w:val="24"/>
                <w14:textFill>
                  <w14:solidFill>
                    <w14:schemeClr w14:val="tx1"/>
                  </w14:solidFill>
                </w14:textFill>
              </w:rPr>
              <w:t>50m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和80m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化粪池，定期清掏，厂区设3个旱厕，定期清掏，用作肥料。</w:t>
            </w:r>
          </w:p>
          <w:p w14:paraId="3B6FD84C">
            <w:pPr>
              <w:ind w:firstLine="484"/>
              <w:rPr>
                <w:color w:val="000000" w:themeColor="text1"/>
                <w:spacing w:val="1"/>
                <w:szCs w:val="24"/>
                <w14:textFill>
                  <w14:solidFill>
                    <w14:schemeClr w14:val="tx1"/>
                  </w14:solidFill>
                </w14:textFill>
              </w:rPr>
            </w:pPr>
            <w:r>
              <w:rPr>
                <w:color w:val="000000" w:themeColor="text1"/>
                <w:spacing w:val="1"/>
                <w:szCs w:val="24"/>
                <w14:textFill>
                  <w14:solidFill>
                    <w14:schemeClr w14:val="tx1"/>
                  </w14:solidFill>
                </w14:textFill>
              </w:rPr>
              <w:t>车辆清洗废水按80%计，为</w:t>
            </w:r>
            <w:r>
              <w:rPr>
                <w:rFonts w:hint="eastAsia"/>
                <w:color w:val="000000" w:themeColor="text1"/>
                <w:spacing w:val="1"/>
                <w:szCs w:val="24"/>
                <w:lang w:val="en-US" w:eastAsia="zh-CN"/>
                <w14:textFill>
                  <w14:solidFill>
                    <w14:schemeClr w14:val="tx1"/>
                  </w14:solidFill>
                </w14:textFill>
              </w:rPr>
              <w:t>8</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w:t>
            </w:r>
            <w:r>
              <w:rPr>
                <w:rFonts w:hint="eastAsia"/>
                <w:color w:val="000000" w:themeColor="text1"/>
                <w:spacing w:val="1"/>
                <w:szCs w:val="24"/>
                <w:lang w:val="en-US" w:eastAsia="zh-CN"/>
                <w14:textFill>
                  <w14:solidFill>
                    <w14:schemeClr w14:val="tx1"/>
                  </w14:solidFill>
                </w14:textFill>
              </w:rPr>
              <w:t>1680</w:t>
            </w:r>
            <w:r>
              <w:rPr>
                <w:color w:val="000000" w:themeColor="text1"/>
                <w:spacing w:val="1"/>
                <w:szCs w:val="24"/>
                <w14:textFill>
                  <w14:solidFill>
                    <w14:schemeClr w14:val="tx1"/>
                  </w14:solidFill>
                </w14:textFill>
              </w:rPr>
              <w:t>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/a），经沉淀池沉淀后回用洗车；食堂用水量为3.84m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/d，排污系数取0.85，故食堂废水产生量为3.264m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/d，979.2m</w:t>
            </w:r>
            <w:r>
              <w:rPr>
                <w:color w:val="000000" w:themeColor="text1"/>
                <w:spacing w:val="1"/>
                <w:szCs w:val="24"/>
                <w:vertAlign w:val="superscript"/>
                <w14:textFill>
                  <w14:solidFill>
                    <w14:schemeClr w14:val="tx1"/>
                  </w14:solidFill>
                </w14:textFill>
              </w:rPr>
              <w:t>3</w:t>
            </w:r>
            <w:r>
              <w:rPr>
                <w:color w:val="000000" w:themeColor="text1"/>
                <w:spacing w:val="1"/>
                <w:szCs w:val="24"/>
                <w14:textFill>
                  <w14:solidFill>
                    <w14:schemeClr w14:val="tx1"/>
                  </w14:solidFill>
                </w14:textFill>
              </w:rPr>
              <w:t>/a。设隔油池，经隔油池沉淀后进入化粪池。</w:t>
            </w:r>
          </w:p>
          <w:p w14:paraId="1FC57F1B">
            <w:pPr>
              <w:ind w:firstLine="484"/>
              <w:rPr>
                <w:color w:val="000000" w:themeColor="text1"/>
                <w:spacing w:val="1"/>
                <w:szCs w:val="24"/>
                <w14:textFill>
                  <w14:solidFill>
                    <w14:schemeClr w14:val="tx1"/>
                  </w14:solidFill>
                </w14:textFill>
              </w:rPr>
            </w:pPr>
          </w:p>
          <w:p w14:paraId="06F6ADAF">
            <w:pPr>
              <w:ind w:firstLine="484"/>
              <w:rPr>
                <w:color w:val="000000" w:themeColor="text1"/>
                <w:spacing w:val="1"/>
                <w:szCs w:val="24"/>
                <w14:textFill>
                  <w14:solidFill>
                    <w14:schemeClr w14:val="tx1"/>
                  </w14:solidFill>
                </w14:textFill>
              </w:rPr>
            </w:pPr>
          </w:p>
          <w:p w14:paraId="25E16363">
            <w:pPr>
              <w:ind w:firstLine="484"/>
              <w:rPr>
                <w:color w:val="000000" w:themeColor="text1"/>
                <w:spacing w:val="1"/>
                <w:szCs w:val="24"/>
                <w14:textFill>
                  <w14:solidFill>
                    <w14:schemeClr w14:val="tx1"/>
                  </w14:solidFill>
                </w14:textFill>
              </w:rPr>
            </w:pPr>
          </w:p>
          <w:p w14:paraId="1D7CA23E">
            <w:pPr>
              <w:ind w:firstLine="484"/>
              <w:rPr>
                <w:color w:val="000000" w:themeColor="text1"/>
                <w:spacing w:val="1"/>
                <w:szCs w:val="24"/>
                <w14:textFill>
                  <w14:solidFill>
                    <w14:schemeClr w14:val="tx1"/>
                  </w14:solidFill>
                </w14:textFill>
              </w:rPr>
            </w:pPr>
          </w:p>
          <w:p w14:paraId="62CA23AB">
            <w:pPr>
              <w:ind w:firstLine="484"/>
              <w:rPr>
                <w:color w:val="000000" w:themeColor="text1"/>
                <w:spacing w:val="1"/>
                <w:szCs w:val="24"/>
                <w14:textFill>
                  <w14:solidFill>
                    <w14:schemeClr w14:val="tx1"/>
                  </w14:solidFill>
                </w14:textFill>
              </w:rPr>
            </w:pPr>
          </w:p>
          <w:p w14:paraId="3ADD1163">
            <w:pPr>
              <w:ind w:firstLine="484"/>
              <w:rPr>
                <w:color w:val="000000" w:themeColor="text1"/>
                <w:spacing w:val="1"/>
                <w:szCs w:val="24"/>
                <w14:textFill>
                  <w14:solidFill>
                    <w14:schemeClr w14:val="tx1"/>
                  </w14:solidFill>
                </w14:textFill>
              </w:rPr>
            </w:pPr>
          </w:p>
          <w:p w14:paraId="4145718D">
            <w:pPr>
              <w:ind w:firstLine="484"/>
              <w:rPr>
                <w:color w:val="000000" w:themeColor="text1"/>
                <w:spacing w:val="1"/>
                <w:szCs w:val="24"/>
                <w14:textFill>
                  <w14:solidFill>
                    <w14:schemeClr w14:val="tx1"/>
                  </w14:solidFill>
                </w14:textFill>
              </w:rPr>
            </w:pPr>
          </w:p>
          <w:p w14:paraId="4CC9A916">
            <w:pPr>
              <w:pStyle w:val="312"/>
              <w:widowControl w:val="0"/>
              <w:numPr>
                <w:ilvl w:val="0"/>
                <w:numId w:val="14"/>
              </w:numPr>
              <w:spacing w:line="240" w:lineRule="auto"/>
              <w:ind w:left="-2" w:firstLine="482" w:firstLineChars="0"/>
              <w:rPr>
                <w:rFonts w:hint="eastAsia" w:asciiTheme="minorEastAsia" w:hAnsiTheme="minorEastAsia" w:eastAsiaTheme="minorEastAsia" w:cstheme="minorEastAsia"/>
                <w:b/>
                <w:color w:val="000000" w:themeColor="text1"/>
                <w14:textFill>
                  <w14:solidFill>
                    <w14:schemeClr w14:val="tx1"/>
                  </w14:solidFill>
                </w14:textFill>
              </w:rPr>
            </w:pPr>
            <w:r>
              <w:rPr>
                <w:rFonts w:hint="eastAsia" w:asciiTheme="minorEastAsia" w:hAnsiTheme="minorEastAsia" w:eastAsiaTheme="minorEastAsia" w:cstheme="minorEastAsia"/>
                <w:b/>
                <w:color w:val="000000" w:themeColor="text1"/>
                <w14:textFill>
                  <w14:solidFill>
                    <w14:schemeClr w14:val="tx1"/>
                  </w14:solidFill>
                </w14:textFill>
              </w:rPr>
              <w:t xml:space="preserve">                    项目水平衡</w:t>
            </w:r>
          </w:p>
          <w:tbl>
            <w:tblPr>
              <w:tblStyle w:val="82"/>
              <w:tblW w:w="49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630"/>
              <w:gridCol w:w="1770"/>
              <w:gridCol w:w="934"/>
              <w:gridCol w:w="861"/>
              <w:gridCol w:w="1499"/>
              <w:gridCol w:w="897"/>
              <w:gridCol w:w="1269"/>
            </w:tblGrid>
            <w:tr w14:paraId="019B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Merge w:val="restart"/>
                  <w:tcBorders>
                    <w:bottom w:val="single" w:color="auto" w:sz="4" w:space="0"/>
                    <w:right w:val="single" w:color="auto" w:sz="4" w:space="0"/>
                  </w:tcBorders>
                  <w:vAlign w:val="center"/>
                </w:tcPr>
                <w:p w14:paraId="431AD586">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序号</w:t>
                  </w:r>
                </w:p>
              </w:tc>
              <w:tc>
                <w:tcPr>
                  <w:tcW w:w="1995" w:type="pct"/>
                  <w:gridSpan w:val="3"/>
                  <w:vMerge w:val="restart"/>
                  <w:tcBorders>
                    <w:left w:val="single" w:color="auto" w:sz="4" w:space="0"/>
                    <w:bottom w:val="single" w:color="auto" w:sz="4" w:space="0"/>
                    <w:right w:val="single" w:color="auto" w:sz="4" w:space="0"/>
                  </w:tcBorders>
                  <w:vAlign w:val="center"/>
                </w:tcPr>
                <w:p w14:paraId="2CEFAC48">
                  <w:pPr>
                    <w:pStyle w:val="144"/>
                    <w:rPr>
                      <w:rFonts w:ascii="Times New Roman" w:hAnsi="Times New Roman" w:eastAsiaTheme="minorEastAsia"/>
                      <w:color w:val="000000" w:themeColor="text1"/>
                      <w:szCs w:val="21"/>
                      <w:lang w:val="zh-TW"/>
                      <w14:textFill>
                        <w14:solidFill>
                          <w14:schemeClr w14:val="tx1"/>
                        </w14:solidFill>
                      </w14:textFill>
                    </w:rPr>
                  </w:pPr>
                  <w:r>
                    <w:rPr>
                      <w:rFonts w:hint="eastAsia" w:ascii="Times New Roman" w:hAnsi="Times New Roman" w:eastAsiaTheme="minorEastAsia"/>
                      <w:color w:val="000000" w:themeColor="text1"/>
                      <w:szCs w:val="21"/>
                      <w:lang w:val="zh-TW"/>
                      <w14:textFill>
                        <w14:solidFill>
                          <w14:schemeClr w14:val="tx1"/>
                        </w14:solidFill>
                      </w14:textFill>
                    </w:rPr>
                    <w:t>进入系统的水量（m</w:t>
                  </w:r>
                  <w:r>
                    <w:rPr>
                      <w:rFonts w:hint="eastAsia" w:ascii="Times New Roman" w:hAnsi="Times New Roman" w:eastAsiaTheme="minorEastAsia"/>
                      <w:color w:val="000000" w:themeColor="text1"/>
                      <w:szCs w:val="21"/>
                      <w:vertAlign w:val="superscript"/>
                      <w:lang w:val="zh-TW"/>
                      <w14:textFill>
                        <w14:solidFill>
                          <w14:schemeClr w14:val="tx1"/>
                        </w14:solidFill>
                      </w14:textFill>
                    </w:rPr>
                    <w:t>3</w:t>
                  </w:r>
                  <w:r>
                    <w:rPr>
                      <w:rFonts w:hint="eastAsia" w:ascii="Times New Roman" w:hAnsi="Times New Roman" w:eastAsiaTheme="minorEastAsia"/>
                      <w:color w:val="000000" w:themeColor="text1"/>
                      <w:szCs w:val="21"/>
                      <w:lang w:val="zh-TW"/>
                      <w14:textFill>
                        <w14:solidFill>
                          <w14:schemeClr w14:val="tx1"/>
                        </w14:solidFill>
                      </w14:textFill>
                    </w:rPr>
                    <w:t>/d）</w:t>
                  </w:r>
                </w:p>
              </w:tc>
              <w:tc>
                <w:tcPr>
                  <w:tcW w:w="1412" w:type="pct"/>
                  <w:gridSpan w:val="2"/>
                  <w:vMerge w:val="restart"/>
                  <w:tcBorders>
                    <w:left w:val="single" w:color="auto" w:sz="4" w:space="0"/>
                    <w:bottom w:val="single" w:color="auto" w:sz="4" w:space="0"/>
                    <w:right w:val="single" w:color="auto" w:sz="4" w:space="0"/>
                  </w:tcBorders>
                  <w:vAlign w:val="center"/>
                </w:tcPr>
                <w:p w14:paraId="3556098A">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带出系统的水量</w:t>
                  </w:r>
                </w:p>
              </w:tc>
              <w:tc>
                <w:tcPr>
                  <w:tcW w:w="537" w:type="pct"/>
                  <w:tcBorders>
                    <w:left w:val="single" w:color="auto" w:sz="4" w:space="0"/>
                    <w:bottom w:val="single" w:color="auto" w:sz="4" w:space="0"/>
                    <w:right w:val="single" w:color="auto" w:sz="4" w:space="0"/>
                  </w:tcBorders>
                  <w:vAlign w:val="center"/>
                </w:tcPr>
                <w:p w14:paraId="37FF1CD8">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损耗</w:t>
                  </w:r>
                </w:p>
              </w:tc>
              <w:tc>
                <w:tcPr>
                  <w:tcW w:w="759" w:type="pct"/>
                  <w:tcBorders>
                    <w:left w:val="single" w:color="auto" w:sz="4" w:space="0"/>
                    <w:bottom w:val="single" w:color="auto" w:sz="4" w:space="0"/>
                  </w:tcBorders>
                  <w:vAlign w:val="center"/>
                </w:tcPr>
                <w:p w14:paraId="0C9EC696">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排出</w:t>
                  </w:r>
                </w:p>
              </w:tc>
            </w:tr>
            <w:tr w14:paraId="47C5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Merge w:val="continue"/>
                  <w:tcBorders>
                    <w:top w:val="single" w:color="auto" w:sz="4" w:space="0"/>
                    <w:bottom w:val="single" w:color="auto" w:sz="4" w:space="0"/>
                    <w:right w:val="single" w:color="auto" w:sz="4" w:space="0"/>
                  </w:tcBorders>
                  <w:vAlign w:val="center"/>
                </w:tcPr>
                <w:p w14:paraId="6736B3E9">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1995" w:type="pct"/>
                  <w:gridSpan w:val="3"/>
                  <w:vMerge w:val="continue"/>
                  <w:tcBorders>
                    <w:top w:val="single" w:color="auto" w:sz="4" w:space="0"/>
                    <w:left w:val="single" w:color="auto" w:sz="4" w:space="0"/>
                    <w:bottom w:val="single" w:color="auto" w:sz="4" w:space="0"/>
                    <w:right w:val="single" w:color="auto" w:sz="4" w:space="0"/>
                  </w:tcBorders>
                  <w:vAlign w:val="center"/>
                </w:tcPr>
                <w:p w14:paraId="27B1888F">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1412" w:type="pct"/>
                  <w:gridSpan w:val="2"/>
                  <w:vMerge w:val="continue"/>
                  <w:tcBorders>
                    <w:top w:val="single" w:color="auto" w:sz="4" w:space="0"/>
                    <w:left w:val="single" w:color="auto" w:sz="4" w:space="0"/>
                    <w:bottom w:val="single" w:color="auto" w:sz="4" w:space="0"/>
                    <w:right w:val="single" w:color="auto" w:sz="4" w:space="0"/>
                  </w:tcBorders>
                  <w:vAlign w:val="center"/>
                </w:tcPr>
                <w:p w14:paraId="146A0486">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1296" w:type="pct"/>
                  <w:gridSpan w:val="2"/>
                  <w:tcBorders>
                    <w:top w:val="single" w:color="auto" w:sz="4" w:space="0"/>
                    <w:left w:val="single" w:color="auto" w:sz="4" w:space="0"/>
                    <w:bottom w:val="single" w:color="auto" w:sz="4" w:space="0"/>
                  </w:tcBorders>
                  <w:vAlign w:val="center"/>
                </w:tcPr>
                <w:p w14:paraId="1227566F">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（m</w:t>
                  </w:r>
                  <w:r>
                    <w:rPr>
                      <w:rFonts w:hint="eastAsia" w:ascii="Times New Roman" w:hAnsi="Times New Roman" w:eastAsiaTheme="minorEastAsia"/>
                      <w:color w:val="000000" w:themeColor="text1"/>
                      <w:szCs w:val="21"/>
                      <w:vertAlign w:val="superscript"/>
                      <w:lang w:val="zh-TW" w:eastAsia="en-US"/>
                      <w14:textFill>
                        <w14:solidFill>
                          <w14:schemeClr w14:val="tx1"/>
                        </w14:solidFill>
                      </w14:textFill>
                    </w:rPr>
                    <w:t>3</w:t>
                  </w:r>
                  <w:r>
                    <w:rPr>
                      <w:rFonts w:hint="eastAsia" w:ascii="Times New Roman" w:hAnsi="Times New Roman" w:eastAsiaTheme="minorEastAsia"/>
                      <w:color w:val="000000" w:themeColor="text1"/>
                      <w:szCs w:val="21"/>
                      <w:lang w:val="zh-TW" w:eastAsia="en-US"/>
                      <w14:textFill>
                        <w14:solidFill>
                          <w14:schemeClr w14:val="tx1"/>
                        </w14:solidFill>
                      </w14:textFill>
                    </w:rPr>
                    <w:t>/d）</w:t>
                  </w:r>
                </w:p>
              </w:tc>
            </w:tr>
            <w:tr w14:paraId="447D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tcBorders>
                    <w:top w:val="single" w:color="auto" w:sz="4" w:space="0"/>
                    <w:bottom w:val="single" w:color="auto" w:sz="4" w:space="0"/>
                    <w:right w:val="single" w:color="auto" w:sz="4" w:space="0"/>
                  </w:tcBorders>
                  <w:vAlign w:val="center"/>
                </w:tcPr>
                <w:p w14:paraId="2A2A0D8C">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1</w:t>
                  </w:r>
                </w:p>
              </w:tc>
              <w:tc>
                <w:tcPr>
                  <w:tcW w:w="1436" w:type="pct"/>
                  <w:gridSpan w:val="2"/>
                  <w:tcBorders>
                    <w:top w:val="single" w:color="auto" w:sz="4" w:space="0"/>
                    <w:left w:val="single" w:color="auto" w:sz="4" w:space="0"/>
                    <w:bottom w:val="single" w:color="auto" w:sz="4" w:space="0"/>
                    <w:right w:val="single" w:color="auto" w:sz="4" w:space="0"/>
                  </w:tcBorders>
                  <w:vAlign w:val="center"/>
                </w:tcPr>
                <w:p w14:paraId="4BF424F8">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生活用水</w:t>
                  </w:r>
                </w:p>
              </w:tc>
              <w:tc>
                <w:tcPr>
                  <w:tcW w:w="559" w:type="pct"/>
                  <w:tcBorders>
                    <w:top w:val="single" w:color="auto" w:sz="4" w:space="0"/>
                    <w:left w:val="single" w:color="auto" w:sz="4" w:space="0"/>
                    <w:bottom w:val="single" w:color="auto" w:sz="4" w:space="0"/>
                    <w:right w:val="single" w:color="auto" w:sz="4" w:space="0"/>
                  </w:tcBorders>
                  <w:vAlign w:val="center"/>
                </w:tcPr>
                <w:p w14:paraId="5D04BF29">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7.8</w:t>
                  </w:r>
                </w:p>
              </w:tc>
              <w:tc>
                <w:tcPr>
                  <w:tcW w:w="1412" w:type="pct"/>
                  <w:gridSpan w:val="2"/>
                  <w:tcBorders>
                    <w:top w:val="single" w:color="auto" w:sz="4" w:space="0"/>
                    <w:left w:val="single" w:color="auto" w:sz="4" w:space="0"/>
                    <w:bottom w:val="single" w:color="auto" w:sz="4" w:space="0"/>
                    <w:right w:val="single" w:color="auto" w:sz="4" w:space="0"/>
                  </w:tcBorders>
                  <w:vAlign w:val="center"/>
                </w:tcPr>
                <w:p w14:paraId="396B6038">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生活污水</w:t>
                  </w:r>
                </w:p>
              </w:tc>
              <w:tc>
                <w:tcPr>
                  <w:tcW w:w="537" w:type="pct"/>
                  <w:tcBorders>
                    <w:top w:val="single" w:color="auto" w:sz="4" w:space="0"/>
                    <w:left w:val="single" w:color="auto" w:sz="4" w:space="0"/>
                    <w:bottom w:val="single" w:color="auto" w:sz="4" w:space="0"/>
                    <w:right w:val="single" w:color="auto" w:sz="4" w:space="0"/>
                  </w:tcBorders>
                  <w:vAlign w:val="center"/>
                </w:tcPr>
                <w:p w14:paraId="77659921">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1.56</w:t>
                  </w:r>
                </w:p>
              </w:tc>
              <w:tc>
                <w:tcPr>
                  <w:tcW w:w="759" w:type="pct"/>
                  <w:tcBorders>
                    <w:top w:val="single" w:color="auto" w:sz="4" w:space="0"/>
                    <w:left w:val="single" w:color="auto" w:sz="4" w:space="0"/>
                    <w:bottom w:val="single" w:color="auto" w:sz="4" w:space="0"/>
                  </w:tcBorders>
                  <w:vAlign w:val="center"/>
                </w:tcPr>
                <w:p w14:paraId="71FE919A">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6.24</w:t>
                  </w:r>
                </w:p>
              </w:tc>
            </w:tr>
            <w:tr w14:paraId="20F2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tcBorders>
                    <w:top w:val="single" w:color="auto" w:sz="4" w:space="0"/>
                    <w:bottom w:val="single" w:color="auto" w:sz="4" w:space="0"/>
                    <w:right w:val="single" w:color="auto" w:sz="4" w:space="0"/>
                  </w:tcBorders>
                  <w:vAlign w:val="center"/>
                </w:tcPr>
                <w:p w14:paraId="3B097621">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2</w:t>
                  </w:r>
                </w:p>
              </w:tc>
              <w:tc>
                <w:tcPr>
                  <w:tcW w:w="1436" w:type="pct"/>
                  <w:gridSpan w:val="2"/>
                  <w:tcBorders>
                    <w:top w:val="single" w:color="auto" w:sz="4" w:space="0"/>
                    <w:left w:val="single" w:color="auto" w:sz="4" w:space="0"/>
                    <w:bottom w:val="single" w:color="auto" w:sz="4" w:space="0"/>
                    <w:right w:val="single" w:color="auto" w:sz="4" w:space="0"/>
                  </w:tcBorders>
                  <w:vAlign w:val="center"/>
                </w:tcPr>
                <w:p w14:paraId="23994A49">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食堂用水</w:t>
                  </w:r>
                </w:p>
              </w:tc>
              <w:tc>
                <w:tcPr>
                  <w:tcW w:w="559" w:type="pct"/>
                  <w:tcBorders>
                    <w:top w:val="single" w:color="auto" w:sz="4" w:space="0"/>
                    <w:left w:val="single" w:color="auto" w:sz="4" w:space="0"/>
                    <w:bottom w:val="single" w:color="auto" w:sz="4" w:space="0"/>
                    <w:right w:val="single" w:color="auto" w:sz="4" w:space="0"/>
                  </w:tcBorders>
                  <w:vAlign w:val="center"/>
                </w:tcPr>
                <w:p w14:paraId="4E8E51CF">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3.84</w:t>
                  </w:r>
                </w:p>
              </w:tc>
              <w:tc>
                <w:tcPr>
                  <w:tcW w:w="1412" w:type="pct"/>
                  <w:gridSpan w:val="2"/>
                  <w:tcBorders>
                    <w:top w:val="single" w:color="auto" w:sz="4" w:space="0"/>
                    <w:left w:val="single" w:color="auto" w:sz="4" w:space="0"/>
                    <w:bottom w:val="single" w:color="auto" w:sz="4" w:space="0"/>
                    <w:right w:val="single" w:color="auto" w:sz="4" w:space="0"/>
                  </w:tcBorders>
                  <w:vAlign w:val="center"/>
                </w:tcPr>
                <w:p w14:paraId="52CBB831">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食堂废水</w:t>
                  </w:r>
                </w:p>
              </w:tc>
              <w:tc>
                <w:tcPr>
                  <w:tcW w:w="537" w:type="pct"/>
                  <w:tcBorders>
                    <w:top w:val="single" w:color="auto" w:sz="4" w:space="0"/>
                    <w:left w:val="single" w:color="auto" w:sz="4" w:space="0"/>
                    <w:bottom w:val="single" w:color="auto" w:sz="4" w:space="0"/>
                    <w:right w:val="single" w:color="auto" w:sz="4" w:space="0"/>
                  </w:tcBorders>
                  <w:vAlign w:val="center"/>
                </w:tcPr>
                <w:p w14:paraId="1429D46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0.</w:t>
                  </w:r>
                  <w:r>
                    <w:rPr>
                      <w:rFonts w:hint="eastAsia" w:ascii="Times New Roman" w:hAnsi="Times New Roman" w:eastAsiaTheme="minorEastAsia"/>
                      <w:color w:val="000000" w:themeColor="text1"/>
                      <w:szCs w:val="21"/>
                      <w14:textFill>
                        <w14:solidFill>
                          <w14:schemeClr w14:val="tx1"/>
                        </w14:solidFill>
                      </w14:textFill>
                    </w:rPr>
                    <w:t>576</w:t>
                  </w:r>
                </w:p>
              </w:tc>
              <w:tc>
                <w:tcPr>
                  <w:tcW w:w="759" w:type="pct"/>
                  <w:tcBorders>
                    <w:top w:val="single" w:color="auto" w:sz="4" w:space="0"/>
                    <w:left w:val="single" w:color="auto" w:sz="4" w:space="0"/>
                    <w:bottom w:val="single" w:color="auto" w:sz="4" w:space="0"/>
                  </w:tcBorders>
                  <w:vAlign w:val="center"/>
                </w:tcPr>
                <w:p w14:paraId="46547D7E">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3.264</w:t>
                  </w:r>
                </w:p>
              </w:tc>
            </w:tr>
            <w:tr w14:paraId="5F87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tcBorders>
                    <w:top w:val="single" w:color="auto" w:sz="4" w:space="0"/>
                    <w:bottom w:val="single" w:color="auto" w:sz="4" w:space="0"/>
                    <w:right w:val="single" w:color="auto" w:sz="4" w:space="0"/>
                  </w:tcBorders>
                  <w:vAlign w:val="center"/>
                </w:tcPr>
                <w:p w14:paraId="4373D06A">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3</w:t>
                  </w:r>
                </w:p>
              </w:tc>
              <w:tc>
                <w:tcPr>
                  <w:tcW w:w="1436" w:type="pct"/>
                  <w:gridSpan w:val="2"/>
                  <w:tcBorders>
                    <w:top w:val="single" w:color="auto" w:sz="4" w:space="0"/>
                    <w:left w:val="single" w:color="auto" w:sz="4" w:space="0"/>
                    <w:bottom w:val="single" w:color="auto" w:sz="4" w:space="0"/>
                    <w:right w:val="single" w:color="auto" w:sz="4" w:space="0"/>
                  </w:tcBorders>
                  <w:vAlign w:val="center"/>
                </w:tcPr>
                <w:p w14:paraId="07030F06">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烧结</w:t>
                  </w:r>
                  <w:r>
                    <w:rPr>
                      <w:rFonts w:hint="eastAsia" w:ascii="Times New Roman" w:hAnsi="Times New Roman" w:eastAsiaTheme="minorEastAsia"/>
                      <w:color w:val="000000" w:themeColor="text1"/>
                      <w:szCs w:val="21"/>
                      <w:lang w:val="zh-TW" w:eastAsia="en-US"/>
                      <w14:textFill>
                        <w14:solidFill>
                          <w14:schemeClr w14:val="tx1"/>
                        </w14:solidFill>
                      </w14:textFill>
                    </w:rPr>
                    <w:t>制砖搅拌用水</w:t>
                  </w:r>
                </w:p>
              </w:tc>
              <w:tc>
                <w:tcPr>
                  <w:tcW w:w="559" w:type="pct"/>
                  <w:tcBorders>
                    <w:top w:val="single" w:color="auto" w:sz="4" w:space="0"/>
                    <w:left w:val="single" w:color="auto" w:sz="4" w:space="0"/>
                    <w:bottom w:val="single" w:color="auto" w:sz="4" w:space="0"/>
                    <w:right w:val="single" w:color="auto" w:sz="4" w:space="0"/>
                  </w:tcBorders>
                  <w:vAlign w:val="center"/>
                </w:tcPr>
                <w:p w14:paraId="4106E767">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285.75</w:t>
                  </w:r>
                </w:p>
              </w:tc>
              <w:tc>
                <w:tcPr>
                  <w:tcW w:w="1412" w:type="pct"/>
                  <w:gridSpan w:val="2"/>
                  <w:tcBorders>
                    <w:top w:val="single" w:color="auto" w:sz="4" w:space="0"/>
                    <w:left w:val="single" w:color="auto" w:sz="4" w:space="0"/>
                    <w:bottom w:val="single" w:color="auto" w:sz="4" w:space="0"/>
                    <w:right w:val="single" w:color="auto" w:sz="4" w:space="0"/>
                  </w:tcBorders>
                  <w:vAlign w:val="center"/>
                </w:tcPr>
                <w:p w14:paraId="68E721BB">
                  <w:pPr>
                    <w:pStyle w:val="144"/>
                    <w:rPr>
                      <w:rFonts w:ascii="Times New Roman" w:hAnsi="Times New Roman" w:eastAsiaTheme="minorEastAsia"/>
                      <w:color w:val="000000" w:themeColor="text1"/>
                      <w:szCs w:val="21"/>
                      <w:lang w:val="zh-TW"/>
                      <w14:textFill>
                        <w14:solidFill>
                          <w14:schemeClr w14:val="tx1"/>
                        </w14:solidFill>
                      </w14:textFill>
                    </w:rPr>
                  </w:pPr>
                  <w:r>
                    <w:rPr>
                      <w:rFonts w:hint="eastAsia" w:ascii="Times New Roman" w:hAnsi="Times New Roman" w:eastAsiaTheme="minorEastAsia"/>
                      <w:color w:val="000000" w:themeColor="text1"/>
                      <w:szCs w:val="21"/>
                      <w:lang w:val="zh-TW"/>
                      <w14:textFill>
                        <w14:solidFill>
                          <w14:schemeClr w14:val="tx1"/>
                        </w14:solidFill>
                      </w14:textFill>
                    </w:rPr>
                    <w:t>全部进入砖坯中后蒸发</w:t>
                  </w:r>
                </w:p>
              </w:tc>
              <w:tc>
                <w:tcPr>
                  <w:tcW w:w="537" w:type="pct"/>
                  <w:tcBorders>
                    <w:top w:val="single" w:color="auto" w:sz="4" w:space="0"/>
                    <w:left w:val="single" w:color="auto" w:sz="4" w:space="0"/>
                    <w:bottom w:val="single" w:color="auto" w:sz="4" w:space="0"/>
                    <w:right w:val="single" w:color="auto" w:sz="4" w:space="0"/>
                  </w:tcBorders>
                  <w:vAlign w:val="center"/>
                </w:tcPr>
                <w:p w14:paraId="57228085">
                  <w:pPr>
                    <w:pStyle w:val="144"/>
                    <w:ind w:firstLine="0" w:firstLineChars="0"/>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285.75</w:t>
                  </w:r>
                </w:p>
              </w:tc>
              <w:tc>
                <w:tcPr>
                  <w:tcW w:w="759" w:type="pct"/>
                  <w:tcBorders>
                    <w:top w:val="single" w:color="auto" w:sz="4" w:space="0"/>
                    <w:left w:val="single" w:color="auto" w:sz="4" w:space="0"/>
                    <w:bottom w:val="single" w:color="auto" w:sz="4" w:space="0"/>
                  </w:tcBorders>
                  <w:vAlign w:val="center"/>
                </w:tcPr>
                <w:p w14:paraId="359A8631">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0</w:t>
                  </w:r>
                </w:p>
              </w:tc>
            </w:tr>
            <w:tr w14:paraId="7253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tcBorders>
                    <w:top w:val="single" w:color="auto" w:sz="4" w:space="0"/>
                    <w:bottom w:val="single" w:color="auto" w:sz="4" w:space="0"/>
                    <w:right w:val="single" w:color="auto" w:sz="4" w:space="0"/>
                  </w:tcBorders>
                  <w:vAlign w:val="center"/>
                </w:tcPr>
                <w:p w14:paraId="60FBCF75">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4</w:t>
                  </w:r>
                </w:p>
              </w:tc>
              <w:tc>
                <w:tcPr>
                  <w:tcW w:w="1436" w:type="pct"/>
                  <w:gridSpan w:val="2"/>
                  <w:tcBorders>
                    <w:top w:val="single" w:color="auto" w:sz="4" w:space="0"/>
                    <w:left w:val="single" w:color="auto" w:sz="4" w:space="0"/>
                    <w:bottom w:val="single" w:color="auto" w:sz="4" w:space="0"/>
                    <w:right w:val="single" w:color="auto" w:sz="4" w:space="0"/>
                  </w:tcBorders>
                  <w:vAlign w:val="center"/>
                </w:tcPr>
                <w:p w14:paraId="6FAAD5DD">
                  <w:pPr>
                    <w:pStyle w:val="144"/>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免烧砖生产搅拌用水</w:t>
                  </w:r>
                </w:p>
              </w:tc>
              <w:tc>
                <w:tcPr>
                  <w:tcW w:w="559" w:type="pct"/>
                  <w:tcBorders>
                    <w:top w:val="single" w:color="auto" w:sz="4" w:space="0"/>
                    <w:left w:val="single" w:color="auto" w:sz="4" w:space="0"/>
                    <w:bottom w:val="single" w:color="auto" w:sz="4" w:space="0"/>
                    <w:right w:val="single" w:color="auto" w:sz="4" w:space="0"/>
                  </w:tcBorders>
                  <w:vAlign w:val="center"/>
                </w:tcPr>
                <w:p w14:paraId="4AD63AE8">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40.768</w:t>
                  </w:r>
                </w:p>
              </w:tc>
              <w:tc>
                <w:tcPr>
                  <w:tcW w:w="1412" w:type="pct"/>
                  <w:gridSpan w:val="2"/>
                  <w:tcBorders>
                    <w:top w:val="single" w:color="auto" w:sz="4" w:space="0"/>
                    <w:left w:val="single" w:color="auto" w:sz="4" w:space="0"/>
                    <w:bottom w:val="single" w:color="auto" w:sz="4" w:space="0"/>
                    <w:right w:val="single" w:color="auto" w:sz="4" w:space="0"/>
                  </w:tcBorders>
                  <w:vAlign w:val="center"/>
                </w:tcPr>
                <w:p w14:paraId="5B73AB12">
                  <w:pPr>
                    <w:pStyle w:val="144"/>
                    <w:rPr>
                      <w:rFonts w:ascii="Times New Roman" w:hAnsi="Times New Roman" w:eastAsiaTheme="minorEastAsia"/>
                      <w:color w:val="000000" w:themeColor="text1"/>
                      <w:szCs w:val="21"/>
                      <w:lang w:val="zh-TW"/>
                      <w14:textFill>
                        <w14:solidFill>
                          <w14:schemeClr w14:val="tx1"/>
                        </w14:solidFill>
                      </w14:textFill>
                    </w:rPr>
                  </w:pPr>
                  <w:r>
                    <w:rPr>
                      <w:rFonts w:hint="eastAsia" w:ascii="Times New Roman" w:hAnsi="Times New Roman" w:eastAsiaTheme="minorEastAsia"/>
                      <w:color w:val="000000" w:themeColor="text1"/>
                      <w:szCs w:val="21"/>
                      <w:lang w:val="zh-TW"/>
                      <w14:textFill>
                        <w14:solidFill>
                          <w14:schemeClr w14:val="tx1"/>
                        </w14:solidFill>
                      </w14:textFill>
                    </w:rPr>
                    <w:t>生产搅拌用水全部随产品带走</w:t>
                  </w:r>
                </w:p>
              </w:tc>
              <w:tc>
                <w:tcPr>
                  <w:tcW w:w="537" w:type="pct"/>
                  <w:tcBorders>
                    <w:top w:val="single" w:color="auto" w:sz="4" w:space="0"/>
                    <w:left w:val="single" w:color="auto" w:sz="4" w:space="0"/>
                    <w:bottom w:val="single" w:color="auto" w:sz="4" w:space="0"/>
                    <w:right w:val="single" w:color="auto" w:sz="4" w:space="0"/>
                  </w:tcBorders>
                  <w:vAlign w:val="center"/>
                </w:tcPr>
                <w:p w14:paraId="3163FBB7">
                  <w:pPr>
                    <w:pStyle w:val="144"/>
                    <w:ind w:firstLine="0" w:firstLineChars="0"/>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40.768</w:t>
                  </w:r>
                </w:p>
              </w:tc>
              <w:tc>
                <w:tcPr>
                  <w:tcW w:w="759" w:type="pct"/>
                  <w:tcBorders>
                    <w:top w:val="single" w:color="auto" w:sz="4" w:space="0"/>
                    <w:left w:val="single" w:color="auto" w:sz="4" w:space="0"/>
                    <w:bottom w:val="single" w:color="auto" w:sz="4" w:space="0"/>
                  </w:tcBorders>
                  <w:vAlign w:val="center"/>
                </w:tcPr>
                <w:p w14:paraId="30AD7BF1">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0</w:t>
                  </w:r>
                </w:p>
              </w:tc>
            </w:tr>
            <w:tr w14:paraId="4D0D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tcBorders>
                    <w:top w:val="single" w:color="auto" w:sz="4" w:space="0"/>
                    <w:bottom w:val="single" w:color="auto" w:sz="4" w:space="0"/>
                    <w:right w:val="single" w:color="auto" w:sz="4" w:space="0"/>
                  </w:tcBorders>
                  <w:vAlign w:val="center"/>
                </w:tcPr>
                <w:p w14:paraId="7BE6575B">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5</w:t>
                  </w:r>
                </w:p>
              </w:tc>
              <w:tc>
                <w:tcPr>
                  <w:tcW w:w="1436" w:type="pct"/>
                  <w:gridSpan w:val="2"/>
                  <w:tcBorders>
                    <w:top w:val="single" w:color="auto" w:sz="4" w:space="0"/>
                    <w:left w:val="single" w:color="auto" w:sz="4" w:space="0"/>
                    <w:bottom w:val="single" w:color="auto" w:sz="4" w:space="0"/>
                    <w:right w:val="single" w:color="auto" w:sz="4" w:space="0"/>
                  </w:tcBorders>
                  <w:vAlign w:val="center"/>
                </w:tcPr>
                <w:p w14:paraId="4DAB8FD5">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免烧砖养护用水</w:t>
                  </w:r>
                </w:p>
              </w:tc>
              <w:tc>
                <w:tcPr>
                  <w:tcW w:w="559" w:type="pct"/>
                  <w:tcBorders>
                    <w:top w:val="single" w:color="auto" w:sz="4" w:space="0"/>
                    <w:left w:val="single" w:color="auto" w:sz="4" w:space="0"/>
                    <w:bottom w:val="single" w:color="auto" w:sz="4" w:space="0"/>
                    <w:right w:val="single" w:color="auto" w:sz="4" w:space="0"/>
                  </w:tcBorders>
                  <w:vAlign w:val="center"/>
                </w:tcPr>
                <w:p w14:paraId="1F9D2B41">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w:t>
                  </w:r>
                </w:p>
              </w:tc>
              <w:tc>
                <w:tcPr>
                  <w:tcW w:w="1412" w:type="pct"/>
                  <w:gridSpan w:val="2"/>
                  <w:tcBorders>
                    <w:top w:val="single" w:color="auto" w:sz="4" w:space="0"/>
                    <w:left w:val="single" w:color="auto" w:sz="4" w:space="0"/>
                    <w:bottom w:val="single" w:color="auto" w:sz="4" w:space="0"/>
                    <w:right w:val="single" w:color="auto" w:sz="4" w:space="0"/>
                  </w:tcBorders>
                  <w:vAlign w:val="center"/>
                </w:tcPr>
                <w:p w14:paraId="60BDA5AF">
                  <w:pPr>
                    <w:pStyle w:val="144"/>
                    <w:rPr>
                      <w:rFonts w:ascii="Times New Roman" w:hAnsi="Times New Roman" w:eastAsiaTheme="minorEastAsia"/>
                      <w:color w:val="000000" w:themeColor="text1"/>
                      <w:szCs w:val="21"/>
                      <w:lang w:val="zh-TW"/>
                      <w14:textFill>
                        <w14:solidFill>
                          <w14:schemeClr w14:val="tx1"/>
                        </w14:solidFill>
                      </w14:textFill>
                    </w:rPr>
                  </w:pPr>
                  <w:r>
                    <w:rPr>
                      <w:rFonts w:hint="eastAsia" w:ascii="Times New Roman" w:hAnsi="Times New Roman" w:eastAsiaTheme="minorEastAsia"/>
                      <w:color w:val="000000" w:themeColor="text1"/>
                      <w:szCs w:val="21"/>
                      <w:lang w:val="zh-TW"/>
                      <w14:textFill>
                        <w14:solidFill>
                          <w14:schemeClr w14:val="tx1"/>
                        </w14:solidFill>
                      </w14:textFill>
                    </w:rPr>
                    <w:t>废水收集后循环使用，不外排</w:t>
                  </w:r>
                </w:p>
              </w:tc>
              <w:tc>
                <w:tcPr>
                  <w:tcW w:w="537" w:type="pct"/>
                  <w:tcBorders>
                    <w:top w:val="single" w:color="auto" w:sz="4" w:space="0"/>
                    <w:left w:val="single" w:color="auto" w:sz="4" w:space="0"/>
                    <w:bottom w:val="single" w:color="auto" w:sz="4" w:space="0"/>
                    <w:right w:val="single" w:color="auto" w:sz="4" w:space="0"/>
                  </w:tcBorders>
                  <w:vAlign w:val="center"/>
                </w:tcPr>
                <w:p w14:paraId="740A79BD">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1.6</w:t>
                  </w:r>
                </w:p>
              </w:tc>
              <w:tc>
                <w:tcPr>
                  <w:tcW w:w="759" w:type="pct"/>
                  <w:tcBorders>
                    <w:top w:val="single" w:color="auto" w:sz="4" w:space="0"/>
                    <w:left w:val="single" w:color="auto" w:sz="4" w:space="0"/>
                    <w:bottom w:val="single" w:color="auto" w:sz="4" w:space="0"/>
                  </w:tcBorders>
                  <w:vAlign w:val="center"/>
                </w:tcPr>
                <w:p w14:paraId="4368F7B5">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0.4</w:t>
                  </w:r>
                </w:p>
              </w:tc>
            </w:tr>
            <w:tr w14:paraId="7084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tcBorders>
                    <w:top w:val="single" w:color="auto" w:sz="4" w:space="0"/>
                    <w:bottom w:val="single" w:color="auto" w:sz="4" w:space="0"/>
                    <w:right w:val="single" w:color="auto" w:sz="4" w:space="0"/>
                  </w:tcBorders>
                  <w:vAlign w:val="center"/>
                </w:tcPr>
                <w:p w14:paraId="2C97F9B7">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5</w:t>
                  </w:r>
                </w:p>
              </w:tc>
              <w:tc>
                <w:tcPr>
                  <w:tcW w:w="1436" w:type="pct"/>
                  <w:gridSpan w:val="2"/>
                  <w:tcBorders>
                    <w:top w:val="single" w:color="auto" w:sz="4" w:space="0"/>
                    <w:left w:val="single" w:color="auto" w:sz="4" w:space="0"/>
                    <w:bottom w:val="single" w:color="auto" w:sz="4" w:space="0"/>
                    <w:right w:val="single" w:color="auto" w:sz="4" w:space="0"/>
                  </w:tcBorders>
                  <w:vAlign w:val="center"/>
                </w:tcPr>
                <w:p w14:paraId="31F28CEA">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14:textFill>
                        <w14:solidFill>
                          <w14:schemeClr w14:val="tx1"/>
                        </w14:solidFill>
                      </w14:textFill>
                    </w:rPr>
                    <w:t>车辆冲洗</w:t>
                  </w:r>
                  <w:r>
                    <w:rPr>
                      <w:rFonts w:hint="eastAsia" w:ascii="Times New Roman" w:hAnsi="Times New Roman" w:eastAsiaTheme="minorEastAsia"/>
                      <w:color w:val="000000" w:themeColor="text1"/>
                      <w:szCs w:val="21"/>
                      <w:lang w:val="zh-TW" w:eastAsia="en-US"/>
                      <w14:textFill>
                        <w14:solidFill>
                          <w14:schemeClr w14:val="tx1"/>
                        </w14:solidFill>
                      </w14:textFill>
                    </w:rPr>
                    <w:t>用水</w:t>
                  </w:r>
                </w:p>
              </w:tc>
              <w:tc>
                <w:tcPr>
                  <w:tcW w:w="559" w:type="pct"/>
                  <w:tcBorders>
                    <w:top w:val="single" w:color="auto" w:sz="4" w:space="0"/>
                    <w:left w:val="single" w:color="auto" w:sz="4" w:space="0"/>
                    <w:bottom w:val="single" w:color="auto" w:sz="4" w:space="0"/>
                    <w:right w:val="single" w:color="auto" w:sz="4" w:space="0"/>
                  </w:tcBorders>
                  <w:vAlign w:val="center"/>
                </w:tcPr>
                <w:p w14:paraId="1FCD7A32">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10</w:t>
                  </w:r>
                </w:p>
              </w:tc>
              <w:tc>
                <w:tcPr>
                  <w:tcW w:w="1412" w:type="pct"/>
                  <w:gridSpan w:val="2"/>
                  <w:tcBorders>
                    <w:top w:val="single" w:color="auto" w:sz="4" w:space="0"/>
                    <w:left w:val="single" w:color="auto" w:sz="4" w:space="0"/>
                    <w:bottom w:val="single" w:color="auto" w:sz="4" w:space="0"/>
                    <w:right w:val="single" w:color="auto" w:sz="4" w:space="0"/>
                  </w:tcBorders>
                  <w:vAlign w:val="center"/>
                </w:tcPr>
                <w:p w14:paraId="4AB8BBB6">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经沉淀池后回用洗车</w:t>
                  </w:r>
                </w:p>
              </w:tc>
              <w:tc>
                <w:tcPr>
                  <w:tcW w:w="537" w:type="pct"/>
                  <w:tcBorders>
                    <w:top w:val="single" w:color="auto" w:sz="4" w:space="0"/>
                    <w:left w:val="single" w:color="auto" w:sz="4" w:space="0"/>
                    <w:bottom w:val="single" w:color="auto" w:sz="4" w:space="0"/>
                    <w:right w:val="single" w:color="auto" w:sz="4" w:space="0"/>
                  </w:tcBorders>
                  <w:vAlign w:val="center"/>
                </w:tcPr>
                <w:p w14:paraId="2ACC5EE9">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2</w:t>
                  </w:r>
                </w:p>
              </w:tc>
              <w:tc>
                <w:tcPr>
                  <w:tcW w:w="759" w:type="pct"/>
                  <w:tcBorders>
                    <w:top w:val="single" w:color="auto" w:sz="4" w:space="0"/>
                    <w:left w:val="single" w:color="auto" w:sz="4" w:space="0"/>
                    <w:bottom w:val="single" w:color="auto" w:sz="4" w:space="0"/>
                  </w:tcBorders>
                  <w:vAlign w:val="center"/>
                </w:tcPr>
                <w:p w14:paraId="07A395D6">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8</w:t>
                  </w:r>
                </w:p>
              </w:tc>
            </w:tr>
            <w:tr w14:paraId="42F5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tcBorders>
                    <w:top w:val="single" w:color="auto" w:sz="4" w:space="0"/>
                    <w:bottom w:val="single" w:color="auto" w:sz="4" w:space="0"/>
                    <w:right w:val="single" w:color="auto" w:sz="4" w:space="0"/>
                  </w:tcBorders>
                  <w:vAlign w:val="center"/>
                </w:tcPr>
                <w:p w14:paraId="0B0F2C76">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6</w:t>
                  </w:r>
                </w:p>
              </w:tc>
              <w:tc>
                <w:tcPr>
                  <w:tcW w:w="1436" w:type="pct"/>
                  <w:gridSpan w:val="2"/>
                  <w:tcBorders>
                    <w:top w:val="single" w:color="auto" w:sz="4" w:space="0"/>
                    <w:left w:val="single" w:color="auto" w:sz="4" w:space="0"/>
                    <w:bottom w:val="single" w:color="auto" w:sz="4" w:space="0"/>
                    <w:right w:val="single" w:color="auto" w:sz="4" w:space="0"/>
                  </w:tcBorders>
                  <w:vAlign w:val="center"/>
                </w:tcPr>
                <w:p w14:paraId="7A462323">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脱硫塔补充水</w:t>
                  </w:r>
                </w:p>
              </w:tc>
              <w:tc>
                <w:tcPr>
                  <w:tcW w:w="559" w:type="pct"/>
                  <w:tcBorders>
                    <w:top w:val="single" w:color="auto" w:sz="4" w:space="0"/>
                    <w:left w:val="single" w:color="auto" w:sz="4" w:space="0"/>
                    <w:bottom w:val="single" w:color="auto" w:sz="4" w:space="0"/>
                    <w:right w:val="single" w:color="auto" w:sz="4" w:space="0"/>
                  </w:tcBorders>
                  <w:vAlign w:val="center"/>
                </w:tcPr>
                <w:p w14:paraId="636153FD">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242.86</w:t>
                  </w:r>
                </w:p>
              </w:tc>
              <w:tc>
                <w:tcPr>
                  <w:tcW w:w="1412" w:type="pct"/>
                  <w:gridSpan w:val="2"/>
                  <w:tcBorders>
                    <w:top w:val="single" w:color="auto" w:sz="4" w:space="0"/>
                    <w:left w:val="single" w:color="auto" w:sz="4" w:space="0"/>
                    <w:bottom w:val="single" w:color="auto" w:sz="4" w:space="0"/>
                    <w:right w:val="single" w:color="auto" w:sz="4" w:space="0"/>
                  </w:tcBorders>
                  <w:vAlign w:val="center"/>
                </w:tcPr>
                <w:p w14:paraId="5A3DABE5">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损耗</w:t>
                  </w:r>
                </w:p>
              </w:tc>
              <w:tc>
                <w:tcPr>
                  <w:tcW w:w="537" w:type="pct"/>
                  <w:tcBorders>
                    <w:top w:val="single" w:color="auto" w:sz="4" w:space="0"/>
                    <w:left w:val="single" w:color="auto" w:sz="4" w:space="0"/>
                    <w:bottom w:val="single" w:color="auto" w:sz="4" w:space="0"/>
                    <w:right w:val="single" w:color="auto" w:sz="4" w:space="0"/>
                  </w:tcBorders>
                  <w:vAlign w:val="center"/>
                </w:tcPr>
                <w:p w14:paraId="18E0F33F">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242.86</w:t>
                  </w:r>
                </w:p>
              </w:tc>
              <w:tc>
                <w:tcPr>
                  <w:tcW w:w="759" w:type="pct"/>
                  <w:tcBorders>
                    <w:top w:val="single" w:color="auto" w:sz="4" w:space="0"/>
                    <w:left w:val="single" w:color="auto" w:sz="4" w:space="0"/>
                    <w:bottom w:val="single" w:color="auto" w:sz="4" w:space="0"/>
                  </w:tcBorders>
                  <w:vAlign w:val="center"/>
                </w:tcPr>
                <w:p w14:paraId="6D8395D3">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0</w:t>
                  </w:r>
                </w:p>
              </w:tc>
            </w:tr>
            <w:tr w14:paraId="46A1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tcBorders>
                    <w:top w:val="single" w:color="auto" w:sz="4" w:space="0"/>
                    <w:bottom w:val="single" w:color="auto" w:sz="4" w:space="0"/>
                    <w:right w:val="single" w:color="auto" w:sz="4" w:space="0"/>
                  </w:tcBorders>
                  <w:vAlign w:val="center"/>
                </w:tcPr>
                <w:p w14:paraId="756BE981">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7</w:t>
                  </w:r>
                </w:p>
              </w:tc>
              <w:tc>
                <w:tcPr>
                  <w:tcW w:w="1436" w:type="pct"/>
                  <w:gridSpan w:val="2"/>
                  <w:tcBorders>
                    <w:top w:val="single" w:color="auto" w:sz="4" w:space="0"/>
                    <w:left w:val="single" w:color="auto" w:sz="4" w:space="0"/>
                    <w:bottom w:val="single" w:color="auto" w:sz="4" w:space="0"/>
                    <w:right w:val="single" w:color="auto" w:sz="4" w:space="0"/>
                  </w:tcBorders>
                  <w:vAlign w:val="center"/>
                </w:tcPr>
                <w:p w14:paraId="0F700C81">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绿化用水</w:t>
                  </w:r>
                </w:p>
              </w:tc>
              <w:tc>
                <w:tcPr>
                  <w:tcW w:w="559" w:type="pct"/>
                  <w:tcBorders>
                    <w:top w:val="single" w:color="auto" w:sz="4" w:space="0"/>
                    <w:left w:val="single" w:color="auto" w:sz="4" w:space="0"/>
                    <w:bottom w:val="single" w:color="auto" w:sz="4" w:space="0"/>
                    <w:right w:val="single" w:color="auto" w:sz="4" w:space="0"/>
                  </w:tcBorders>
                  <w:vAlign w:val="center"/>
                </w:tcPr>
                <w:p w14:paraId="74514B5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14.4</w:t>
                  </w:r>
                </w:p>
              </w:tc>
              <w:tc>
                <w:tcPr>
                  <w:tcW w:w="1412" w:type="pct"/>
                  <w:gridSpan w:val="2"/>
                  <w:tcBorders>
                    <w:top w:val="single" w:color="auto" w:sz="4" w:space="0"/>
                    <w:left w:val="single" w:color="auto" w:sz="4" w:space="0"/>
                    <w:bottom w:val="single" w:color="auto" w:sz="4" w:space="0"/>
                    <w:right w:val="single" w:color="auto" w:sz="4" w:space="0"/>
                  </w:tcBorders>
                  <w:vAlign w:val="center"/>
                </w:tcPr>
                <w:p w14:paraId="73AC75A1">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蒸发损失</w:t>
                  </w:r>
                </w:p>
              </w:tc>
              <w:tc>
                <w:tcPr>
                  <w:tcW w:w="537" w:type="pct"/>
                  <w:tcBorders>
                    <w:top w:val="single" w:color="auto" w:sz="4" w:space="0"/>
                    <w:left w:val="single" w:color="auto" w:sz="4" w:space="0"/>
                    <w:bottom w:val="single" w:color="auto" w:sz="4" w:space="0"/>
                    <w:right w:val="single" w:color="auto" w:sz="4" w:space="0"/>
                  </w:tcBorders>
                  <w:vAlign w:val="center"/>
                </w:tcPr>
                <w:p w14:paraId="7E6F028F">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14.4</w:t>
                  </w:r>
                </w:p>
              </w:tc>
              <w:tc>
                <w:tcPr>
                  <w:tcW w:w="759" w:type="pct"/>
                  <w:tcBorders>
                    <w:top w:val="single" w:color="auto" w:sz="4" w:space="0"/>
                    <w:left w:val="single" w:color="auto" w:sz="4" w:space="0"/>
                    <w:bottom w:val="single" w:color="auto" w:sz="4" w:space="0"/>
                  </w:tcBorders>
                  <w:vAlign w:val="center"/>
                </w:tcPr>
                <w:p w14:paraId="6ED8925E">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0</w:t>
                  </w:r>
                </w:p>
              </w:tc>
            </w:tr>
            <w:tr w14:paraId="67FB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tcBorders>
                    <w:top w:val="single" w:color="auto" w:sz="4" w:space="0"/>
                    <w:bottom w:val="single" w:color="auto" w:sz="4" w:space="0"/>
                    <w:right w:val="single" w:color="auto" w:sz="4" w:space="0"/>
                  </w:tcBorders>
                  <w:vAlign w:val="center"/>
                </w:tcPr>
                <w:p w14:paraId="2DCCB28D">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8</w:t>
                  </w:r>
                </w:p>
              </w:tc>
              <w:tc>
                <w:tcPr>
                  <w:tcW w:w="1436" w:type="pct"/>
                  <w:gridSpan w:val="2"/>
                  <w:tcBorders>
                    <w:top w:val="single" w:color="auto" w:sz="4" w:space="0"/>
                    <w:left w:val="single" w:color="auto" w:sz="4" w:space="0"/>
                    <w:bottom w:val="single" w:color="auto" w:sz="4" w:space="0"/>
                    <w:right w:val="single" w:color="auto" w:sz="4" w:space="0"/>
                  </w:tcBorders>
                  <w:vAlign w:val="center"/>
                </w:tcPr>
                <w:p w14:paraId="74C8BDEE">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道路洒水抑尘用水</w:t>
                  </w:r>
                </w:p>
              </w:tc>
              <w:tc>
                <w:tcPr>
                  <w:tcW w:w="559" w:type="pct"/>
                  <w:tcBorders>
                    <w:top w:val="single" w:color="auto" w:sz="4" w:space="0"/>
                    <w:left w:val="single" w:color="auto" w:sz="4" w:space="0"/>
                    <w:bottom w:val="single" w:color="auto" w:sz="4" w:space="0"/>
                    <w:right w:val="single" w:color="auto" w:sz="4" w:space="0"/>
                  </w:tcBorders>
                  <w:vAlign w:val="center"/>
                </w:tcPr>
                <w:p w14:paraId="7EBBF993">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16</w:t>
                  </w:r>
                </w:p>
              </w:tc>
              <w:tc>
                <w:tcPr>
                  <w:tcW w:w="1412" w:type="pct"/>
                  <w:gridSpan w:val="2"/>
                  <w:tcBorders>
                    <w:top w:val="single" w:color="auto" w:sz="4" w:space="0"/>
                    <w:left w:val="single" w:color="auto" w:sz="4" w:space="0"/>
                    <w:bottom w:val="single" w:color="auto" w:sz="4" w:space="0"/>
                    <w:right w:val="single" w:color="auto" w:sz="4" w:space="0"/>
                  </w:tcBorders>
                  <w:vAlign w:val="center"/>
                </w:tcPr>
                <w:p w14:paraId="7EF7D0E0">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蒸发损失</w:t>
                  </w:r>
                </w:p>
              </w:tc>
              <w:tc>
                <w:tcPr>
                  <w:tcW w:w="537" w:type="pct"/>
                  <w:tcBorders>
                    <w:top w:val="single" w:color="auto" w:sz="4" w:space="0"/>
                    <w:left w:val="single" w:color="auto" w:sz="4" w:space="0"/>
                    <w:bottom w:val="single" w:color="auto" w:sz="4" w:space="0"/>
                    <w:right w:val="single" w:color="auto" w:sz="4" w:space="0"/>
                  </w:tcBorders>
                  <w:vAlign w:val="center"/>
                </w:tcPr>
                <w:p w14:paraId="656E6D53">
                  <w:pPr>
                    <w:pStyle w:val="144"/>
                    <w:rPr>
                      <w:rFonts w:ascii="Times New Roman" w:hAnsi="Times New Roman" w:eastAsiaTheme="minorEastAsia"/>
                      <w:color w:val="000000" w:themeColor="text1"/>
                      <w:szCs w:val="21"/>
                      <w:lang w:eastAsia="en-US"/>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16</w:t>
                  </w:r>
                </w:p>
              </w:tc>
              <w:tc>
                <w:tcPr>
                  <w:tcW w:w="759" w:type="pct"/>
                  <w:tcBorders>
                    <w:top w:val="single" w:color="auto" w:sz="4" w:space="0"/>
                    <w:left w:val="single" w:color="auto" w:sz="4" w:space="0"/>
                    <w:bottom w:val="single" w:color="auto" w:sz="4" w:space="0"/>
                  </w:tcBorders>
                  <w:vAlign w:val="center"/>
                </w:tcPr>
                <w:p w14:paraId="06F8C46A">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0</w:t>
                  </w:r>
                </w:p>
              </w:tc>
            </w:tr>
            <w:tr w14:paraId="6D94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Merge w:val="restart"/>
                  <w:tcBorders>
                    <w:top w:val="single" w:color="auto" w:sz="4" w:space="0"/>
                    <w:bottom w:val="single" w:color="auto" w:sz="4" w:space="0"/>
                    <w:right w:val="single" w:color="auto" w:sz="4" w:space="0"/>
                  </w:tcBorders>
                  <w:vAlign w:val="center"/>
                </w:tcPr>
                <w:p w14:paraId="7764D71F">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9</w:t>
                  </w:r>
                </w:p>
              </w:tc>
              <w:tc>
                <w:tcPr>
                  <w:tcW w:w="377" w:type="pct"/>
                  <w:vMerge w:val="restart"/>
                  <w:tcBorders>
                    <w:top w:val="single" w:color="auto" w:sz="4" w:space="0"/>
                    <w:left w:val="single" w:color="auto" w:sz="4" w:space="0"/>
                    <w:bottom w:val="single" w:color="auto" w:sz="4" w:space="0"/>
                    <w:right w:val="single" w:color="auto" w:sz="4" w:space="0"/>
                  </w:tcBorders>
                  <w:vAlign w:val="center"/>
                </w:tcPr>
                <w:p w14:paraId="1C65B353">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洗选工段用水‬</w:t>
                  </w:r>
                </w:p>
              </w:tc>
              <w:tc>
                <w:tcPr>
                  <w:tcW w:w="1059" w:type="pct"/>
                  <w:tcBorders>
                    <w:top w:val="single" w:color="auto" w:sz="4" w:space="0"/>
                    <w:left w:val="single" w:color="auto" w:sz="4" w:space="0"/>
                    <w:bottom w:val="single" w:color="auto" w:sz="4" w:space="0"/>
                    <w:right w:val="single" w:color="auto" w:sz="4" w:space="0"/>
                  </w:tcBorders>
                  <w:vAlign w:val="center"/>
                </w:tcPr>
                <w:p w14:paraId="451791BE">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煤矸石带入水量</w:t>
                  </w:r>
                </w:p>
              </w:tc>
              <w:tc>
                <w:tcPr>
                  <w:tcW w:w="559" w:type="pct"/>
                  <w:tcBorders>
                    <w:top w:val="single" w:color="auto" w:sz="4" w:space="0"/>
                    <w:left w:val="single" w:color="auto" w:sz="4" w:space="0"/>
                    <w:bottom w:val="single" w:color="auto" w:sz="4" w:space="0"/>
                    <w:right w:val="single" w:color="auto" w:sz="4" w:space="0"/>
                  </w:tcBorders>
                  <w:vAlign w:val="center"/>
                </w:tcPr>
                <w:p w14:paraId="34A477A1">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577</w:t>
                  </w:r>
                </w:p>
              </w:tc>
              <w:tc>
                <w:tcPr>
                  <w:tcW w:w="515" w:type="pct"/>
                  <w:vMerge w:val="restart"/>
                  <w:tcBorders>
                    <w:top w:val="single" w:color="auto" w:sz="4" w:space="0"/>
                    <w:left w:val="single" w:color="auto" w:sz="4" w:space="0"/>
                    <w:bottom w:val="single" w:color="auto" w:sz="4" w:space="0"/>
                    <w:right w:val="single" w:color="auto" w:sz="4" w:space="0"/>
                  </w:tcBorders>
                  <w:vAlign w:val="center"/>
                </w:tcPr>
                <w:p w14:paraId="7A5027AB">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产品带走</w:t>
                  </w:r>
                </w:p>
              </w:tc>
              <w:tc>
                <w:tcPr>
                  <w:tcW w:w="896" w:type="pct"/>
                  <w:tcBorders>
                    <w:top w:val="single" w:color="auto" w:sz="4" w:space="0"/>
                    <w:left w:val="single" w:color="auto" w:sz="4" w:space="0"/>
                    <w:bottom w:val="single" w:color="auto" w:sz="4" w:space="0"/>
                    <w:right w:val="single" w:color="auto" w:sz="4" w:space="0"/>
                  </w:tcBorders>
                  <w:vAlign w:val="center"/>
                </w:tcPr>
                <w:p w14:paraId="49195638">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劣质煤带走</w:t>
                  </w:r>
                </w:p>
              </w:tc>
              <w:tc>
                <w:tcPr>
                  <w:tcW w:w="537" w:type="pct"/>
                  <w:tcBorders>
                    <w:top w:val="single" w:color="auto" w:sz="4" w:space="0"/>
                    <w:left w:val="single" w:color="auto" w:sz="4" w:space="0"/>
                    <w:bottom w:val="single" w:color="auto" w:sz="4" w:space="0"/>
                    <w:right w:val="single" w:color="auto" w:sz="4" w:space="0"/>
                  </w:tcBorders>
                  <w:vAlign w:val="center"/>
                </w:tcPr>
                <w:p w14:paraId="6D471C98">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w:t>
                  </w:r>
                </w:p>
              </w:tc>
              <w:tc>
                <w:tcPr>
                  <w:tcW w:w="759" w:type="pct"/>
                  <w:tcBorders>
                    <w:top w:val="single" w:color="auto" w:sz="4" w:space="0"/>
                    <w:left w:val="single" w:color="auto" w:sz="4" w:space="0"/>
                    <w:bottom w:val="single" w:color="auto" w:sz="4" w:space="0"/>
                  </w:tcBorders>
                  <w:vAlign w:val="center"/>
                </w:tcPr>
                <w:p w14:paraId="440637E8">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74</w:t>
                  </w:r>
                </w:p>
              </w:tc>
            </w:tr>
            <w:tr w14:paraId="326D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Merge w:val="continue"/>
                  <w:tcBorders>
                    <w:top w:val="single" w:color="auto" w:sz="4" w:space="0"/>
                    <w:bottom w:val="single" w:color="auto" w:sz="4" w:space="0"/>
                    <w:right w:val="single" w:color="auto" w:sz="4" w:space="0"/>
                  </w:tcBorders>
                  <w:vAlign w:val="center"/>
                </w:tcPr>
                <w:p w14:paraId="61E32AD8">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377" w:type="pct"/>
                  <w:vMerge w:val="continue"/>
                  <w:tcBorders>
                    <w:top w:val="single" w:color="auto" w:sz="4" w:space="0"/>
                    <w:left w:val="single" w:color="auto" w:sz="4" w:space="0"/>
                    <w:bottom w:val="single" w:color="auto" w:sz="4" w:space="0"/>
                    <w:right w:val="single" w:color="auto" w:sz="4" w:space="0"/>
                  </w:tcBorders>
                  <w:vAlign w:val="center"/>
                </w:tcPr>
                <w:p w14:paraId="4DB14AB4">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1059" w:type="pct"/>
                  <w:vMerge w:val="restart"/>
                  <w:tcBorders>
                    <w:top w:val="single" w:color="auto" w:sz="4" w:space="0"/>
                    <w:left w:val="single" w:color="auto" w:sz="4" w:space="0"/>
                    <w:bottom w:val="single" w:color="auto" w:sz="4" w:space="0"/>
                    <w:right w:val="single" w:color="auto" w:sz="4" w:space="0"/>
                  </w:tcBorders>
                  <w:vAlign w:val="center"/>
                </w:tcPr>
                <w:p w14:paraId="564CD1B1">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补充新鲜水量</w:t>
                  </w:r>
                </w:p>
              </w:tc>
              <w:tc>
                <w:tcPr>
                  <w:tcW w:w="559" w:type="pct"/>
                  <w:vMerge w:val="restart"/>
                  <w:tcBorders>
                    <w:top w:val="single" w:color="auto" w:sz="4" w:space="0"/>
                    <w:left w:val="single" w:color="auto" w:sz="4" w:space="0"/>
                    <w:bottom w:val="single" w:color="auto" w:sz="4" w:space="0"/>
                    <w:right w:val="single" w:color="auto" w:sz="4" w:space="0"/>
                  </w:tcBorders>
                  <w:vAlign w:val="center"/>
                </w:tcPr>
                <w:p w14:paraId="7F644EA6">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1060</w:t>
                  </w:r>
                </w:p>
              </w:tc>
              <w:tc>
                <w:tcPr>
                  <w:tcW w:w="515" w:type="pct"/>
                  <w:vMerge w:val="continue"/>
                  <w:tcBorders>
                    <w:top w:val="single" w:color="auto" w:sz="4" w:space="0"/>
                    <w:left w:val="single" w:color="auto" w:sz="4" w:space="0"/>
                    <w:bottom w:val="single" w:color="auto" w:sz="4" w:space="0"/>
                    <w:right w:val="single" w:color="auto" w:sz="4" w:space="0"/>
                  </w:tcBorders>
                  <w:vAlign w:val="center"/>
                </w:tcPr>
                <w:p w14:paraId="76123EBC">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896" w:type="pct"/>
                  <w:tcBorders>
                    <w:top w:val="single" w:color="auto" w:sz="4" w:space="0"/>
                    <w:left w:val="single" w:color="auto" w:sz="4" w:space="0"/>
                    <w:bottom w:val="single" w:color="auto" w:sz="4" w:space="0"/>
                    <w:right w:val="single" w:color="auto" w:sz="4" w:space="0"/>
                  </w:tcBorders>
                  <w:vAlign w:val="center"/>
                </w:tcPr>
                <w:p w14:paraId="3E8FE420">
                  <w:pPr>
                    <w:pStyle w:val="144"/>
                    <w:rPr>
                      <w:rFonts w:ascii="Times New Roman" w:hAnsi="Times New Roman" w:eastAsiaTheme="minorEastAsia"/>
                      <w:color w:val="000000" w:themeColor="text1"/>
                      <w:szCs w:val="21"/>
                      <w:lang w:val="zh-TW"/>
                      <w14:textFill>
                        <w14:solidFill>
                          <w14:schemeClr w14:val="tx1"/>
                        </w14:solidFill>
                      </w14:textFill>
                    </w:rPr>
                  </w:pPr>
                  <w:r>
                    <w:rPr>
                      <w:rFonts w:hint="eastAsia" w:ascii="Times New Roman" w:hAnsi="Times New Roman" w:eastAsiaTheme="minorEastAsia"/>
                      <w:color w:val="000000" w:themeColor="text1"/>
                      <w:szCs w:val="21"/>
                      <w:lang w:val="zh-TW"/>
                      <w14:textFill>
                        <w14:solidFill>
                          <w14:schemeClr w14:val="tx1"/>
                        </w14:solidFill>
                      </w14:textFill>
                    </w:rPr>
                    <w:t>矸石带走</w:t>
                  </w:r>
                </w:p>
              </w:tc>
              <w:tc>
                <w:tcPr>
                  <w:tcW w:w="537" w:type="pct"/>
                  <w:tcBorders>
                    <w:top w:val="single" w:color="auto" w:sz="4" w:space="0"/>
                    <w:left w:val="single" w:color="auto" w:sz="4" w:space="0"/>
                    <w:bottom w:val="single" w:color="auto" w:sz="4" w:space="0"/>
                    <w:right w:val="single" w:color="auto" w:sz="4" w:space="0"/>
                  </w:tcBorders>
                  <w:vAlign w:val="center"/>
                </w:tcPr>
                <w:p w14:paraId="5CBE3A16">
                  <w:pPr>
                    <w:pStyle w:val="144"/>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w:t>
                  </w:r>
                </w:p>
              </w:tc>
              <w:tc>
                <w:tcPr>
                  <w:tcW w:w="759" w:type="pct"/>
                  <w:tcBorders>
                    <w:top w:val="single" w:color="auto" w:sz="4" w:space="0"/>
                    <w:left w:val="single" w:color="auto" w:sz="4" w:space="0"/>
                    <w:bottom w:val="single" w:color="auto" w:sz="4" w:space="0"/>
                  </w:tcBorders>
                  <w:vAlign w:val="center"/>
                </w:tcPr>
                <w:p w14:paraId="477CDBD8">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474</w:t>
                  </w:r>
                </w:p>
              </w:tc>
            </w:tr>
            <w:tr w14:paraId="5B1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Merge w:val="continue"/>
                  <w:tcBorders>
                    <w:top w:val="single" w:color="auto" w:sz="4" w:space="0"/>
                    <w:bottom w:val="single" w:color="auto" w:sz="4" w:space="0"/>
                    <w:right w:val="single" w:color="auto" w:sz="4" w:space="0"/>
                  </w:tcBorders>
                  <w:vAlign w:val="center"/>
                </w:tcPr>
                <w:p w14:paraId="0BCA07BD">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377" w:type="pct"/>
                  <w:vMerge w:val="continue"/>
                  <w:tcBorders>
                    <w:top w:val="single" w:color="auto" w:sz="4" w:space="0"/>
                    <w:left w:val="single" w:color="auto" w:sz="4" w:space="0"/>
                    <w:bottom w:val="single" w:color="auto" w:sz="4" w:space="0"/>
                    <w:right w:val="single" w:color="auto" w:sz="4" w:space="0"/>
                  </w:tcBorders>
                  <w:vAlign w:val="center"/>
                </w:tcPr>
                <w:p w14:paraId="521F29DC">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1059" w:type="pct"/>
                  <w:vMerge w:val="continue"/>
                  <w:tcBorders>
                    <w:top w:val="single" w:color="auto" w:sz="4" w:space="0"/>
                    <w:left w:val="single" w:color="auto" w:sz="4" w:space="0"/>
                    <w:bottom w:val="single" w:color="auto" w:sz="4" w:space="0"/>
                    <w:right w:val="single" w:color="auto" w:sz="4" w:space="0"/>
                  </w:tcBorders>
                  <w:vAlign w:val="center"/>
                </w:tcPr>
                <w:p w14:paraId="5FFDD46B">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14:paraId="74973C87">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515" w:type="pct"/>
                  <w:vMerge w:val="continue"/>
                  <w:tcBorders>
                    <w:top w:val="single" w:color="auto" w:sz="4" w:space="0"/>
                    <w:left w:val="single" w:color="auto" w:sz="4" w:space="0"/>
                    <w:bottom w:val="single" w:color="auto" w:sz="4" w:space="0"/>
                    <w:right w:val="single" w:color="auto" w:sz="4" w:space="0"/>
                  </w:tcBorders>
                  <w:vAlign w:val="center"/>
                </w:tcPr>
                <w:p w14:paraId="30C41B71">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896" w:type="pct"/>
                  <w:tcBorders>
                    <w:top w:val="single" w:color="auto" w:sz="4" w:space="0"/>
                    <w:left w:val="single" w:color="auto" w:sz="4" w:space="0"/>
                    <w:bottom w:val="single" w:color="auto" w:sz="4" w:space="0"/>
                    <w:right w:val="single" w:color="auto" w:sz="4" w:space="0"/>
                  </w:tcBorders>
                  <w:vAlign w:val="center"/>
                </w:tcPr>
                <w:p w14:paraId="7F2DA48F">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14:textFill>
                        <w14:solidFill>
                          <w14:schemeClr w14:val="tx1"/>
                        </w14:solidFill>
                      </w14:textFill>
                    </w:rPr>
                    <w:t>煤泥</w:t>
                  </w:r>
                  <w:r>
                    <w:rPr>
                      <w:rFonts w:hint="eastAsia" w:ascii="Times New Roman" w:hAnsi="Times New Roman" w:eastAsiaTheme="minorEastAsia"/>
                      <w:color w:val="000000" w:themeColor="text1"/>
                      <w:szCs w:val="21"/>
                      <w:lang w:val="zh-TW" w:eastAsia="en-US"/>
                      <w14:textFill>
                        <w14:solidFill>
                          <w14:schemeClr w14:val="tx1"/>
                        </w14:solidFill>
                      </w14:textFill>
                    </w:rPr>
                    <w:t>带走</w:t>
                  </w:r>
                </w:p>
              </w:tc>
              <w:tc>
                <w:tcPr>
                  <w:tcW w:w="537" w:type="pct"/>
                  <w:tcBorders>
                    <w:top w:val="single" w:color="auto" w:sz="4" w:space="0"/>
                    <w:left w:val="single" w:color="auto" w:sz="4" w:space="0"/>
                    <w:bottom w:val="single" w:color="auto" w:sz="4" w:space="0"/>
                    <w:right w:val="single" w:color="auto" w:sz="4" w:space="0"/>
                  </w:tcBorders>
                  <w:vAlign w:val="center"/>
                </w:tcPr>
                <w:p w14:paraId="32E88491">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w:t>
                  </w:r>
                </w:p>
              </w:tc>
              <w:tc>
                <w:tcPr>
                  <w:tcW w:w="759" w:type="pct"/>
                  <w:tcBorders>
                    <w:top w:val="single" w:color="auto" w:sz="4" w:space="0"/>
                    <w:left w:val="single" w:color="auto" w:sz="4" w:space="0"/>
                    <w:bottom w:val="single" w:color="auto" w:sz="4" w:space="0"/>
                  </w:tcBorders>
                  <w:vAlign w:val="center"/>
                </w:tcPr>
                <w:p w14:paraId="4F52D255">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1031</w:t>
                  </w:r>
                </w:p>
              </w:tc>
            </w:tr>
            <w:tr w14:paraId="6B80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 w:type="pct"/>
                  <w:vMerge w:val="continue"/>
                  <w:tcBorders>
                    <w:top w:val="single" w:color="auto" w:sz="4" w:space="0"/>
                    <w:bottom w:val="single" w:color="auto" w:sz="4" w:space="0"/>
                    <w:right w:val="single" w:color="auto" w:sz="4" w:space="0"/>
                  </w:tcBorders>
                  <w:vAlign w:val="center"/>
                </w:tcPr>
                <w:p w14:paraId="380FC67D">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377" w:type="pct"/>
                  <w:vMerge w:val="continue"/>
                  <w:tcBorders>
                    <w:top w:val="single" w:color="auto" w:sz="4" w:space="0"/>
                    <w:left w:val="single" w:color="auto" w:sz="4" w:space="0"/>
                    <w:bottom w:val="single" w:color="auto" w:sz="4" w:space="0"/>
                    <w:right w:val="single" w:color="auto" w:sz="4" w:space="0"/>
                  </w:tcBorders>
                  <w:vAlign w:val="center"/>
                </w:tcPr>
                <w:p w14:paraId="7F09BC08">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1059" w:type="pct"/>
                  <w:vMerge w:val="continue"/>
                  <w:tcBorders>
                    <w:top w:val="single" w:color="auto" w:sz="4" w:space="0"/>
                    <w:left w:val="single" w:color="auto" w:sz="4" w:space="0"/>
                    <w:bottom w:val="single" w:color="auto" w:sz="4" w:space="0"/>
                    <w:right w:val="single" w:color="auto" w:sz="4" w:space="0"/>
                  </w:tcBorders>
                  <w:vAlign w:val="center"/>
                </w:tcPr>
                <w:p w14:paraId="5298674A">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14:paraId="49C1E914">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515" w:type="pct"/>
                  <w:vMerge w:val="continue"/>
                  <w:tcBorders>
                    <w:top w:val="single" w:color="auto" w:sz="4" w:space="0"/>
                    <w:left w:val="single" w:color="auto" w:sz="4" w:space="0"/>
                    <w:bottom w:val="single" w:color="auto" w:sz="4" w:space="0"/>
                    <w:right w:val="single" w:color="auto" w:sz="4" w:space="0"/>
                  </w:tcBorders>
                  <w:vAlign w:val="center"/>
                </w:tcPr>
                <w:p w14:paraId="4CA0C5B8">
                  <w:pPr>
                    <w:pStyle w:val="144"/>
                    <w:rPr>
                      <w:rFonts w:ascii="Times New Roman" w:hAnsi="Times New Roman" w:eastAsiaTheme="minorEastAsia"/>
                      <w:color w:val="000000" w:themeColor="text1"/>
                      <w:szCs w:val="21"/>
                      <w:lang w:val="zh-TW" w:eastAsia="en-US"/>
                      <w14:textFill>
                        <w14:solidFill>
                          <w14:schemeClr w14:val="tx1"/>
                        </w14:solidFill>
                      </w14:textFill>
                    </w:rPr>
                  </w:pPr>
                </w:p>
              </w:tc>
              <w:tc>
                <w:tcPr>
                  <w:tcW w:w="896" w:type="pct"/>
                  <w:tcBorders>
                    <w:top w:val="single" w:color="auto" w:sz="4" w:space="0"/>
                    <w:left w:val="single" w:color="auto" w:sz="4" w:space="0"/>
                    <w:bottom w:val="single" w:color="auto" w:sz="4" w:space="0"/>
                    <w:right w:val="single" w:color="auto" w:sz="4" w:space="0"/>
                  </w:tcBorders>
                  <w:vAlign w:val="center"/>
                </w:tcPr>
                <w:p w14:paraId="0777F977">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损耗</w:t>
                  </w:r>
                </w:p>
              </w:tc>
              <w:tc>
                <w:tcPr>
                  <w:tcW w:w="537" w:type="pct"/>
                  <w:tcBorders>
                    <w:top w:val="single" w:color="auto" w:sz="4" w:space="0"/>
                    <w:left w:val="single" w:color="auto" w:sz="4" w:space="0"/>
                    <w:bottom w:val="single" w:color="auto" w:sz="4" w:space="0"/>
                    <w:right w:val="single" w:color="auto" w:sz="4" w:space="0"/>
                  </w:tcBorders>
                  <w:vAlign w:val="center"/>
                </w:tcPr>
                <w:p w14:paraId="07EA4937">
                  <w:pPr>
                    <w:pStyle w:val="144"/>
                    <w:rPr>
                      <w:rFonts w:hint="default" w:ascii="Times New Roman" w:hAnsi="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58</w:t>
                  </w:r>
                </w:p>
              </w:tc>
              <w:tc>
                <w:tcPr>
                  <w:tcW w:w="759" w:type="pct"/>
                  <w:tcBorders>
                    <w:top w:val="single" w:color="auto" w:sz="4" w:space="0"/>
                    <w:left w:val="single" w:color="auto" w:sz="4" w:space="0"/>
                    <w:bottom w:val="single" w:color="auto" w:sz="4" w:space="0"/>
                  </w:tcBorders>
                  <w:vAlign w:val="center"/>
                </w:tcPr>
                <w:p w14:paraId="21AC9D68">
                  <w:pPr>
                    <w:pStyle w:val="144"/>
                    <w:rPr>
                      <w:rFonts w:ascii="Times New Roman" w:hAnsi="Times New Roman" w:eastAsiaTheme="minorEastAsia"/>
                      <w:color w:val="000000" w:themeColor="text1"/>
                      <w:szCs w:val="21"/>
                      <w:lang w:val="zh-TW" w:eastAsia="en-US"/>
                      <w14:textFill>
                        <w14:solidFill>
                          <w14:schemeClr w14:val="tx1"/>
                        </w14:solidFill>
                      </w14:textFill>
                    </w:rPr>
                  </w:pPr>
                  <w:r>
                    <w:rPr>
                      <w:rFonts w:hint="eastAsia" w:ascii="Times New Roman" w:hAnsi="Times New Roman" w:eastAsiaTheme="minorEastAsia"/>
                      <w:color w:val="000000" w:themeColor="text1"/>
                      <w:szCs w:val="21"/>
                      <w:lang w:val="zh-TW" w:eastAsia="en-US"/>
                      <w14:textFill>
                        <w14:solidFill>
                          <w14:schemeClr w14:val="tx1"/>
                        </w14:solidFill>
                      </w14:textFill>
                    </w:rPr>
                    <w:t>－</w:t>
                  </w:r>
                </w:p>
              </w:tc>
            </w:tr>
          </w:tbl>
          <w:p w14:paraId="2AAAA9EB">
            <w:pPr>
              <w:ind w:firstLine="476"/>
              <w:rPr>
                <w:color w:val="000000" w:themeColor="text1"/>
                <w:spacing w:val="-1"/>
                <w:szCs w:val="24"/>
                <w14:textFill>
                  <w14:solidFill>
                    <w14:schemeClr w14:val="tx1"/>
                  </w14:solidFill>
                </w14:textFill>
              </w:rPr>
            </w:pPr>
          </w:p>
          <w:p w14:paraId="576C8FE6">
            <w:pPr>
              <w:ind w:firstLine="476"/>
              <w:rPr>
                <w:color w:val="000000" w:themeColor="text1"/>
                <w:spacing w:val="-1"/>
                <w:szCs w:val="24"/>
                <w14:textFill>
                  <w14:solidFill>
                    <w14:schemeClr w14:val="tx1"/>
                  </w14:solidFill>
                </w14:textFill>
              </w:rPr>
            </w:pPr>
          </w:p>
          <w:p w14:paraId="0CEF1FF8">
            <w:pPr>
              <w:ind w:firstLine="476"/>
              <w:rPr>
                <w:color w:val="000000" w:themeColor="text1"/>
                <w:spacing w:val="-1"/>
                <w:szCs w:val="24"/>
                <w14:textFill>
                  <w14:solidFill>
                    <w14:schemeClr w14:val="tx1"/>
                  </w14:solidFill>
                </w14:textFill>
              </w:rPr>
            </w:pPr>
          </w:p>
          <w:p w14:paraId="0247FF18">
            <w:pPr>
              <w:ind w:firstLine="476"/>
              <w:rPr>
                <w:color w:val="000000" w:themeColor="text1"/>
                <w:spacing w:val="-1"/>
                <w:szCs w:val="24"/>
                <w14:textFill>
                  <w14:solidFill>
                    <w14:schemeClr w14:val="tx1"/>
                  </w14:solidFill>
                </w14:textFill>
              </w:rPr>
            </w:pPr>
          </w:p>
          <w:p w14:paraId="13BFABEB">
            <w:pPr>
              <w:ind w:firstLine="476"/>
              <w:rPr>
                <w:color w:val="000000" w:themeColor="text1"/>
                <w:spacing w:val="-1"/>
                <w:szCs w:val="24"/>
                <w14:textFill>
                  <w14:solidFill>
                    <w14:schemeClr w14:val="tx1"/>
                  </w14:solidFill>
                </w14:textFill>
              </w:rPr>
            </w:pPr>
          </w:p>
          <w:p w14:paraId="23ADB506">
            <w:pPr>
              <w:ind w:firstLine="476"/>
              <w:rPr>
                <w:color w:val="000000" w:themeColor="text1"/>
                <w:spacing w:val="-1"/>
                <w:szCs w:val="24"/>
                <w14:textFill>
                  <w14:solidFill>
                    <w14:schemeClr w14:val="tx1"/>
                  </w14:solidFill>
                </w14:textFill>
              </w:rPr>
            </w:pPr>
          </w:p>
          <w:p w14:paraId="096016D0">
            <w:pPr>
              <w:ind w:firstLine="476"/>
              <w:rPr>
                <w:color w:val="000000" w:themeColor="text1"/>
                <w:spacing w:val="-1"/>
                <w:szCs w:val="24"/>
                <w14:textFill>
                  <w14:solidFill>
                    <w14:schemeClr w14:val="tx1"/>
                  </w14:solidFill>
                </w14:textFill>
              </w:rPr>
            </w:pPr>
          </w:p>
          <w:p w14:paraId="68FCB9A3">
            <w:pPr>
              <w:ind w:firstLine="476"/>
              <w:rPr>
                <w:color w:val="000000" w:themeColor="text1"/>
                <w:spacing w:val="-1"/>
                <w:szCs w:val="24"/>
                <w14:textFill>
                  <w14:solidFill>
                    <w14:schemeClr w14:val="tx1"/>
                  </w14:solidFill>
                </w14:textFill>
              </w:rPr>
            </w:pPr>
          </w:p>
          <w:p w14:paraId="23B69AA1">
            <w:pPr>
              <w:ind w:firstLine="476"/>
              <w:rPr>
                <w:color w:val="000000" w:themeColor="text1"/>
                <w:spacing w:val="-1"/>
                <w:szCs w:val="24"/>
                <w14:textFill>
                  <w14:solidFill>
                    <w14:schemeClr w14:val="tx1"/>
                  </w14:solidFill>
                </w14:textFill>
              </w:rPr>
            </w:pPr>
          </w:p>
          <w:p w14:paraId="28BAB4C9">
            <w:pPr>
              <w:ind w:firstLine="476"/>
              <w:rPr>
                <w:color w:val="000000" w:themeColor="text1"/>
                <w:spacing w:val="-1"/>
                <w:szCs w:val="24"/>
                <w14:textFill>
                  <w14:solidFill>
                    <w14:schemeClr w14:val="tx1"/>
                  </w14:solidFill>
                </w14:textFill>
              </w:rPr>
            </w:pPr>
          </w:p>
          <w:p w14:paraId="6D3A873E">
            <w:pPr>
              <w:ind w:firstLine="476"/>
              <w:rPr>
                <w:color w:val="000000" w:themeColor="text1"/>
                <w:spacing w:val="-1"/>
                <w:szCs w:val="24"/>
                <w14:textFill>
                  <w14:solidFill>
                    <w14:schemeClr w14:val="tx1"/>
                  </w14:solidFill>
                </w14:textFill>
              </w:rPr>
            </w:pPr>
          </w:p>
          <w:p w14:paraId="663603B1">
            <w:pPr>
              <w:ind w:firstLine="476"/>
              <w:rPr>
                <w:color w:val="000000" w:themeColor="text1"/>
                <w:spacing w:val="-1"/>
                <w:szCs w:val="24"/>
                <w14:textFill>
                  <w14:solidFill>
                    <w14:schemeClr w14:val="tx1"/>
                  </w14:solidFill>
                </w14:textFill>
              </w:rPr>
            </w:pPr>
          </w:p>
          <w:p w14:paraId="375AE200">
            <w:pPr>
              <w:ind w:firstLine="476"/>
              <w:rPr>
                <w:color w:val="000000" w:themeColor="text1"/>
                <w:spacing w:val="-1"/>
                <w:szCs w:val="24"/>
                <w14:textFill>
                  <w14:solidFill>
                    <w14:schemeClr w14:val="tx1"/>
                  </w14:solidFill>
                </w14:textFill>
              </w:rPr>
            </w:pPr>
          </w:p>
          <w:p w14:paraId="17817E83">
            <w:pPr>
              <w:ind w:firstLine="476"/>
              <w:rPr>
                <w:color w:val="000000" w:themeColor="text1"/>
                <w:spacing w:val="-1"/>
                <w:szCs w:val="24"/>
                <w14:textFill>
                  <w14:solidFill>
                    <w14:schemeClr w14:val="tx1"/>
                  </w14:solidFill>
                </w14:textFill>
              </w:rPr>
            </w:pPr>
          </w:p>
          <w:p w14:paraId="47138B6D">
            <w:pPr>
              <w:ind w:firstLine="476"/>
              <w:rPr>
                <w:color w:val="000000" w:themeColor="text1"/>
                <w:spacing w:val="-1"/>
                <w:szCs w:val="24"/>
                <w14:textFill>
                  <w14:solidFill>
                    <w14:schemeClr w14:val="tx1"/>
                  </w14:solidFill>
                </w14:textFill>
              </w:rPr>
            </w:pPr>
          </w:p>
          <w:p w14:paraId="6197C2CB">
            <w:pPr>
              <w:ind w:firstLine="476"/>
              <w:rPr>
                <w:color w:val="000000" w:themeColor="text1"/>
                <w:spacing w:val="-1"/>
                <w:szCs w:val="24"/>
                <w14:textFill>
                  <w14:solidFill>
                    <w14:schemeClr w14:val="tx1"/>
                  </w14:solidFill>
                </w14:textFill>
              </w:rPr>
            </w:pPr>
          </w:p>
          <w:p w14:paraId="585BDE90">
            <w:pPr>
              <w:ind w:firstLine="476"/>
              <w:rPr>
                <w:color w:val="000000" w:themeColor="text1"/>
                <w:spacing w:val="-1"/>
                <w:szCs w:val="24"/>
                <w14:textFill>
                  <w14:solidFill>
                    <w14:schemeClr w14:val="tx1"/>
                  </w14:solidFill>
                </w14:textFill>
              </w:rPr>
            </w:pPr>
          </w:p>
          <w:p w14:paraId="2CE319CB">
            <w:pPr>
              <w:ind w:firstLine="476"/>
              <w:rPr>
                <w:color w:val="000000" w:themeColor="text1"/>
                <w:spacing w:val="-1"/>
                <w:szCs w:val="24"/>
                <w14:textFill>
                  <w14:solidFill>
                    <w14:schemeClr w14:val="tx1"/>
                  </w14:solidFill>
                </w14:textFill>
              </w:rPr>
            </w:pPr>
          </w:p>
          <w:p w14:paraId="3BA9D692">
            <w:pPr>
              <w:ind w:firstLine="476"/>
              <w:rPr>
                <w:color w:val="000000" w:themeColor="text1"/>
                <w:spacing w:val="-1"/>
                <w:szCs w:val="24"/>
                <w14:textFill>
                  <w14:solidFill>
                    <w14:schemeClr w14:val="tx1"/>
                  </w14:solidFill>
                </w14:textFill>
              </w:rPr>
            </w:pPr>
          </w:p>
          <w:p w14:paraId="370B34F7">
            <w:pPr>
              <w:widowControl w:val="0"/>
              <w:ind w:firstLine="0" w:firstLineChars="0"/>
              <w:jc w:val="center"/>
              <w:rPr>
                <w:rFonts w:hint="eastAsia" w:asciiTheme="minorEastAsia" w:hAnsiTheme="minorEastAsia" w:eastAsiaTheme="minorEastAsia" w:cstheme="minorEastAsia"/>
                <w:b/>
                <w:color w:val="000000" w:themeColor="text1"/>
                <w:kern w:val="0"/>
                <w:szCs w:val="20"/>
                <w:lang w:bidi="ar"/>
                <w14:textFill>
                  <w14:solidFill>
                    <w14:schemeClr w14:val="tx1"/>
                  </w14:solidFill>
                </w14:textFill>
              </w:rPr>
            </w:pPr>
            <w:r>
              <w:rPr>
                <w:rFonts w:hint="eastAsia" w:asciiTheme="minorEastAsia" w:hAnsiTheme="minorEastAsia" w:eastAsiaTheme="minorEastAsia" w:cstheme="minorEastAsia"/>
                <w:b/>
                <w:color w:val="000000" w:themeColor="text1"/>
                <w:kern w:val="0"/>
                <w:szCs w:val="20"/>
                <w:lang w:bidi="ar"/>
                <w14:textFill>
                  <w14:solidFill>
                    <w14:schemeClr w14:val="tx1"/>
                  </w14:solidFill>
                </w14:textFill>
              </w:rPr>
              <w:object>
                <v:shape id="_x0000_i1025" o:spt="75" type="#_x0000_t75" style="height:645.9pt;width:424.15pt;" o:ole="t" filled="f" o:preferrelative="t" stroked="f" coordsize="21600,21600">
                  <v:path/>
                  <v:fill on="f" focussize="0,0"/>
                  <v:stroke on="f"/>
                  <v:imagedata r:id="rId18" o:title=""/>
                  <o:lock v:ext="edit" aspectratio="f"/>
                  <w10:wrap type="none"/>
                  <w10:anchorlock/>
                </v:shape>
                <o:OLEObject Type="Embed" ProgID="Visio.Drawing.15" ShapeID="_x0000_i1025" DrawAspect="Content" ObjectID="_1468075725" r:id="rId17">
                  <o:LockedField>false</o:LockedField>
                </o:OLEObject>
              </w:object>
            </w:r>
          </w:p>
          <w:p w14:paraId="43FBAC24">
            <w:pPr>
              <w:widowControl w:val="0"/>
              <w:ind w:firstLine="0" w:firstLineChars="0"/>
              <w:jc w:val="center"/>
              <w:rPr>
                <w:rFonts w:eastAsiaTheme="minorEastAsia"/>
                <w:b/>
                <w:bCs/>
                <w:color w:val="000000" w:themeColor="text1"/>
                <w:kern w:val="0"/>
                <w:szCs w:val="20"/>
                <w:lang w:bidi="ar"/>
                <w14:textFill>
                  <w14:solidFill>
                    <w14:schemeClr w14:val="tx1"/>
                  </w14:solidFill>
                </w14:textFill>
              </w:rPr>
            </w:pPr>
            <w:r>
              <w:rPr>
                <w:rFonts w:eastAsiaTheme="minorEastAsia"/>
                <w:b/>
                <w:bCs/>
                <w:color w:val="000000" w:themeColor="text1"/>
                <w:kern w:val="0"/>
                <w:szCs w:val="20"/>
                <w:lang w:bidi="ar"/>
                <w14:textFill>
                  <w14:solidFill>
                    <w14:schemeClr w14:val="tx1"/>
                  </w14:solidFill>
                </w14:textFill>
              </w:rPr>
              <w:t>图2  项目水平衡图  单位m</w:t>
            </w:r>
            <w:r>
              <w:rPr>
                <w:rFonts w:eastAsiaTheme="minorEastAsia"/>
                <w:b/>
                <w:bCs/>
                <w:color w:val="000000" w:themeColor="text1"/>
                <w:kern w:val="0"/>
                <w:szCs w:val="20"/>
                <w:vertAlign w:val="superscript"/>
                <w:lang w:bidi="ar"/>
                <w14:textFill>
                  <w14:solidFill>
                    <w14:schemeClr w14:val="tx1"/>
                  </w14:solidFill>
                </w14:textFill>
              </w:rPr>
              <w:t>3</w:t>
            </w:r>
            <w:r>
              <w:rPr>
                <w:rFonts w:eastAsiaTheme="minorEastAsia"/>
                <w:b/>
                <w:bCs/>
                <w:color w:val="000000" w:themeColor="text1"/>
                <w:kern w:val="0"/>
                <w:szCs w:val="20"/>
                <w:lang w:bidi="ar"/>
                <w14:textFill>
                  <w14:solidFill>
                    <w14:schemeClr w14:val="tx1"/>
                  </w14:solidFill>
                </w14:textFill>
              </w:rPr>
              <w:t>/d</w:t>
            </w:r>
          </w:p>
          <w:p w14:paraId="2907B4B3">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（2）供电</w:t>
            </w:r>
          </w:p>
          <w:p w14:paraId="27AC05C7">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项目供电利用厂内已建成配电室。</w:t>
            </w:r>
          </w:p>
          <w:p w14:paraId="0D667977">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（3）供暖</w:t>
            </w:r>
          </w:p>
          <w:p w14:paraId="2F4E795D">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生活区供热采用电暖气。</w:t>
            </w:r>
          </w:p>
          <w:p w14:paraId="7092A1ED">
            <w:pPr>
              <w:widowControl w:val="0"/>
              <w:ind w:firstLine="482"/>
              <w:rPr>
                <w:rFonts w:hint="eastAsia" w:asciiTheme="minorEastAsia" w:hAnsiTheme="minorEastAsia" w:eastAsiaTheme="minorEastAsia" w:cstheme="minorEastAsia"/>
                <w:b/>
                <w:bCs/>
                <w:color w:val="000000" w:themeColor="text1"/>
                <w:szCs w:val="24"/>
                <w:lang w:bidi="ar"/>
                <w14:textFill>
                  <w14:solidFill>
                    <w14:schemeClr w14:val="tx1"/>
                  </w14:solidFill>
                </w14:textFill>
              </w:rPr>
            </w:pPr>
            <w:r>
              <w:rPr>
                <w:rFonts w:hint="eastAsia" w:asciiTheme="minorEastAsia" w:hAnsiTheme="minorEastAsia" w:eastAsiaTheme="minorEastAsia" w:cstheme="minorEastAsia"/>
                <w:b/>
                <w:bCs/>
                <w:color w:val="000000" w:themeColor="text1"/>
                <w:szCs w:val="24"/>
                <w:lang w:bidi="ar"/>
                <w14:textFill>
                  <w14:solidFill>
                    <w14:schemeClr w14:val="tx1"/>
                  </w14:solidFill>
                </w14:textFill>
              </w:rPr>
              <w:t>8.劳动定员及工作制度</w:t>
            </w:r>
          </w:p>
          <w:p w14:paraId="445AE354">
            <w:pPr>
              <w:ind w:firstLine="484"/>
              <w:rPr>
                <w:rFonts w:hint="eastAsia"/>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公司目前人员配置为120人，本项目无人员变化，烧结砖生产线</w:t>
            </w:r>
            <w:r>
              <w:rPr>
                <w:color w:val="000000" w:themeColor="text1"/>
                <w:spacing w:val="1"/>
                <w:szCs w:val="24"/>
                <w14:textFill>
                  <w14:solidFill>
                    <w14:schemeClr w14:val="tx1"/>
                  </w14:solidFill>
                </w14:textFill>
              </w:rPr>
              <w:t>年工作时间为</w:t>
            </w:r>
            <w:r>
              <w:rPr>
                <w:rFonts w:hint="eastAsia"/>
                <w:color w:val="000000" w:themeColor="text1"/>
                <w:spacing w:val="1"/>
                <w:szCs w:val="24"/>
                <w14:textFill>
                  <w14:solidFill>
                    <w14:schemeClr w14:val="tx1"/>
                  </w14:solidFill>
                </w14:textFill>
              </w:rPr>
              <w:t>210</w:t>
            </w:r>
            <w:r>
              <w:rPr>
                <w:color w:val="000000" w:themeColor="text1"/>
                <w:spacing w:val="1"/>
                <w:szCs w:val="24"/>
                <w14:textFill>
                  <w14:solidFill>
                    <w14:schemeClr w14:val="tx1"/>
                  </w14:solidFill>
                </w14:textFill>
              </w:rPr>
              <w:t>天，每天工作时间</w:t>
            </w:r>
            <w:r>
              <w:rPr>
                <w:rFonts w:hint="eastAsia"/>
                <w:color w:val="000000" w:themeColor="text1"/>
                <w:spacing w:val="1"/>
                <w:szCs w:val="24"/>
                <w14:textFill>
                  <w14:solidFill>
                    <w14:schemeClr w14:val="tx1"/>
                  </w14:solidFill>
                </w14:textFill>
              </w:rPr>
              <w:t>24</w:t>
            </w:r>
            <w:r>
              <w:rPr>
                <w:color w:val="000000" w:themeColor="text1"/>
                <w:spacing w:val="1"/>
                <w:szCs w:val="24"/>
                <w14:textFill>
                  <w14:solidFill>
                    <w14:schemeClr w14:val="tx1"/>
                  </w14:solidFill>
                </w14:textFill>
              </w:rPr>
              <w:t>h</w:t>
            </w:r>
            <w:r>
              <w:rPr>
                <w:rFonts w:hint="eastAsia"/>
                <w:color w:val="000000" w:themeColor="text1"/>
                <w:spacing w:val="1"/>
                <w:szCs w:val="24"/>
                <w14:textFill>
                  <w14:solidFill>
                    <w14:schemeClr w14:val="tx1"/>
                  </w14:solidFill>
                </w14:textFill>
              </w:rPr>
              <w:t>；免烧砖生产线年工作时间为240天，每天工作24小时；机制砂生产线年工作时间为240天，每天工作24小时。</w:t>
            </w:r>
          </w:p>
          <w:p w14:paraId="72183DC2">
            <w:pPr>
              <w:ind w:firstLine="484"/>
              <w:rPr>
                <w:rFonts w:hint="eastAsia"/>
                <w:color w:val="000000" w:themeColor="text1"/>
                <w:spacing w:val="1"/>
                <w:szCs w:val="24"/>
                <w14:textFill>
                  <w14:solidFill>
                    <w14:schemeClr w14:val="tx1"/>
                  </w14:solidFill>
                </w14:textFill>
              </w:rPr>
            </w:pPr>
          </w:p>
          <w:p w14:paraId="3FE58046">
            <w:pPr>
              <w:ind w:firstLine="484"/>
              <w:rPr>
                <w:rFonts w:hint="eastAsia"/>
                <w:color w:val="000000" w:themeColor="text1"/>
                <w:spacing w:val="1"/>
                <w:szCs w:val="24"/>
                <w14:textFill>
                  <w14:solidFill>
                    <w14:schemeClr w14:val="tx1"/>
                  </w14:solidFill>
                </w14:textFill>
              </w:rPr>
            </w:pPr>
          </w:p>
          <w:p w14:paraId="7E5E507A">
            <w:pPr>
              <w:ind w:firstLine="484"/>
              <w:rPr>
                <w:rFonts w:hint="eastAsia"/>
                <w:color w:val="000000" w:themeColor="text1"/>
                <w:spacing w:val="1"/>
                <w:szCs w:val="24"/>
                <w14:textFill>
                  <w14:solidFill>
                    <w14:schemeClr w14:val="tx1"/>
                  </w14:solidFill>
                </w14:textFill>
              </w:rPr>
            </w:pPr>
          </w:p>
          <w:p w14:paraId="5DB429DA">
            <w:pPr>
              <w:ind w:firstLine="484"/>
              <w:rPr>
                <w:rFonts w:hint="eastAsia"/>
                <w:color w:val="000000" w:themeColor="text1"/>
                <w:spacing w:val="1"/>
                <w:szCs w:val="24"/>
                <w14:textFill>
                  <w14:solidFill>
                    <w14:schemeClr w14:val="tx1"/>
                  </w14:solidFill>
                </w14:textFill>
              </w:rPr>
            </w:pPr>
          </w:p>
          <w:p w14:paraId="546B4454">
            <w:pPr>
              <w:ind w:firstLine="484"/>
              <w:rPr>
                <w:rFonts w:hint="eastAsia"/>
                <w:color w:val="000000" w:themeColor="text1"/>
                <w:spacing w:val="1"/>
                <w:szCs w:val="24"/>
                <w14:textFill>
                  <w14:solidFill>
                    <w14:schemeClr w14:val="tx1"/>
                  </w14:solidFill>
                </w14:textFill>
              </w:rPr>
            </w:pPr>
          </w:p>
          <w:p w14:paraId="56CF5AE9">
            <w:pPr>
              <w:ind w:firstLine="484"/>
              <w:rPr>
                <w:rFonts w:hint="eastAsia"/>
                <w:color w:val="000000" w:themeColor="text1"/>
                <w:spacing w:val="1"/>
                <w:szCs w:val="24"/>
                <w14:textFill>
                  <w14:solidFill>
                    <w14:schemeClr w14:val="tx1"/>
                  </w14:solidFill>
                </w14:textFill>
              </w:rPr>
            </w:pPr>
          </w:p>
          <w:p w14:paraId="7214765B">
            <w:pPr>
              <w:ind w:firstLine="484"/>
              <w:rPr>
                <w:rFonts w:hint="eastAsia"/>
                <w:color w:val="000000" w:themeColor="text1"/>
                <w:spacing w:val="1"/>
                <w:szCs w:val="24"/>
                <w14:textFill>
                  <w14:solidFill>
                    <w14:schemeClr w14:val="tx1"/>
                  </w14:solidFill>
                </w14:textFill>
              </w:rPr>
            </w:pPr>
          </w:p>
          <w:p w14:paraId="38E19119">
            <w:pPr>
              <w:ind w:firstLine="484"/>
              <w:rPr>
                <w:rFonts w:hint="eastAsia"/>
                <w:color w:val="000000" w:themeColor="text1"/>
                <w:spacing w:val="1"/>
                <w:szCs w:val="24"/>
                <w14:textFill>
                  <w14:solidFill>
                    <w14:schemeClr w14:val="tx1"/>
                  </w14:solidFill>
                </w14:textFill>
              </w:rPr>
            </w:pPr>
          </w:p>
          <w:p w14:paraId="5A6FCB34">
            <w:pPr>
              <w:ind w:firstLine="484"/>
              <w:rPr>
                <w:rFonts w:hint="eastAsia"/>
                <w:color w:val="000000" w:themeColor="text1"/>
                <w:spacing w:val="1"/>
                <w:szCs w:val="24"/>
                <w14:textFill>
                  <w14:solidFill>
                    <w14:schemeClr w14:val="tx1"/>
                  </w14:solidFill>
                </w14:textFill>
              </w:rPr>
            </w:pPr>
          </w:p>
          <w:p w14:paraId="1CAD9188">
            <w:pPr>
              <w:ind w:firstLine="484"/>
              <w:rPr>
                <w:rFonts w:hint="eastAsia"/>
                <w:color w:val="000000" w:themeColor="text1"/>
                <w:spacing w:val="1"/>
                <w:szCs w:val="24"/>
                <w14:textFill>
                  <w14:solidFill>
                    <w14:schemeClr w14:val="tx1"/>
                  </w14:solidFill>
                </w14:textFill>
              </w:rPr>
            </w:pPr>
          </w:p>
          <w:p w14:paraId="4DA302F9">
            <w:pPr>
              <w:ind w:firstLine="484"/>
              <w:rPr>
                <w:rFonts w:hint="eastAsia"/>
                <w:color w:val="000000" w:themeColor="text1"/>
                <w:spacing w:val="1"/>
                <w:szCs w:val="24"/>
                <w14:textFill>
                  <w14:solidFill>
                    <w14:schemeClr w14:val="tx1"/>
                  </w14:solidFill>
                </w14:textFill>
              </w:rPr>
            </w:pPr>
          </w:p>
          <w:p w14:paraId="5A47296D">
            <w:pPr>
              <w:ind w:firstLine="484"/>
              <w:rPr>
                <w:rFonts w:hint="eastAsia"/>
                <w:color w:val="000000" w:themeColor="text1"/>
                <w:spacing w:val="1"/>
                <w:szCs w:val="24"/>
                <w14:textFill>
                  <w14:solidFill>
                    <w14:schemeClr w14:val="tx1"/>
                  </w14:solidFill>
                </w14:textFill>
              </w:rPr>
            </w:pPr>
          </w:p>
          <w:p w14:paraId="444BEC41">
            <w:pPr>
              <w:ind w:firstLine="484"/>
              <w:rPr>
                <w:rFonts w:hint="eastAsia"/>
                <w:color w:val="000000" w:themeColor="text1"/>
                <w:spacing w:val="1"/>
                <w:szCs w:val="24"/>
                <w14:textFill>
                  <w14:solidFill>
                    <w14:schemeClr w14:val="tx1"/>
                  </w14:solidFill>
                </w14:textFill>
              </w:rPr>
            </w:pPr>
          </w:p>
          <w:p w14:paraId="34102FD8">
            <w:pPr>
              <w:ind w:firstLine="484"/>
              <w:rPr>
                <w:rFonts w:hint="eastAsia"/>
                <w:color w:val="000000" w:themeColor="text1"/>
                <w:spacing w:val="1"/>
                <w:szCs w:val="24"/>
                <w14:textFill>
                  <w14:solidFill>
                    <w14:schemeClr w14:val="tx1"/>
                  </w14:solidFill>
                </w14:textFill>
              </w:rPr>
            </w:pPr>
          </w:p>
          <w:p w14:paraId="6DA60E67">
            <w:pPr>
              <w:ind w:firstLine="484"/>
              <w:rPr>
                <w:rFonts w:hint="eastAsia"/>
                <w:color w:val="000000" w:themeColor="text1"/>
                <w:spacing w:val="1"/>
                <w:szCs w:val="24"/>
                <w14:textFill>
                  <w14:solidFill>
                    <w14:schemeClr w14:val="tx1"/>
                  </w14:solidFill>
                </w14:textFill>
              </w:rPr>
            </w:pPr>
          </w:p>
          <w:p w14:paraId="5DC958C5">
            <w:pPr>
              <w:ind w:firstLine="484"/>
              <w:rPr>
                <w:rFonts w:hint="eastAsia"/>
                <w:color w:val="000000" w:themeColor="text1"/>
                <w:spacing w:val="1"/>
                <w:szCs w:val="24"/>
                <w14:textFill>
                  <w14:solidFill>
                    <w14:schemeClr w14:val="tx1"/>
                  </w14:solidFill>
                </w14:textFill>
              </w:rPr>
            </w:pPr>
          </w:p>
          <w:p w14:paraId="6D95858E">
            <w:pPr>
              <w:ind w:firstLine="484"/>
              <w:rPr>
                <w:rFonts w:hint="eastAsia"/>
                <w:color w:val="000000" w:themeColor="text1"/>
                <w:spacing w:val="1"/>
                <w:szCs w:val="24"/>
                <w14:textFill>
                  <w14:solidFill>
                    <w14:schemeClr w14:val="tx1"/>
                  </w14:solidFill>
                </w14:textFill>
              </w:rPr>
            </w:pPr>
          </w:p>
          <w:p w14:paraId="2563E63B">
            <w:pPr>
              <w:ind w:firstLine="484"/>
              <w:rPr>
                <w:rFonts w:hint="eastAsia"/>
                <w:color w:val="000000" w:themeColor="text1"/>
                <w:spacing w:val="1"/>
                <w:szCs w:val="24"/>
                <w14:textFill>
                  <w14:solidFill>
                    <w14:schemeClr w14:val="tx1"/>
                  </w14:solidFill>
                </w14:textFill>
              </w:rPr>
            </w:pPr>
          </w:p>
          <w:p w14:paraId="06B33921">
            <w:pPr>
              <w:ind w:firstLine="484"/>
              <w:rPr>
                <w:rFonts w:hint="eastAsia"/>
                <w:color w:val="000000" w:themeColor="text1"/>
                <w:spacing w:val="1"/>
                <w:szCs w:val="24"/>
                <w14:textFill>
                  <w14:solidFill>
                    <w14:schemeClr w14:val="tx1"/>
                  </w14:solidFill>
                </w14:textFill>
              </w:rPr>
            </w:pPr>
          </w:p>
          <w:p w14:paraId="169978D1">
            <w:pPr>
              <w:ind w:firstLine="484"/>
              <w:rPr>
                <w:rFonts w:hint="eastAsia"/>
                <w:color w:val="000000" w:themeColor="text1"/>
                <w:spacing w:val="1"/>
                <w:szCs w:val="24"/>
                <w14:textFill>
                  <w14:solidFill>
                    <w14:schemeClr w14:val="tx1"/>
                  </w14:solidFill>
                </w14:textFill>
              </w:rPr>
            </w:pPr>
          </w:p>
          <w:p w14:paraId="4B74506E">
            <w:pPr>
              <w:ind w:firstLine="484"/>
              <w:rPr>
                <w:rFonts w:hint="eastAsia"/>
                <w:color w:val="000000" w:themeColor="text1"/>
                <w:spacing w:val="1"/>
                <w:szCs w:val="24"/>
                <w14:textFill>
                  <w14:solidFill>
                    <w14:schemeClr w14:val="tx1"/>
                  </w14:solidFill>
                </w14:textFill>
              </w:rPr>
            </w:pPr>
          </w:p>
          <w:p w14:paraId="5AAF70F5">
            <w:pPr>
              <w:ind w:firstLine="484"/>
              <w:rPr>
                <w:rFonts w:hint="eastAsia"/>
                <w:color w:val="000000" w:themeColor="text1"/>
                <w:spacing w:val="1"/>
                <w:szCs w:val="24"/>
                <w14:textFill>
                  <w14:solidFill>
                    <w14:schemeClr w14:val="tx1"/>
                  </w14:solidFill>
                </w14:textFill>
              </w:rPr>
            </w:pPr>
          </w:p>
          <w:p w14:paraId="74FFA8DE">
            <w:pPr>
              <w:ind w:firstLine="484"/>
              <w:rPr>
                <w:rFonts w:hint="eastAsia"/>
                <w:color w:val="000000" w:themeColor="text1"/>
                <w:spacing w:val="1"/>
                <w:szCs w:val="24"/>
                <w14:textFill>
                  <w14:solidFill>
                    <w14:schemeClr w14:val="tx1"/>
                  </w14:solidFill>
                </w14:textFill>
              </w:rPr>
            </w:pPr>
          </w:p>
        </w:tc>
      </w:tr>
      <w:tr w14:paraId="726F4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14" w:hRule="atLeast"/>
          <w:jc w:val="center"/>
        </w:trPr>
        <w:tc>
          <w:tcPr>
            <w:tcW w:w="764" w:type="dxa"/>
            <w:vAlign w:val="center"/>
          </w:tcPr>
          <w:p w14:paraId="5CAED6EF">
            <w:pPr>
              <w:spacing w:line="240" w:lineRule="auto"/>
              <w:ind w:firstLine="0" w:firstLineChars="0"/>
              <w:jc w:val="center"/>
              <w:rPr>
                <w:rFonts w:hint="eastAsia" w:asciiTheme="minorEastAsia" w:hAnsiTheme="minorEastAsia" w:eastAsiaTheme="minorEastAsia" w:cstheme="minorEastAsia"/>
                <w:b/>
                <w:bCs/>
                <w:color w:val="000000" w:themeColor="text1"/>
                <w:kern w:val="0"/>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Cs w:val="24"/>
                <w14:textFill>
                  <w14:solidFill>
                    <w14:schemeClr w14:val="tx1"/>
                  </w14:solidFill>
                </w14:textFill>
              </w:rPr>
              <w:t>工艺流程和产排污环节</w:t>
            </w:r>
          </w:p>
        </w:tc>
        <w:tc>
          <w:tcPr>
            <w:tcW w:w="8522" w:type="dxa"/>
          </w:tcPr>
          <w:p w14:paraId="3A78830A">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本项目沿用现有烧结砖生产线、免烧砖生产线和配套煤矸石洗选工段，</w:t>
            </w:r>
            <w:r>
              <w:rPr>
                <w:rFonts w:hint="eastAsia"/>
                <w:color w:val="000000" w:themeColor="text1"/>
                <w:spacing w:val="1"/>
                <w:szCs w:val="24"/>
                <w:lang w:val="en-US" w:eastAsia="zh-CN"/>
                <w14:textFill>
                  <w14:solidFill>
                    <w14:schemeClr w14:val="tx1"/>
                  </w14:solidFill>
                </w14:textFill>
              </w:rPr>
              <w:t>部分煤矸石用作生产免烧砖，其余</w:t>
            </w:r>
            <w:r>
              <w:rPr>
                <w:rFonts w:hint="eastAsia"/>
                <w:color w:val="000000" w:themeColor="text1"/>
                <w:spacing w:val="1"/>
                <w:szCs w:val="24"/>
                <w14:textFill>
                  <w14:solidFill>
                    <w14:schemeClr w14:val="tx1"/>
                  </w14:solidFill>
                </w14:textFill>
              </w:rPr>
              <w:t>煤矸石经洗选工段洗选脱碳后产生尾矸、尾泥和劣质煤，其中尾矸以作为</w:t>
            </w:r>
            <w:r>
              <w:rPr>
                <w:rFonts w:hint="eastAsia"/>
                <w:color w:val="000000" w:themeColor="text1"/>
                <w:spacing w:val="1"/>
                <w:szCs w:val="24"/>
                <w:lang w:val="en-US" w:eastAsia="zh-CN"/>
                <w14:textFill>
                  <w14:solidFill>
                    <w14:schemeClr w14:val="tx1"/>
                  </w14:solidFill>
                </w14:textFill>
              </w:rPr>
              <w:t>免烧砖</w:t>
            </w:r>
            <w:r>
              <w:rPr>
                <w:rFonts w:hint="eastAsia"/>
                <w:color w:val="000000" w:themeColor="text1"/>
                <w:spacing w:val="1"/>
                <w:szCs w:val="24"/>
                <w14:textFill>
                  <w14:solidFill>
                    <w14:schemeClr w14:val="tx1"/>
                  </w14:solidFill>
                </w14:textFill>
              </w:rPr>
              <w:t>生产原料，劣质煤作为副产品外售。新建1条机制砂生产线，生产机制砂。</w:t>
            </w:r>
          </w:p>
          <w:p w14:paraId="3C47E5E8">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1、洗选</w:t>
            </w:r>
          </w:p>
          <w:p w14:paraId="2D4BD5DE">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本项目洗选工艺流程与原项目相同。</w:t>
            </w:r>
          </w:p>
          <w:p w14:paraId="51585E4B">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（1）煤矸石洗选工段</w:t>
            </w:r>
          </w:p>
          <w:p w14:paraId="46264960">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①备料工序</w:t>
            </w:r>
          </w:p>
          <w:p w14:paraId="45D9B174">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煤矸石采用自卸汽车运至厂区密闭原料棚存储。其中煤矸石粒径较大，首先进行初步破碎筛分处理，破碎筛分设施全部设置于全密闭物料车间内。煤矸石采用带式给煤机运至受料坑，经皮带机进入筛分机（筛孔为30mm），机头设有电磁除铁器，除去其中金属杂质，筛上大于30mm块料转运至破碎机进行破碎，出料粒度＜30mm，与筛下物一同经皮带机运至跳汰机分选。</w:t>
            </w:r>
          </w:p>
          <w:p w14:paraId="4B799737">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本工序主要污染物为：物料在储存、装卸、转运等过程产生的无组织颗粒物；煤矸石破碎筛分粉尘，破碎筛分车间为全密闭车间，车间内设置雾炮设施降尘；车辆运输扬尘；</w:t>
            </w:r>
          </w:p>
          <w:p w14:paraId="12AAFE49">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破碎机、筛分机、除尘风机、雾炮机等设备运转噪声。</w:t>
            </w:r>
          </w:p>
          <w:p w14:paraId="44EA002D">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②跳汰洗选工序</w:t>
            </w:r>
          </w:p>
          <w:p w14:paraId="60158707">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项目该工序采用跳汰机对原料煤矸石进行洗选。其洗选原理为：密度不同的物料在水介质中作垂直运动时按密度分层。密度小的矿粒位于上层，密度大的矿粒位于下层。其物料运动过程分为三步，a：在上升水流作用下，床层被冲起并逐渐松散，这时床层中的矿粒在水流的动力学作用下，首先被冲起的是密度小的细矿粒，其次是密度小的粗矿粒和密度大的细矿粒，最后是密度大的粗矿粒；b：在上升水流末期，床层得到充分地松散，矿粒开始陆续沉降和分层，密度大的粗矿粒沉得快，位于下层，其次是密度小的粗矿粒和密度大的细矿粒，密度小的细矿粒沉得最慢，位于上层；c：水流下降时，随着矿粒的沉降，床层逐渐紧密，粗矿粒沉到筛面上并失去活动性。</w:t>
            </w:r>
          </w:p>
          <w:p w14:paraId="34E9F8BA">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经备料工段处理后煤矸石经皮带输送机送入跳汰机进行分选作业，分选出的尾矸经尾矸斗提机和皮带机输送至储存库；脱水筛筛上劣质煤经过振动筛进行分级，振动筛的筛上物为劣质煤，然后由皮带输送至储存库储存；脱水筛（筛孔为0.75mm）的筛下物与振动筛排出的尾泥水一同经尾泥筛（筛孔为0.5mm）处理，筛上物经离心机脱水后得到劣质煤，由皮带输送至封闭式库房储存；筛下物入料仓进入旋流器。</w:t>
            </w:r>
          </w:p>
          <w:p w14:paraId="0EF7C19A">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本工序主要污染源为跳汰机、脱水筛、振动筛等设备产生的噪声和洗煤废水。</w:t>
            </w:r>
          </w:p>
          <w:p w14:paraId="51CAF61A">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③旋流分离工序</w:t>
            </w:r>
          </w:p>
          <w:p w14:paraId="72503662">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旋流器是一种常见的分离分级设备，常用离心沉降原理。当待分离的两相混合液以一定压力从旋流器周边切向进入旋流器内后，产生强烈的三维椭圆型强旋转剪切湍流运动。由于粗颗粒与细颗粒之间存在粒度差，其受到离心力、向心浮力、流体曳力等大小不同，受离心沉降作用，大部分粗颗粒经旋流器底流口排出进入螺旋分选机，而大部分细颗粒由溢流管排出经截粗筛筛分后进入浓缩机。</w:t>
            </w:r>
          </w:p>
          <w:p w14:paraId="0A433FDF">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本工序主要污染源为旋流器等设备产生的噪声和洗煤废水。</w:t>
            </w:r>
          </w:p>
          <w:p w14:paraId="50F601A3">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④螺旋分选工序</w:t>
            </w:r>
          </w:p>
          <w:p w14:paraId="08A9A9D4">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螺旋分选机是物料在螺旋运动的水流中按密度进行分选的设备，在煤炭洗选加工中主要用做粗煤泥的分选，入选粗煤泥经分配器给入螺旋分选机给料口，在自重作用下矿浆沿切向进入螺旋槽内，液流在螺旋槽面上运动的过程中，在螺旋槽横断面上产生离心力，离心力使液流在横断面上形成从外缘到内缘的横向液面坡降。通过横向离心力和横向液面坡降的综合作用，在螺旋槽的横断面上，上层水流流向槽的外缘，下层水流流向槽的内缘，中层水流的横向流速为零。</w:t>
            </w:r>
          </w:p>
          <w:p w14:paraId="6FE4D4CC">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这种水流运动形成的螺旋槽断面环流，内缘水层薄、流速小；外缘水层厚，流速大。矿粒在螺旋槽中分选大致经过3个阶段。</w:t>
            </w:r>
          </w:p>
          <w:p w14:paraId="38C48B73">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第一阶段是颗粒群分层。颗粒群在槽面上的运动过程中，重矿粒沉降速度快，沉入液流下层；轻矿粒沉降速度慢，浮于液面上层。这一阶段还伴随着上层的轻矿粒向槽的外缘移动，下层的重矿粒向槽的内缘移动。</w:t>
            </w:r>
          </w:p>
          <w:p w14:paraId="67267FA2">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第二阶段是轻、重矿粒在第一阶段的基础上沿横向分带。沉于下层的重矿粒沿收敛的螺旋线逐渐移向内缘，浮于上层的轻矿粒沿扩展的</w:t>
            </w:r>
          </w:p>
          <w:p w14:paraId="4AFB6748">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螺旋线逐渐移向中间偏外区域。煤泥被甩到最外缘。与之相伴的是误入槽底的轻矿粒及误入上层的重矿粒重新分层、分带。这一阶段持续时间最长，所以螺旋分选机设计成若干圈。</w:t>
            </w:r>
          </w:p>
          <w:p w14:paraId="29B6118B">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第三阶段是运动达到平衡。不同密度的矿粒沿各自的回转半径运动，轻、重矿粒沿横向从外缘至内缘均匀排列，设在排料端的截取器将矿带沿横向分割成劣质煤和煤泥两部分，煤泥水进入浓缩机，劣质煤进入煤棚。</w:t>
            </w:r>
          </w:p>
          <w:p w14:paraId="48CBD9E9">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本工序主要污染源为螺旋分选机等设备产生的噪声和洗煤废水。</w:t>
            </w:r>
          </w:p>
          <w:p w14:paraId="4F73A65F">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⑤煤泥浓缩工序</w:t>
            </w:r>
          </w:p>
          <w:p w14:paraId="22C2657A">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洗煤废水进入煤泥浓缩池，浓缩机底流由泵打到压滤机进行过滤，回收的煤泥送固废棚储存。浓缩机的溢流和压滤机滤清液进入循环水池，用泵返回洗煤系统作为循环水复用。项目有浓缩池2座（一用一备）。可确保煤泥水闭路循环，不外排。</w:t>
            </w:r>
          </w:p>
          <w:p w14:paraId="16BBC06E">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本工序主要污染源为浓缩机等设备产生的噪声和洗煤废水。</w:t>
            </w:r>
          </w:p>
          <w:p w14:paraId="3BD1FDE6">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⑥储运工序</w:t>
            </w:r>
          </w:p>
          <w:p w14:paraId="02063467">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项目产品劣质煤经密闭皮带机送入封闭式库房存储，跳汰产生的尾矸和尾泥经密闭皮带机送入密闭储存库库存储，项目尾矸、尾泥和劣质煤均放置密闭储存库分区储存。</w:t>
            </w:r>
          </w:p>
          <w:p w14:paraId="431510B6">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本工序主要污染物为产品转载、储运过程无组织颗粒物及设备运行噪声。</w:t>
            </w:r>
          </w:p>
          <w:p w14:paraId="1A2EDFED">
            <w:pPr>
              <w:ind w:firstLine="480"/>
              <w:rPr>
                <w:color w:val="000000" w:themeColor="text1"/>
                <w:position w:val="-129"/>
                <w14:textFill>
                  <w14:solidFill>
                    <w14:schemeClr w14:val="tx1"/>
                  </w14:solidFill>
                </w14:textFill>
              </w:rPr>
            </w:pPr>
            <w:r>
              <w:rPr>
                <w:color w:val="000000" w:themeColor="text1"/>
                <w:position w:val="-129"/>
                <w14:textFill>
                  <w14:solidFill>
                    <w14:schemeClr w14:val="tx1"/>
                  </w14:solidFill>
                </w14:textFill>
              </w:rPr>
              <w:drawing>
                <wp:inline distT="0" distB="0" distL="114300" distR="114300">
                  <wp:extent cx="4249420" cy="3173730"/>
                  <wp:effectExtent l="0" t="0" r="5080" b="1270"/>
                  <wp:docPr id="7" name="图片 21"/>
                  <wp:cNvGraphicFramePr/>
                  <a:graphic xmlns:a="http://schemas.openxmlformats.org/drawingml/2006/main">
                    <a:graphicData uri="http://schemas.openxmlformats.org/drawingml/2006/picture">
                      <pic:pic xmlns:pic="http://schemas.openxmlformats.org/drawingml/2006/picture">
                        <pic:nvPicPr>
                          <pic:cNvPr id="7" name="图片 21"/>
                          <pic:cNvPicPr/>
                        </pic:nvPicPr>
                        <pic:blipFill>
                          <a:blip r:embed="rId19"/>
                          <a:stretch>
                            <a:fillRect/>
                          </a:stretch>
                        </pic:blipFill>
                        <pic:spPr>
                          <a:xfrm>
                            <a:off x="0" y="0"/>
                            <a:ext cx="4249420" cy="3173730"/>
                          </a:xfrm>
                          <a:prstGeom prst="rect">
                            <a:avLst/>
                          </a:prstGeom>
                          <a:noFill/>
                          <a:ln>
                            <a:noFill/>
                          </a:ln>
                        </pic:spPr>
                      </pic:pic>
                    </a:graphicData>
                  </a:graphic>
                </wp:inline>
              </w:drawing>
            </w:r>
          </w:p>
          <w:p w14:paraId="13514E5C">
            <w:pPr>
              <w:widowControl w:val="0"/>
              <w:ind w:firstLine="0" w:firstLineChars="0"/>
              <w:jc w:val="center"/>
              <w:rPr>
                <w:rFonts w:eastAsiaTheme="minorEastAsia"/>
                <w:b/>
                <w:bCs/>
                <w:color w:val="000000" w:themeColor="text1"/>
                <w:kern w:val="0"/>
                <w:szCs w:val="20"/>
                <w:lang w:bidi="ar"/>
                <w14:textFill>
                  <w14:solidFill>
                    <w14:schemeClr w14:val="tx1"/>
                  </w14:solidFill>
                </w14:textFill>
              </w:rPr>
            </w:pPr>
            <w:r>
              <w:rPr>
                <w:rFonts w:hint="eastAsia" w:eastAsiaTheme="minorEastAsia"/>
                <w:b/>
                <w:bCs/>
                <w:color w:val="000000" w:themeColor="text1"/>
                <w:kern w:val="0"/>
                <w:szCs w:val="20"/>
                <w:lang w:bidi="ar"/>
                <w14:textFill>
                  <w14:solidFill>
                    <w14:schemeClr w14:val="tx1"/>
                  </w14:solidFill>
                </w14:textFill>
              </w:rPr>
              <w:t>图3  洗选过程流程图</w:t>
            </w:r>
          </w:p>
          <w:p w14:paraId="3137C8EF">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2、烧结砖及免烧砖</w:t>
            </w:r>
          </w:p>
          <w:p w14:paraId="4424446D">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本项目烧结砖及免烧砖生产工艺流程与原项目相同。</w:t>
            </w:r>
          </w:p>
          <w:p w14:paraId="3E61EE01">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（1）烧结砖</w:t>
            </w:r>
          </w:p>
          <w:p w14:paraId="4DF45F20">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项目烧结普通砖生产主要包括备料、陈化、制坯工序、干燥和焙烧等工序，具体生产工艺流程如下：</w:t>
            </w:r>
          </w:p>
          <w:p w14:paraId="0E1E5962">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①备料工序</w:t>
            </w:r>
          </w:p>
          <w:p w14:paraId="3D57AC2A">
            <w:pPr>
              <w:ind w:firstLine="484"/>
              <w:rPr>
                <w:color w:val="000000" w:themeColor="text1"/>
                <w:spacing w:val="1"/>
                <w:szCs w:val="24"/>
                <w14:textFill>
                  <w14:solidFill>
                    <w14:schemeClr w14:val="tx1"/>
                  </w14:solidFill>
                </w14:textFill>
              </w:rPr>
            </w:pPr>
            <w:r>
              <w:rPr>
                <w:rFonts w:hint="eastAsia"/>
                <w:color w:val="000000" w:themeColor="text1"/>
                <w:spacing w:val="1"/>
                <w:szCs w:val="24"/>
                <w:lang w:val="en-US" w:eastAsia="zh-CN"/>
                <w14:textFill>
                  <w14:solidFill>
                    <w14:schemeClr w14:val="tx1"/>
                  </w14:solidFill>
                </w14:textFill>
              </w:rPr>
              <w:t>矸石</w:t>
            </w:r>
            <w:r>
              <w:rPr>
                <w:rFonts w:hint="eastAsia"/>
                <w:color w:val="000000" w:themeColor="text1"/>
                <w:spacing w:val="1"/>
                <w:szCs w:val="24"/>
                <w14:textFill>
                  <w14:solidFill>
                    <w14:schemeClr w14:val="tx1"/>
                  </w14:solidFill>
                </w14:textFill>
              </w:rPr>
              <w:t>在原料库储存</w:t>
            </w:r>
            <w:r>
              <w:rPr>
                <w:rFonts w:hint="eastAsia"/>
                <w:color w:val="000000" w:themeColor="text1"/>
                <w:spacing w:val="1"/>
                <w:szCs w:val="24"/>
                <w:lang w:eastAsia="zh-CN"/>
                <w14:textFill>
                  <w14:solidFill>
                    <w14:schemeClr w14:val="tx1"/>
                  </w14:solidFill>
                </w14:textFill>
              </w:rPr>
              <w:t>，</w:t>
            </w:r>
            <w:r>
              <w:rPr>
                <w:rFonts w:hint="eastAsia"/>
                <w:color w:val="000000" w:themeColor="text1"/>
                <w:spacing w:val="1"/>
                <w:szCs w:val="24"/>
                <w:lang w:val="en-US" w:eastAsia="zh-CN"/>
                <w14:textFill>
                  <w14:solidFill>
                    <w14:schemeClr w14:val="tx1"/>
                  </w14:solidFill>
                </w14:textFill>
              </w:rPr>
              <w:t>如</w:t>
            </w:r>
            <w:r>
              <w:rPr>
                <w:rFonts w:hint="eastAsia"/>
                <w:color w:val="000000" w:themeColor="text1"/>
                <w:spacing w:val="1"/>
                <w:szCs w:val="24"/>
                <w14:textFill>
                  <w14:solidFill>
                    <w14:schemeClr w14:val="tx1"/>
                  </w14:solidFill>
                </w14:textFill>
              </w:rPr>
              <w:t>含有较大粒径颗粒，需首先进行破碎，装载机将</w:t>
            </w:r>
            <w:r>
              <w:rPr>
                <w:rFonts w:hint="eastAsia"/>
                <w:color w:val="000000" w:themeColor="text1"/>
                <w:spacing w:val="1"/>
                <w:szCs w:val="24"/>
                <w:lang w:val="en-US" w:eastAsia="zh-CN"/>
                <w14:textFill>
                  <w14:solidFill>
                    <w14:schemeClr w14:val="tx1"/>
                  </w14:solidFill>
                </w14:textFill>
              </w:rPr>
              <w:t>矸石</w:t>
            </w:r>
            <w:r>
              <w:rPr>
                <w:rFonts w:hint="eastAsia"/>
                <w:color w:val="000000" w:themeColor="text1"/>
                <w:spacing w:val="1"/>
                <w:szCs w:val="24"/>
                <w14:textFill>
                  <w14:solidFill>
                    <w14:schemeClr w14:val="tx1"/>
                  </w14:solidFill>
                </w14:textFill>
              </w:rPr>
              <w:t>送受料坑，</w:t>
            </w:r>
            <w:r>
              <w:rPr>
                <w:rFonts w:hint="eastAsia"/>
                <w:color w:val="000000" w:themeColor="text1"/>
                <w:spacing w:val="1"/>
                <w:szCs w:val="24"/>
                <w14:textFill>
                  <w14:solidFill>
                    <w14:schemeClr w14:val="tx1"/>
                  </w14:solidFill>
                </w14:textFill>
              </w:rPr>
              <w:t>经底部皮带输送机输送至破碎车间。在破碎车间内，物料首先经颚式破碎机进行粗破，粗破后的物料粒径控制在20mm以下，然后经皮带输送机送至锤式破碎机进行细破。经过细破后的物料进入滚筒筛筛分，粒径大于2mm的物料进行二次粉碎，小于2mm的物料经皮带输送至自动配料机将破碎后的</w:t>
            </w:r>
            <w:r>
              <w:rPr>
                <w:rFonts w:hint="eastAsia"/>
                <w:color w:val="000000" w:themeColor="text1"/>
                <w:spacing w:val="1"/>
                <w:szCs w:val="24"/>
                <w:lang w:val="en-US" w:eastAsia="zh-CN"/>
                <w14:textFill>
                  <w14:solidFill>
                    <w14:schemeClr w14:val="tx1"/>
                  </w14:solidFill>
                </w14:textFill>
              </w:rPr>
              <w:t>矸石</w:t>
            </w:r>
            <w:r>
              <w:rPr>
                <w:rFonts w:hint="eastAsia"/>
                <w:color w:val="000000" w:themeColor="text1"/>
                <w:spacing w:val="1"/>
                <w:szCs w:val="24"/>
                <w14:textFill>
                  <w14:solidFill>
                    <w14:schemeClr w14:val="tx1"/>
                  </w14:solidFill>
                </w14:textFill>
              </w:rPr>
              <w:t>按照工艺要求进行配比，配比后的物料经皮带输送机输送至双轴搅拌机内进行加水搅拌。</w:t>
            </w:r>
          </w:p>
          <w:p w14:paraId="67749D80">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双轴搅拌机配置全自动加水系统，进行第一次加水搅拌混合，原料塑形指数提高，含水率控制在12%左右，达到陈化的要求后经皮带输送机输送至制砖车间的陈化区陈化。</w:t>
            </w:r>
          </w:p>
          <w:p w14:paraId="7FCB13F5">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本工序主要污染源为：原料储存、转载等过程产生的无组织粉尘；</w:t>
            </w:r>
            <w:r>
              <w:rPr>
                <w:rFonts w:hint="eastAsia"/>
                <w:color w:val="000000" w:themeColor="text1"/>
                <w:spacing w:val="1"/>
                <w:szCs w:val="24"/>
                <w:lang w:val="en-US" w:eastAsia="zh-CN"/>
                <w14:textFill>
                  <w14:solidFill>
                    <w14:schemeClr w14:val="tx1"/>
                  </w14:solidFill>
                </w14:textFill>
              </w:rPr>
              <w:t>煤矸石</w:t>
            </w:r>
            <w:r>
              <w:rPr>
                <w:rFonts w:hint="eastAsia"/>
                <w:color w:val="000000" w:themeColor="text1"/>
                <w:spacing w:val="1"/>
                <w:szCs w:val="24"/>
                <w14:textFill>
                  <w14:solidFill>
                    <w14:schemeClr w14:val="tx1"/>
                  </w14:solidFill>
                </w14:textFill>
              </w:rPr>
              <w:t>破碎筛分粉尘，颚式破碎机、锤式破碎机及滚筒筛设置于密闭破碎车间内，颚式破碎机、锤式破碎机及滚筒筛等设备噪声。</w:t>
            </w:r>
          </w:p>
          <w:p w14:paraId="2CC9A3C1">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②陈化工序</w:t>
            </w:r>
          </w:p>
          <w:p w14:paraId="4E9BDF6E">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一次搅拌后的物料经皮带输送机送至陈化区的可逆移动仓布料机上，将物料按一定规律均匀的堆存在制砖车间陈化区中，物料陈化时间一般为2~3天。陈化的作用是使原料中水分均化程度提高，原料颗粒表面和内部性能更加均匀，更趋一致，颗粒变得容易疏解，物料的塑性增强，干强度提高，坯体抗裂性能改善。陈化后的物料由多斗挖掘机连续装运到皮带输送机上，经密闭廊道运至下一工序。</w:t>
            </w:r>
          </w:p>
          <w:p w14:paraId="4CD76144">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本工序物料含水率较高，陈化库内布料和取料过程粉尘产生量较小，主要设备运行产生的噪声。</w:t>
            </w:r>
          </w:p>
          <w:p w14:paraId="7DBB5387">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③制坯工序</w:t>
            </w:r>
          </w:p>
          <w:p w14:paraId="16805C7B">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陈化后的物料由皮带运输机机送至箱式给料机内，定量向双轴搅拌机给料，物料进行二次加水搅拌，其水分控制在15%左右，满足成型要求。二次搅拌均匀的物料经皮带运输机送至真空挤砖机，挤出压力达4.0MPa，真空度≤-0.092MPa，排除物料空隙中的空气，提高物料密度，通过机械挤压，可使成型的坯体致密，提高强度。挤出的连续条状坯体经全自动切码运系统按设定的规格完成切条、切坯，并自动将砖坯码至步进机，后由机械手将砖坯送至环形隧道窑窑底。切条、切坯废料经回坯皮带运输机返回双轴搅拌挤出机中再次利用。</w:t>
            </w:r>
          </w:p>
          <w:p w14:paraId="556886AA">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本工序主要污染物为箱式给料机、双轴搅拌挤出机、真空挤砖机、全自动切码运系统等设备运行产生的噪声。</w:t>
            </w:r>
          </w:p>
          <w:p w14:paraId="26031980">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④干燥和焙烧</w:t>
            </w:r>
          </w:p>
          <w:p w14:paraId="5FF612FF">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项目设置2座旋转式隧道窑用于砖坯干燥和焙烧，该旋转式隧道窑砖坯一次性码在环形窑底上，由窑体移动来完成烧砖工艺所需的相对移动。</w:t>
            </w:r>
          </w:p>
          <w:p w14:paraId="7E43B61F">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旋转式隧道窑干燥段热源为焙烧烟气余热，干燥段内窑体移动方向和热风的运动方向相同，通过砖坯与干燥介质的热交换，将成型的砖坯脱水干燥，为砖坯焙烧做准备，干燥后砖坯温度不高于200℃,含水率一般达6%以下。项目干燥段结构简单，可使砖坯干燥均匀，干燥周期短，节省能耗。</w:t>
            </w:r>
          </w:p>
          <w:p w14:paraId="06AEBC46">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窑体于轨道上缓慢移动，干燥后的砖坯进入焙烧段进行焙烧，经预热、高温焙烧和冷却过程烧制成为成品砖。窑体预热段要求温度约为300～900℃,高温焙烧段过程，温度为900～1000℃。在烧制过程中，随时监测窑内温度、压力，窑上配有循环风机，以保证气流合理流动，从而达到调节焙烧温度的目的，以提高坯体强度，保证产品质量。隧道窑焙烧所需热量由砖坯中煤矸石燃烧提供，隧道窑第一次工作时通过木柴和柴油引燃煤矸石，后续可利用余热进行引燃，其释放的热量可满足焙烧热量需求。焙烧产生的烟气经引风机引入干燥段作为干燥热源利用，烧制后的产品经窑尾冷却风机冷却，检验合格后即为成品，直接外售。</w:t>
            </w:r>
          </w:p>
          <w:p w14:paraId="78798A64">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隧道窑烟气主要污染物为烟尘、SO</w:t>
            </w:r>
            <w:r>
              <w:rPr>
                <w:rFonts w:hint="eastAsia"/>
                <w:color w:val="000000" w:themeColor="text1"/>
                <w:spacing w:val="1"/>
                <w:szCs w:val="24"/>
                <w:vertAlign w:val="subscript"/>
                <w14:textFill>
                  <w14:solidFill>
                    <w14:schemeClr w14:val="tx1"/>
                  </w14:solidFill>
                </w14:textFill>
              </w:rPr>
              <w:t>2</w:t>
            </w:r>
            <w:r>
              <w:rPr>
                <w:rFonts w:hint="eastAsia"/>
                <w:color w:val="000000" w:themeColor="text1"/>
                <w:spacing w:val="1"/>
                <w:szCs w:val="24"/>
                <w14:textFill>
                  <w14:solidFill>
                    <w14:schemeClr w14:val="tx1"/>
                  </w14:solidFill>
                </w14:textFill>
              </w:rPr>
              <w:t>、NOx以及氟化物，烟气全部进入干燥段进行余热利用后，由引风机引入布袋除尘器+双碱脱硫塔处理后由1根28m高烟囱排放。</w:t>
            </w:r>
          </w:p>
          <w:p w14:paraId="69BF0AAC">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该工序产生的污染物主要为隧道窑烟气、脱硫系统排污水、设备运行噪声、脱硫石膏以及不合格砖。</w:t>
            </w:r>
          </w:p>
          <w:p w14:paraId="61095B7F">
            <w:pPr>
              <w:ind w:firstLine="48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2968625" cy="3920490"/>
                  <wp:effectExtent l="0" t="0" r="3175" b="381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0"/>
                          <a:stretch>
                            <a:fillRect/>
                          </a:stretch>
                        </pic:blipFill>
                        <pic:spPr>
                          <a:xfrm>
                            <a:off x="0" y="0"/>
                            <a:ext cx="2968625" cy="3920490"/>
                          </a:xfrm>
                          <a:prstGeom prst="rect">
                            <a:avLst/>
                          </a:prstGeom>
                        </pic:spPr>
                      </pic:pic>
                    </a:graphicData>
                  </a:graphic>
                </wp:inline>
              </w:drawing>
            </w:r>
          </w:p>
          <w:p w14:paraId="3F08105F">
            <w:pPr>
              <w:widowControl w:val="0"/>
              <w:ind w:firstLine="0" w:firstLineChars="0"/>
              <w:jc w:val="center"/>
              <w:rPr>
                <w:rFonts w:eastAsiaTheme="minorEastAsia"/>
                <w:b/>
                <w:bCs/>
                <w:color w:val="000000" w:themeColor="text1"/>
                <w:kern w:val="0"/>
                <w:szCs w:val="20"/>
                <w:lang w:bidi="ar"/>
                <w14:textFill>
                  <w14:solidFill>
                    <w14:schemeClr w14:val="tx1"/>
                  </w14:solidFill>
                </w14:textFill>
              </w:rPr>
            </w:pPr>
            <w:r>
              <w:rPr>
                <w:rFonts w:hint="eastAsia" w:eastAsiaTheme="minorEastAsia"/>
                <w:b/>
                <w:bCs/>
                <w:color w:val="000000" w:themeColor="text1"/>
                <w:kern w:val="0"/>
                <w:szCs w:val="20"/>
                <w:lang w:bidi="ar"/>
                <w14:textFill>
                  <w14:solidFill>
                    <w14:schemeClr w14:val="tx1"/>
                  </w14:solidFill>
                </w14:textFill>
              </w:rPr>
              <w:t>图4  免烧砖工艺流程图</w:t>
            </w:r>
          </w:p>
          <w:p w14:paraId="3368E2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（2）免烧砖</w:t>
            </w:r>
          </w:p>
          <w:p w14:paraId="59BEA3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①破碎筛分</w:t>
            </w:r>
          </w:p>
          <w:p w14:paraId="018D857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煤矸石经破碎系统破碎后，大块物料堆放在机内特设的中部担条上，经破碎后粒度大于要求的物料随新物料沿锤头切线方向打向反击板再次破碎，从而使粗、中碎一步到位，通过不同粒径的篦板筛选出符合要求的不同粒径（0~2.5mm、2.5~5mm、5~10mm）的煤矸石骨料，经皮带传输机输送至原料配料仓，计量后进入搅拌制砖系统，煤矸石卸车、破碎、筛分均在全封闭生产车间内进行，投料选用下沉式投料口。</w:t>
            </w:r>
          </w:p>
          <w:p w14:paraId="2D4520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②底料计量</w:t>
            </w:r>
          </w:p>
          <w:p w14:paraId="4FF926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底料主要包括普通水泥、骨料（砂子、煤泥、煤矸石骨料）、水。生产过程中需要的水泥采用密闭的水泥罐车运输至厂区，然后将混凝土罐车的输送管路与水泥筒仓进料管路相连，通过水泥罐车的气体压力将罐内水泥输送至水泥筒仓。生产时，开启蝶阀，通过螺旋输送机将粉料运输到称量斗进行计量称重，称量按底料的配比误差进行扣称，称好的水泥由水泥称量斗下的汽缸开启蝶阀滑入搅拌机搅拌。生产过程中使用的砂子储存于搅拌制砖车间北侧，使用装载机拉运至原料计量仓，计量后皮带输送至搅拌工序。生产过程中使用的煤矸石骨料使用皮带传输机传输至原料计量，计量后皮带输送至搅拌工序。</w:t>
            </w:r>
          </w:p>
          <w:p w14:paraId="243D3C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③搅拌</w:t>
            </w:r>
          </w:p>
          <w:p w14:paraId="5C555A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水泥、骨料（砂子、煤泥、煤矸石骨料）、水在搅拌机内，通过两根相互反转的搅拌轴搅拌下，受到桨片周向、径向、轴向力的作用，使物料一边相互产生挤压、摩擦、剪切、对流从而进行强烈的拌合，一边向出料口推移，当物料到达机内的出料口时，各种物料己相互得到均匀的拌合，并具有压实所需要的含水量。</w:t>
            </w:r>
          </w:p>
          <w:p w14:paraId="51896D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④压制成型</w:t>
            </w:r>
          </w:p>
          <w:p w14:paraId="202FFC2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将搅拌均匀的混和原料经皮带传输机传输至砌块成型机的模腔中，经成型机加压成型，项目成型主机模腔可安装不同的模具，根据生产需求，配套设置有标砖、路缘石、路面砖、工字路面砖模具。压制成型的湿砖坯使用叠板机运输至养护区。</w:t>
            </w:r>
          </w:p>
          <w:p w14:paraId="6BE817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项目路面砖和工字砖有40%为彩色砖，将颜料铺在装好原料的模腔表面，经成型机压制成型。</w:t>
            </w:r>
          </w:p>
          <w:p w14:paraId="41ED1FE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⑤养护</w:t>
            </w:r>
          </w:p>
          <w:p w14:paraId="40EC9BA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多功能地面砖、标砖均采用自然养护，采用喷水养护，喷水养护时间视气温高低和干湿状况随机掌握，一般在天热、干燥时一天浇水2（早晚各1次），雨天或者天冷时一天浇水1次，可随机掌握，养护好的产品经过出厂检验合格后，即可作为成品贮存或装车外运。</w:t>
            </w:r>
          </w:p>
          <w:p w14:paraId="501B65B9">
            <w:pPr>
              <w:adjustRightInd/>
              <w:snapToGrid/>
              <w:ind w:firstLine="480"/>
              <w:rPr>
                <w:color w:val="000000" w:themeColor="text1"/>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010150" cy="5972175"/>
                  <wp:effectExtent l="0" t="0" r="6350" b="952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21"/>
                          <a:stretch>
                            <a:fillRect/>
                          </a:stretch>
                        </pic:blipFill>
                        <pic:spPr>
                          <a:xfrm>
                            <a:off x="0" y="0"/>
                            <a:ext cx="5010150" cy="5972175"/>
                          </a:xfrm>
                          <a:prstGeom prst="rect">
                            <a:avLst/>
                          </a:prstGeom>
                          <a:noFill/>
                          <a:ln>
                            <a:noFill/>
                          </a:ln>
                        </pic:spPr>
                      </pic:pic>
                    </a:graphicData>
                  </a:graphic>
                </wp:inline>
              </w:drawing>
            </w:r>
          </w:p>
          <w:p w14:paraId="461A5C2C">
            <w:pPr>
              <w:adjustRightInd/>
              <w:snapToGrid/>
              <w:ind w:firstLine="480"/>
              <w:rPr>
                <w:color w:val="000000" w:themeColor="text1"/>
                <w:szCs w:val="24"/>
                <w14:textFill>
                  <w14:solidFill>
                    <w14:schemeClr w14:val="tx1"/>
                  </w14:solidFill>
                </w14:textFill>
              </w:rPr>
            </w:pPr>
          </w:p>
          <w:p w14:paraId="7A360716">
            <w:pPr>
              <w:ind w:firstLine="482"/>
              <w:jc w:val="center"/>
              <w:rPr>
                <w:color w:val="000000" w:themeColor="text1"/>
                <w:szCs w:val="24"/>
                <w14:textFill>
                  <w14:solidFill>
                    <w14:schemeClr w14:val="tx1"/>
                  </w14:solidFill>
                </w14:textFill>
              </w:rPr>
            </w:pPr>
            <w:r>
              <w:rPr>
                <w:b/>
                <w:bCs/>
                <w:color w:val="000000" w:themeColor="text1"/>
                <w14:textFill>
                  <w14:solidFill>
                    <w14:schemeClr w14:val="tx1"/>
                  </w14:solidFill>
                </w14:textFill>
              </w:rPr>
              <w:t>图</w:t>
            </w:r>
            <w:r>
              <w:rPr>
                <w:rFonts w:hint="eastAsia"/>
                <w:b/>
                <w:bCs/>
                <w:color w:val="000000" w:themeColor="text1"/>
                <w14:textFill>
                  <w14:solidFill>
                    <w14:schemeClr w14:val="tx1"/>
                  </w14:solidFill>
                </w14:textFill>
              </w:rPr>
              <w:t>5</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 路面砖、工字砖</w:t>
            </w:r>
            <w:r>
              <w:rPr>
                <w:b/>
                <w:bCs/>
                <w:color w:val="000000" w:themeColor="text1"/>
                <w14:textFill>
                  <w14:solidFill>
                    <w14:schemeClr w14:val="tx1"/>
                  </w14:solidFill>
                </w14:textFill>
              </w:rPr>
              <w:t>生产工艺流程及</w:t>
            </w:r>
            <w:r>
              <w:rPr>
                <w:rFonts w:hint="eastAsia"/>
                <w:b/>
                <w:bCs/>
                <w:color w:val="000000" w:themeColor="text1"/>
                <w14:textFill>
                  <w14:solidFill>
                    <w14:schemeClr w14:val="tx1"/>
                  </w14:solidFill>
                </w14:textFill>
              </w:rPr>
              <w:t>产污</w:t>
            </w:r>
            <w:r>
              <w:rPr>
                <w:b/>
                <w:bCs/>
                <w:color w:val="000000" w:themeColor="text1"/>
                <w14:textFill>
                  <w14:solidFill>
                    <w14:schemeClr w14:val="tx1"/>
                  </w14:solidFill>
                </w14:textFill>
              </w:rPr>
              <w:t>环节图</w:t>
            </w:r>
            <w:r>
              <w:rPr>
                <w:color w:val="000000" w:themeColor="text1"/>
                <w14:textFill>
                  <w14:solidFill>
                    <w14:schemeClr w14:val="tx1"/>
                  </w14:solidFill>
                </w14:textFill>
              </w:rPr>
              <w:drawing>
                <wp:inline distT="0" distB="0" distL="114300" distR="114300">
                  <wp:extent cx="5305425" cy="5686425"/>
                  <wp:effectExtent l="0" t="0" r="3175" b="3175"/>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22"/>
                          <a:stretch>
                            <a:fillRect/>
                          </a:stretch>
                        </pic:blipFill>
                        <pic:spPr>
                          <a:xfrm>
                            <a:off x="0" y="0"/>
                            <a:ext cx="5305425" cy="5686425"/>
                          </a:xfrm>
                          <a:prstGeom prst="rect">
                            <a:avLst/>
                          </a:prstGeom>
                          <a:noFill/>
                          <a:ln>
                            <a:noFill/>
                          </a:ln>
                        </pic:spPr>
                      </pic:pic>
                    </a:graphicData>
                  </a:graphic>
                </wp:inline>
              </w:drawing>
            </w:r>
          </w:p>
          <w:p w14:paraId="05BAD134">
            <w:pPr>
              <w:adjustRightInd/>
              <w:snapToGrid/>
              <w:ind w:firstLine="480"/>
              <w:rPr>
                <w:color w:val="000000" w:themeColor="text1"/>
                <w:szCs w:val="24"/>
                <w14:textFill>
                  <w14:solidFill>
                    <w14:schemeClr w14:val="tx1"/>
                  </w14:solidFill>
                </w14:textFill>
              </w:rPr>
            </w:pPr>
          </w:p>
          <w:p w14:paraId="6AF87541">
            <w:pPr>
              <w:ind w:firstLine="482"/>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图6  项目标砖、路缘砖生产工艺流程及排污节点图</w:t>
            </w:r>
          </w:p>
          <w:p w14:paraId="58B735C0">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3、机制砂</w:t>
            </w:r>
          </w:p>
          <w:p w14:paraId="0795D966">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①备料工序</w:t>
            </w:r>
          </w:p>
          <w:p w14:paraId="1AC1DEF2">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外购原料煤矸石采用自卸汽车运至厂区密闭原料棚存储，原料采用铲车铲入给料机。</w:t>
            </w:r>
          </w:p>
          <w:p w14:paraId="1A92A8EE">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该工序产生的污染物主要为装卸、转载过程产生的无组织粉尘。</w:t>
            </w:r>
          </w:p>
          <w:p w14:paraId="07678316">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②煤矸石制砂工序</w:t>
            </w:r>
          </w:p>
          <w:p w14:paraId="291CA78E">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从给料机出来的煤矸石经过输送机输送至破碎机破碎，破碎机的排料进入多层分级振动筛（上层筛板筛孔20mm，中层筛板5mm，下层筛板2.5mm）进行筛分，下层筛筛下物为粒径小于2.5mm的粉面，下层筛上物为2.5mm-5mm的机制砂，中层筛上物为5-20mm的小料，上层筛筛上物为大于20mm的中料，制砂过程中不涉及水洗工序。</w:t>
            </w:r>
          </w:p>
          <w:p w14:paraId="4B54ADC7">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该工序产生的污染物主要为筛分破碎粉尘、除尘器收尘灰及设备运行噪声。</w:t>
            </w:r>
          </w:p>
          <w:p w14:paraId="0A9B982B">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③储运工序</w:t>
            </w:r>
          </w:p>
          <w:p w14:paraId="0E295A2E">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项目产品机制砂和粗骨料经密闭皮带机送入产品棚存储，项目产品采用密闭汽车运输出厂。</w:t>
            </w:r>
          </w:p>
          <w:p w14:paraId="63753ECC">
            <w:pPr>
              <w:ind w:firstLine="484"/>
              <w:rPr>
                <w:color w:val="000000" w:themeColor="text1"/>
                <w:spacing w:val="1"/>
                <w:szCs w:val="24"/>
                <w14:textFill>
                  <w14:solidFill>
                    <w14:schemeClr w14:val="tx1"/>
                  </w14:solidFill>
                </w14:textFill>
              </w:rPr>
            </w:pPr>
            <w:r>
              <w:rPr>
                <w:rFonts w:hint="eastAsia"/>
                <w:color w:val="000000" w:themeColor="text1"/>
                <w:spacing w:val="1"/>
                <w:szCs w:val="24"/>
                <w14:textFill>
                  <w14:solidFill>
                    <w14:schemeClr w14:val="tx1"/>
                  </w14:solidFill>
                </w14:textFill>
              </w:rPr>
              <w:t>该工序产生的污染物主要为装卸过程中产生的无组织粉尘。</w:t>
            </w:r>
          </w:p>
          <w:p w14:paraId="23F6F8C5">
            <w:pPr>
              <w:pStyle w:val="1307"/>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309.65pt;width:330.85pt;" o:ole="t" filled="f" o:preferrelative="t" stroked="f" coordsize="21600,21600">
                  <v:path/>
                  <v:fill on="f" focussize="0,0"/>
                  <v:stroke on="f"/>
                  <v:imagedata r:id="rId24" o:title=""/>
                  <o:lock v:ext="edit" aspectratio="t"/>
                  <w10:wrap type="none"/>
                  <w10:anchorlock/>
                </v:shape>
                <o:OLEObject Type="Embed" ProgID="Visio.Drawing.11" ShapeID="_x0000_i1026" DrawAspect="Content" ObjectID="_1468075726" r:id="rId23">
                  <o:LockedField>false</o:LockedField>
                </o:OLEObject>
              </w:object>
            </w:r>
          </w:p>
          <w:p w14:paraId="54B25D2E">
            <w:pPr>
              <w:ind w:firstLine="482"/>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图7  机制砂生产线工艺流程及产物环节图</w:t>
            </w:r>
          </w:p>
          <w:p w14:paraId="59AD8FB7">
            <w:pPr>
              <w:ind w:firstLine="0" w:firstLineChars="0"/>
              <w:jc w:val="center"/>
              <w:rPr>
                <w:rFonts w:hint="eastAsia" w:asciiTheme="minorEastAsia" w:hAnsiTheme="minorEastAsia" w:eastAsiaTheme="minorEastAsia" w:cstheme="minorEastAsia"/>
                <w:b/>
                <w:bCs/>
                <w:color w:val="000000" w:themeColor="text1"/>
                <w14:textFill>
                  <w14:solidFill>
                    <w14:schemeClr w14:val="tx1"/>
                  </w14:solidFill>
                </w14:textFill>
              </w:rPr>
            </w:pPr>
          </w:p>
        </w:tc>
      </w:tr>
      <w:tr w14:paraId="35BC72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5" w:hRule="atLeast"/>
          <w:jc w:val="center"/>
        </w:trPr>
        <w:tc>
          <w:tcPr>
            <w:tcW w:w="764" w:type="dxa"/>
            <w:vAlign w:val="center"/>
          </w:tcPr>
          <w:p w14:paraId="335529AA">
            <w:pPr>
              <w:spacing w:line="240" w:lineRule="auto"/>
              <w:ind w:firstLine="0" w:firstLineChars="0"/>
              <w:jc w:val="center"/>
              <w:rPr>
                <w:rFonts w:hint="eastAsia" w:asciiTheme="minorEastAsia" w:hAnsiTheme="minorEastAsia" w:eastAsiaTheme="minorEastAsia" w:cstheme="minorEastAsia"/>
                <w:b/>
                <w:bCs/>
                <w:color w:val="000000" w:themeColor="text1"/>
                <w:kern w:val="0"/>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4"/>
                <w14:textFill>
                  <w14:solidFill>
                    <w14:schemeClr w14:val="tx1"/>
                  </w14:solidFill>
                </w14:textFill>
              </w:rPr>
              <w:t>与项目有关的原有环境污染问题</w:t>
            </w:r>
          </w:p>
        </w:tc>
        <w:tc>
          <w:tcPr>
            <w:tcW w:w="8522" w:type="dxa"/>
          </w:tcPr>
          <w:p w14:paraId="652C2F9A">
            <w:pPr>
              <w:ind w:firstLine="482"/>
              <w:rPr>
                <w:rFonts w:eastAsiaTheme="minorEastAsia"/>
                <w:b/>
                <w:bCs/>
                <w:color w:val="000000" w:themeColor="text1"/>
                <w14:textFill>
                  <w14:solidFill>
                    <w14:schemeClr w14:val="tx1"/>
                  </w14:solidFill>
                </w14:textFill>
              </w:rPr>
            </w:pPr>
            <w:r>
              <w:rPr>
                <w:rFonts w:eastAsiaTheme="minorEastAsia"/>
                <w:b/>
                <w:bCs/>
                <w:color w:val="000000" w:themeColor="text1"/>
                <w14:textFill>
                  <w14:solidFill>
                    <w14:schemeClr w14:val="tx1"/>
                  </w14:solidFill>
                </w14:textFill>
              </w:rPr>
              <w:t>1.原有项目手续办理情况</w:t>
            </w:r>
          </w:p>
          <w:p w14:paraId="6B2B26C5">
            <w:pPr>
              <w:widowControl w:val="0"/>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原有项目环保手续履行情况如下表。</w:t>
            </w:r>
          </w:p>
          <w:p w14:paraId="717B4F1F">
            <w:pPr>
              <w:pStyle w:val="312"/>
              <w:widowControl w:val="0"/>
              <w:numPr>
                <w:ilvl w:val="0"/>
                <w:numId w:val="14"/>
              </w:numPr>
              <w:spacing w:line="240" w:lineRule="auto"/>
              <w:ind w:left="0" w:firstLine="482"/>
              <w:rPr>
                <w:rFonts w:eastAsiaTheme="minorEastAsia"/>
                <w:b/>
                <w:color w:val="000000" w:themeColor="text1"/>
                <w:szCs w:val="20"/>
                <w14:textFill>
                  <w14:solidFill>
                    <w14:schemeClr w14:val="tx1"/>
                  </w14:solidFill>
                </w14:textFill>
              </w:rPr>
            </w:pPr>
            <w:r>
              <w:rPr>
                <w:rFonts w:eastAsiaTheme="minorEastAsia"/>
                <w:b/>
                <w:color w:val="000000" w:themeColor="text1"/>
                <w:szCs w:val="20"/>
                <w14:textFill>
                  <w14:solidFill>
                    <w14:schemeClr w14:val="tx1"/>
                  </w14:solidFill>
                </w14:textFill>
              </w:rPr>
              <w:t xml:space="preserve">           原有项目环保手续履行情况一览表</w:t>
            </w:r>
          </w:p>
          <w:tbl>
            <w:tblPr>
              <w:tblStyle w:val="8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648"/>
              <w:gridCol w:w="1481"/>
              <w:gridCol w:w="2748"/>
              <w:gridCol w:w="1162"/>
            </w:tblGrid>
            <w:tr w14:paraId="7647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14:paraId="22974655">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序号</w:t>
                  </w:r>
                </w:p>
              </w:tc>
              <w:tc>
                <w:tcPr>
                  <w:tcW w:w="1564" w:type="pct"/>
                  <w:vAlign w:val="center"/>
                </w:tcPr>
                <w:p w14:paraId="2071FE47">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名称</w:t>
                  </w:r>
                </w:p>
              </w:tc>
              <w:tc>
                <w:tcPr>
                  <w:tcW w:w="875" w:type="pct"/>
                  <w:vAlign w:val="center"/>
                </w:tcPr>
                <w:p w14:paraId="5034A3A3">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批准部门</w:t>
                  </w:r>
                </w:p>
              </w:tc>
              <w:tc>
                <w:tcPr>
                  <w:tcW w:w="1622" w:type="pct"/>
                  <w:vAlign w:val="center"/>
                </w:tcPr>
                <w:p w14:paraId="0E7686C0">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批准文号</w:t>
                  </w:r>
                </w:p>
              </w:tc>
              <w:tc>
                <w:tcPr>
                  <w:tcW w:w="685" w:type="pct"/>
                  <w:vAlign w:val="center"/>
                </w:tcPr>
                <w:p w14:paraId="741C21C1">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时间</w:t>
                  </w:r>
                </w:p>
              </w:tc>
            </w:tr>
            <w:tr w14:paraId="02AC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14:paraId="2EFFDBCC">
                  <w:pPr>
                    <w:pStyle w:val="144"/>
                    <w:textAlignment w:val="baseline"/>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1</w:t>
                  </w:r>
                </w:p>
              </w:tc>
              <w:tc>
                <w:tcPr>
                  <w:tcW w:w="1564" w:type="pct"/>
                  <w:vAlign w:val="center"/>
                </w:tcPr>
                <w:p w14:paraId="289FEA3E">
                  <w:pPr>
                    <w:pStyle w:val="144"/>
                    <w:jc w:val="left"/>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新建300万吨/年矿物固度煤矸石综合处置再利用项目环境影响报告表</w:t>
                  </w:r>
                </w:p>
              </w:tc>
              <w:tc>
                <w:tcPr>
                  <w:tcW w:w="875" w:type="pct"/>
                  <w:vAlign w:val="center"/>
                </w:tcPr>
                <w:p w14:paraId="19EA0ACB">
                  <w:pPr>
                    <w:pStyle w:val="144"/>
                    <w:jc w:val="left"/>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榆林市生态环境局榆阳分局</w:t>
                  </w:r>
                </w:p>
              </w:tc>
              <w:tc>
                <w:tcPr>
                  <w:tcW w:w="1622" w:type="pct"/>
                  <w:vAlign w:val="center"/>
                </w:tcPr>
                <w:p w14:paraId="42ACBF0D">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榆区环发〔2022〕119号</w:t>
                  </w:r>
                </w:p>
              </w:tc>
              <w:tc>
                <w:tcPr>
                  <w:tcW w:w="685" w:type="pct"/>
                  <w:vAlign w:val="center"/>
                </w:tcPr>
                <w:p w14:paraId="782A1D20">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2022.07.19</w:t>
                  </w:r>
                </w:p>
              </w:tc>
            </w:tr>
            <w:tr w14:paraId="6587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vAlign w:val="center"/>
                </w:tcPr>
                <w:p w14:paraId="28D773D6">
                  <w:pPr>
                    <w:pStyle w:val="144"/>
                    <w:textAlignment w:val="baseline"/>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2</w:t>
                  </w:r>
                </w:p>
              </w:tc>
              <w:tc>
                <w:tcPr>
                  <w:tcW w:w="1564" w:type="pct"/>
                  <w:vAlign w:val="center"/>
                </w:tcPr>
                <w:p w14:paraId="6C839788">
                  <w:pPr>
                    <w:pStyle w:val="144"/>
                    <w:jc w:val="left"/>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新建300万吨/年矿物固度煤矸石综合处置再利用项目竣工环境保护验收监测报告表</w:t>
                  </w:r>
                </w:p>
              </w:tc>
              <w:tc>
                <w:tcPr>
                  <w:tcW w:w="875" w:type="pct"/>
                  <w:vAlign w:val="center"/>
                </w:tcPr>
                <w:p w14:paraId="0F59357E">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自主验收</w:t>
                  </w:r>
                </w:p>
              </w:tc>
              <w:tc>
                <w:tcPr>
                  <w:tcW w:w="1622" w:type="pct"/>
                  <w:vAlign w:val="center"/>
                </w:tcPr>
                <w:p w14:paraId="6C65EAA1">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w:t>
                  </w:r>
                </w:p>
              </w:tc>
              <w:tc>
                <w:tcPr>
                  <w:tcW w:w="685" w:type="pct"/>
                  <w:vAlign w:val="center"/>
                </w:tcPr>
                <w:p w14:paraId="1CE703BF">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2022.09</w:t>
                  </w:r>
                </w:p>
              </w:tc>
            </w:tr>
            <w:tr w14:paraId="1BFA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51" w:type="pct"/>
                  <w:vAlign w:val="center"/>
                </w:tcPr>
                <w:p w14:paraId="1B6761BF">
                  <w:pPr>
                    <w:pStyle w:val="144"/>
                    <w:textAlignment w:val="baseline"/>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eastAsiaTheme="minorEastAsia"/>
                      <w:color w:val="000000" w:themeColor="text1"/>
                      <w:szCs w:val="21"/>
                      <w:lang w:val="en-US" w:eastAsia="zh-CN"/>
                      <w14:textFill>
                        <w14:solidFill>
                          <w14:schemeClr w14:val="tx1"/>
                        </w14:solidFill>
                      </w14:textFill>
                    </w:rPr>
                    <w:t>3</w:t>
                  </w:r>
                </w:p>
              </w:tc>
              <w:tc>
                <w:tcPr>
                  <w:tcW w:w="1564" w:type="pct"/>
                  <w:vAlign w:val="center"/>
                </w:tcPr>
                <w:p w14:paraId="681DA118">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排污许可证</w:t>
                  </w:r>
                </w:p>
              </w:tc>
              <w:tc>
                <w:tcPr>
                  <w:tcW w:w="875" w:type="pct"/>
                  <w:vAlign w:val="center"/>
                </w:tcPr>
                <w:p w14:paraId="53BA0536">
                  <w:pPr>
                    <w:pStyle w:val="144"/>
                    <w:jc w:val="left"/>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榆林市生态环境局</w:t>
                  </w:r>
                </w:p>
              </w:tc>
              <w:tc>
                <w:tcPr>
                  <w:tcW w:w="1622" w:type="pct"/>
                  <w:vAlign w:val="center"/>
                </w:tcPr>
                <w:p w14:paraId="2266CD3F">
                  <w:pPr>
                    <w:pStyle w:val="144"/>
                    <w:jc w:val="left"/>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证书编号：91610800MA70EFB74J001V</w:t>
                  </w:r>
                </w:p>
              </w:tc>
              <w:tc>
                <w:tcPr>
                  <w:tcW w:w="685" w:type="pct"/>
                  <w:vAlign w:val="center"/>
                </w:tcPr>
                <w:p w14:paraId="5CDCC18D">
                  <w:pPr>
                    <w:pStyle w:val="144"/>
                    <w:textAlignment w:val="baseline"/>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2022.08.10</w:t>
                  </w:r>
                </w:p>
              </w:tc>
            </w:tr>
          </w:tbl>
          <w:p w14:paraId="67768D15">
            <w:pPr>
              <w:ind w:firstLine="482"/>
              <w:rPr>
                <w:rFonts w:eastAsiaTheme="minorEastAsia"/>
                <w:color w:val="000000" w:themeColor="text1"/>
                <w14:textFill>
                  <w14:solidFill>
                    <w14:schemeClr w14:val="tx1"/>
                  </w14:solidFill>
                </w14:textFill>
              </w:rPr>
            </w:pPr>
            <w:r>
              <w:rPr>
                <w:rFonts w:eastAsiaTheme="minorEastAsia"/>
                <w:b/>
                <w:bCs/>
                <w:color w:val="000000" w:themeColor="text1"/>
                <w14:textFill>
                  <w14:solidFill>
                    <w14:schemeClr w14:val="tx1"/>
                  </w14:solidFill>
                </w14:textFill>
              </w:rPr>
              <w:t>2.原有项目污染物排放情况</w:t>
            </w:r>
          </w:p>
          <w:p w14:paraId="4A0F485A">
            <w:pPr>
              <w:widowControl w:val="0"/>
              <w:ind w:firstLine="480"/>
              <w:rPr>
                <w:rFonts w:eastAsiaTheme="minorEastAsia"/>
                <w:color w:val="000000" w:themeColor="text1"/>
                <w:szCs w:val="20"/>
                <w:highlight w:val="none"/>
                <w14:textFill>
                  <w14:solidFill>
                    <w14:schemeClr w14:val="tx1"/>
                  </w14:solidFill>
                </w14:textFill>
              </w:rPr>
            </w:pPr>
            <w:r>
              <w:rPr>
                <w:rFonts w:eastAsiaTheme="minorEastAsia"/>
                <w:color w:val="000000" w:themeColor="text1"/>
                <w:szCs w:val="20"/>
                <w:highlight w:val="none"/>
                <w14:textFill>
                  <w14:solidFill>
                    <w14:schemeClr w14:val="tx1"/>
                  </w14:solidFill>
                </w14:textFill>
              </w:rPr>
              <w:t>原有项目污染物排放量核算采用《新建300万吨/年矿物固废煤矸石综合处置再利用项目竣工环境保护验收监测报告表》中有关数据，无组织粉尘产生量参照《新建300万吨/年矿物固废煤矸石综合处置再利用项目环境影响报告表》中核算量。</w:t>
            </w:r>
          </w:p>
          <w:p w14:paraId="475789D9">
            <w:pPr>
              <w:pStyle w:val="312"/>
              <w:widowControl w:val="0"/>
              <w:numPr>
                <w:ilvl w:val="0"/>
                <w:numId w:val="14"/>
              </w:numPr>
              <w:spacing w:line="240" w:lineRule="auto"/>
              <w:ind w:left="0" w:firstLine="482"/>
              <w:rPr>
                <w:rFonts w:eastAsiaTheme="minorEastAsia"/>
                <w:b/>
                <w:color w:val="000000" w:themeColor="text1"/>
                <w:szCs w:val="20"/>
                <w:highlight w:val="none"/>
                <w14:textFill>
                  <w14:solidFill>
                    <w14:schemeClr w14:val="tx1"/>
                  </w14:solidFill>
                </w14:textFill>
              </w:rPr>
            </w:pPr>
            <w:r>
              <w:rPr>
                <w:rFonts w:eastAsiaTheme="minorEastAsia"/>
                <w:b/>
                <w:color w:val="000000" w:themeColor="text1"/>
                <w:szCs w:val="20"/>
                <w:highlight w:val="none"/>
                <w14:textFill>
                  <w14:solidFill>
                    <w14:schemeClr w14:val="tx1"/>
                  </w14:solidFill>
                </w14:textFill>
              </w:rPr>
              <w:tab/>
            </w:r>
            <w:r>
              <w:rPr>
                <w:rFonts w:eastAsiaTheme="minorEastAsia"/>
                <w:b/>
                <w:color w:val="000000" w:themeColor="text1"/>
                <w:szCs w:val="20"/>
                <w:highlight w:val="none"/>
                <w14:textFill>
                  <w14:solidFill>
                    <w14:schemeClr w14:val="tx1"/>
                  </w14:solidFill>
                </w14:textFill>
              </w:rPr>
              <w:t xml:space="preserve">           原有项目污染物排放一览表</w:t>
            </w:r>
          </w:p>
          <w:tbl>
            <w:tblPr>
              <w:tblStyle w:val="8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954"/>
              <w:gridCol w:w="1911"/>
              <w:gridCol w:w="4150"/>
            </w:tblGrid>
            <w:tr w14:paraId="692A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tcBorders>
                    <w:tl2br w:val="nil"/>
                    <w:tr2bl w:val="nil"/>
                  </w:tcBorders>
                  <w:vAlign w:val="center"/>
                </w:tcPr>
                <w:p w14:paraId="04502BEB">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类型</w:t>
                  </w:r>
                </w:p>
              </w:tc>
              <w:tc>
                <w:tcPr>
                  <w:tcW w:w="1691" w:type="pct"/>
                  <w:gridSpan w:val="2"/>
                  <w:tcBorders>
                    <w:tl2br w:val="nil"/>
                    <w:tr2bl w:val="nil"/>
                  </w:tcBorders>
                  <w:vAlign w:val="center"/>
                </w:tcPr>
                <w:p w14:paraId="12B180EF">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污染物</w:t>
                  </w:r>
                </w:p>
              </w:tc>
              <w:tc>
                <w:tcPr>
                  <w:tcW w:w="2449" w:type="pct"/>
                  <w:tcBorders>
                    <w:tl2br w:val="nil"/>
                    <w:tr2bl w:val="nil"/>
                  </w:tcBorders>
                  <w:vAlign w:val="center"/>
                </w:tcPr>
                <w:p w14:paraId="3EAC0AE5">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排放量/固废产生量（t/a）</w:t>
                  </w:r>
                </w:p>
              </w:tc>
            </w:tr>
            <w:tr w14:paraId="7541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859" w:type="pct"/>
                  <w:vMerge w:val="restart"/>
                  <w:tcBorders>
                    <w:tl2br w:val="nil"/>
                    <w:tr2bl w:val="nil"/>
                  </w:tcBorders>
                  <w:vAlign w:val="center"/>
                </w:tcPr>
                <w:p w14:paraId="28B82CB6">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废气</w:t>
                  </w:r>
                </w:p>
              </w:tc>
              <w:tc>
                <w:tcPr>
                  <w:tcW w:w="563" w:type="pct"/>
                  <w:vMerge w:val="restart"/>
                  <w:tcBorders>
                    <w:tl2br w:val="nil"/>
                    <w:tr2bl w:val="nil"/>
                  </w:tcBorders>
                  <w:vAlign w:val="center"/>
                </w:tcPr>
                <w:p w14:paraId="3C980AF3">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有组织</w:t>
                  </w:r>
                </w:p>
              </w:tc>
              <w:tc>
                <w:tcPr>
                  <w:tcW w:w="1128" w:type="pct"/>
                  <w:tcBorders>
                    <w:tl2br w:val="nil"/>
                    <w:tr2bl w:val="nil"/>
                  </w:tcBorders>
                  <w:vAlign w:val="center"/>
                </w:tcPr>
                <w:p w14:paraId="2FE8D509">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二氧化硫</w:t>
                  </w:r>
                </w:p>
              </w:tc>
              <w:tc>
                <w:tcPr>
                  <w:tcW w:w="2449" w:type="pct"/>
                  <w:tcBorders>
                    <w:tl2br w:val="nil"/>
                    <w:tr2bl w:val="nil"/>
                  </w:tcBorders>
                  <w:vAlign w:val="center"/>
                </w:tcPr>
                <w:p w14:paraId="12417C0F">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20.15</w:t>
                  </w:r>
                </w:p>
              </w:tc>
            </w:tr>
            <w:tr w14:paraId="2A18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859" w:type="pct"/>
                  <w:vMerge w:val="continue"/>
                  <w:tcBorders>
                    <w:tl2br w:val="nil"/>
                    <w:tr2bl w:val="nil"/>
                  </w:tcBorders>
                  <w:vAlign w:val="center"/>
                </w:tcPr>
                <w:p w14:paraId="5C43BBF4">
                  <w:pPr>
                    <w:pStyle w:val="144"/>
                    <w:textAlignment w:val="baseline"/>
                    <w:rPr>
                      <w:rFonts w:ascii="Times New Roman" w:hAnsi="Times New Roman" w:eastAsiaTheme="minorEastAsia"/>
                      <w:color w:val="000000" w:themeColor="text1"/>
                      <w:highlight w:val="none"/>
                      <w14:textFill>
                        <w14:solidFill>
                          <w14:schemeClr w14:val="tx1"/>
                        </w14:solidFill>
                      </w14:textFill>
                    </w:rPr>
                  </w:pPr>
                </w:p>
              </w:tc>
              <w:tc>
                <w:tcPr>
                  <w:tcW w:w="563" w:type="pct"/>
                  <w:vMerge w:val="continue"/>
                  <w:tcBorders>
                    <w:tl2br w:val="nil"/>
                    <w:tr2bl w:val="nil"/>
                  </w:tcBorders>
                  <w:vAlign w:val="center"/>
                </w:tcPr>
                <w:p w14:paraId="2D8E6F0F">
                  <w:pPr>
                    <w:pStyle w:val="144"/>
                    <w:textAlignment w:val="baseline"/>
                    <w:rPr>
                      <w:rFonts w:ascii="Times New Roman" w:hAnsi="Times New Roman" w:eastAsiaTheme="minorEastAsia"/>
                      <w:color w:val="000000" w:themeColor="text1"/>
                      <w:highlight w:val="none"/>
                      <w14:textFill>
                        <w14:solidFill>
                          <w14:schemeClr w14:val="tx1"/>
                        </w14:solidFill>
                      </w14:textFill>
                    </w:rPr>
                  </w:pPr>
                </w:p>
              </w:tc>
              <w:tc>
                <w:tcPr>
                  <w:tcW w:w="1128" w:type="pct"/>
                  <w:tcBorders>
                    <w:tl2br w:val="nil"/>
                    <w:tr2bl w:val="nil"/>
                  </w:tcBorders>
                  <w:vAlign w:val="center"/>
                </w:tcPr>
                <w:p w14:paraId="4C47701C">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氮氧化物</w:t>
                  </w:r>
                </w:p>
              </w:tc>
              <w:tc>
                <w:tcPr>
                  <w:tcW w:w="2449" w:type="pct"/>
                  <w:tcBorders>
                    <w:tl2br w:val="nil"/>
                    <w:tr2bl w:val="nil"/>
                  </w:tcBorders>
                  <w:vAlign w:val="center"/>
                </w:tcPr>
                <w:p w14:paraId="6BA4BDF5">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48.59</w:t>
                  </w:r>
                </w:p>
              </w:tc>
            </w:tr>
            <w:tr w14:paraId="1B0F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859" w:type="pct"/>
                  <w:vMerge w:val="continue"/>
                  <w:tcBorders>
                    <w:tl2br w:val="nil"/>
                    <w:tr2bl w:val="nil"/>
                  </w:tcBorders>
                  <w:vAlign w:val="center"/>
                </w:tcPr>
                <w:p w14:paraId="015E2364">
                  <w:pPr>
                    <w:pStyle w:val="144"/>
                    <w:textAlignment w:val="baseline"/>
                    <w:rPr>
                      <w:rFonts w:ascii="Times New Roman" w:hAnsi="Times New Roman" w:eastAsiaTheme="minorEastAsia"/>
                      <w:color w:val="000000" w:themeColor="text1"/>
                      <w:highlight w:val="none"/>
                      <w14:textFill>
                        <w14:solidFill>
                          <w14:schemeClr w14:val="tx1"/>
                        </w14:solidFill>
                      </w14:textFill>
                    </w:rPr>
                  </w:pPr>
                </w:p>
              </w:tc>
              <w:tc>
                <w:tcPr>
                  <w:tcW w:w="563" w:type="pct"/>
                  <w:vMerge w:val="continue"/>
                  <w:tcBorders>
                    <w:tl2br w:val="nil"/>
                    <w:tr2bl w:val="nil"/>
                  </w:tcBorders>
                  <w:vAlign w:val="center"/>
                </w:tcPr>
                <w:p w14:paraId="138064EF">
                  <w:pPr>
                    <w:pStyle w:val="144"/>
                    <w:textAlignment w:val="baseline"/>
                    <w:rPr>
                      <w:rFonts w:ascii="Times New Roman" w:hAnsi="Times New Roman" w:eastAsiaTheme="minorEastAsia"/>
                      <w:color w:val="000000" w:themeColor="text1"/>
                      <w:highlight w:val="none"/>
                      <w14:textFill>
                        <w14:solidFill>
                          <w14:schemeClr w14:val="tx1"/>
                        </w14:solidFill>
                      </w14:textFill>
                    </w:rPr>
                  </w:pPr>
                </w:p>
              </w:tc>
              <w:tc>
                <w:tcPr>
                  <w:tcW w:w="1128" w:type="pct"/>
                  <w:tcBorders>
                    <w:tl2br w:val="nil"/>
                    <w:tr2bl w:val="nil"/>
                  </w:tcBorders>
                  <w:vAlign w:val="center"/>
                </w:tcPr>
                <w:p w14:paraId="3FACE1BE">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颗粒物</w:t>
                  </w:r>
                </w:p>
              </w:tc>
              <w:tc>
                <w:tcPr>
                  <w:tcW w:w="2449" w:type="pct"/>
                  <w:tcBorders>
                    <w:tl2br w:val="nil"/>
                    <w:tr2bl w:val="nil"/>
                  </w:tcBorders>
                  <w:vAlign w:val="center"/>
                </w:tcPr>
                <w:p w14:paraId="665D0ED9">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6.78</w:t>
                  </w:r>
                </w:p>
              </w:tc>
            </w:tr>
            <w:tr w14:paraId="7FD2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859" w:type="pct"/>
                  <w:vMerge w:val="continue"/>
                  <w:tcBorders>
                    <w:tl2br w:val="nil"/>
                    <w:tr2bl w:val="nil"/>
                  </w:tcBorders>
                  <w:vAlign w:val="center"/>
                </w:tcPr>
                <w:p w14:paraId="3FC724EF">
                  <w:pPr>
                    <w:pStyle w:val="144"/>
                    <w:textAlignment w:val="baseline"/>
                    <w:rPr>
                      <w:rFonts w:ascii="Times New Roman" w:hAnsi="Times New Roman" w:eastAsiaTheme="minorEastAsia"/>
                      <w:color w:val="000000" w:themeColor="text1"/>
                      <w:highlight w:val="none"/>
                      <w14:textFill>
                        <w14:solidFill>
                          <w14:schemeClr w14:val="tx1"/>
                        </w14:solidFill>
                      </w14:textFill>
                    </w:rPr>
                  </w:pPr>
                </w:p>
              </w:tc>
              <w:tc>
                <w:tcPr>
                  <w:tcW w:w="563" w:type="pct"/>
                  <w:vMerge w:val="continue"/>
                  <w:tcBorders>
                    <w:tl2br w:val="nil"/>
                    <w:tr2bl w:val="nil"/>
                  </w:tcBorders>
                  <w:vAlign w:val="center"/>
                </w:tcPr>
                <w:p w14:paraId="55E0C33C">
                  <w:pPr>
                    <w:pStyle w:val="144"/>
                    <w:textAlignment w:val="baseline"/>
                    <w:rPr>
                      <w:rFonts w:ascii="Times New Roman" w:hAnsi="Times New Roman" w:eastAsiaTheme="minorEastAsia"/>
                      <w:color w:val="000000" w:themeColor="text1"/>
                      <w:highlight w:val="none"/>
                      <w14:textFill>
                        <w14:solidFill>
                          <w14:schemeClr w14:val="tx1"/>
                        </w14:solidFill>
                      </w14:textFill>
                    </w:rPr>
                  </w:pPr>
                </w:p>
              </w:tc>
              <w:tc>
                <w:tcPr>
                  <w:tcW w:w="1128" w:type="pct"/>
                  <w:tcBorders>
                    <w:tl2br w:val="nil"/>
                    <w:tr2bl w:val="nil"/>
                  </w:tcBorders>
                  <w:vAlign w:val="center"/>
                </w:tcPr>
                <w:p w14:paraId="2AAEA98B">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氟化物</w:t>
                  </w:r>
                </w:p>
              </w:tc>
              <w:tc>
                <w:tcPr>
                  <w:tcW w:w="2449" w:type="pct"/>
                  <w:tcBorders>
                    <w:tl2br w:val="nil"/>
                    <w:tr2bl w:val="nil"/>
                  </w:tcBorders>
                  <w:vAlign w:val="center"/>
                </w:tcPr>
                <w:p w14:paraId="09AAFDAF">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1.44</w:t>
                  </w:r>
                </w:p>
              </w:tc>
            </w:tr>
            <w:tr w14:paraId="3E84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59" w:type="pct"/>
                  <w:vMerge w:val="continue"/>
                  <w:tcBorders>
                    <w:tl2br w:val="nil"/>
                    <w:tr2bl w:val="nil"/>
                  </w:tcBorders>
                  <w:vAlign w:val="center"/>
                </w:tcPr>
                <w:p w14:paraId="5819AEFF">
                  <w:pPr>
                    <w:pStyle w:val="144"/>
                    <w:textAlignment w:val="baseline"/>
                    <w:rPr>
                      <w:rFonts w:ascii="Times New Roman" w:hAnsi="Times New Roman" w:eastAsiaTheme="minorEastAsia"/>
                      <w:color w:val="000000" w:themeColor="text1"/>
                      <w:highlight w:val="none"/>
                      <w14:textFill>
                        <w14:solidFill>
                          <w14:schemeClr w14:val="tx1"/>
                        </w14:solidFill>
                      </w14:textFill>
                    </w:rPr>
                  </w:pPr>
                </w:p>
              </w:tc>
              <w:tc>
                <w:tcPr>
                  <w:tcW w:w="563" w:type="pct"/>
                  <w:tcBorders>
                    <w:tl2br w:val="nil"/>
                    <w:tr2bl w:val="nil"/>
                  </w:tcBorders>
                  <w:vAlign w:val="center"/>
                </w:tcPr>
                <w:p w14:paraId="6C5B41AE">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无组织</w:t>
                  </w:r>
                </w:p>
              </w:tc>
              <w:tc>
                <w:tcPr>
                  <w:tcW w:w="1128" w:type="pct"/>
                  <w:tcBorders>
                    <w:tl2br w:val="nil"/>
                    <w:tr2bl w:val="nil"/>
                  </w:tcBorders>
                  <w:vAlign w:val="center"/>
                </w:tcPr>
                <w:p w14:paraId="03F39046">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颗粒物</w:t>
                  </w:r>
                </w:p>
              </w:tc>
              <w:tc>
                <w:tcPr>
                  <w:tcW w:w="2449" w:type="pct"/>
                  <w:tcBorders>
                    <w:tl2br w:val="nil"/>
                    <w:tr2bl w:val="nil"/>
                  </w:tcBorders>
                  <w:vAlign w:val="center"/>
                </w:tcPr>
                <w:p w14:paraId="31F27BD0">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15.77</w:t>
                  </w:r>
                </w:p>
              </w:tc>
            </w:tr>
            <w:tr w14:paraId="7C0D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tcBorders>
                    <w:tl2br w:val="nil"/>
                    <w:tr2bl w:val="nil"/>
                  </w:tcBorders>
                  <w:vAlign w:val="center"/>
                </w:tcPr>
                <w:p w14:paraId="00CAEA78">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废水</w:t>
                  </w:r>
                </w:p>
              </w:tc>
              <w:tc>
                <w:tcPr>
                  <w:tcW w:w="1691" w:type="pct"/>
                  <w:gridSpan w:val="2"/>
                  <w:tcBorders>
                    <w:tl2br w:val="nil"/>
                    <w:tr2bl w:val="nil"/>
                  </w:tcBorders>
                  <w:vAlign w:val="center"/>
                </w:tcPr>
                <w:p w14:paraId="0391B259">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废水</w:t>
                  </w:r>
                </w:p>
              </w:tc>
              <w:tc>
                <w:tcPr>
                  <w:tcW w:w="2449" w:type="pct"/>
                  <w:tcBorders>
                    <w:tl2br w:val="nil"/>
                    <w:tr2bl w:val="nil"/>
                  </w:tcBorders>
                  <w:vAlign w:val="center"/>
                </w:tcPr>
                <w:p w14:paraId="0773AF04">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0</w:t>
                  </w:r>
                </w:p>
              </w:tc>
            </w:tr>
            <w:tr w14:paraId="3474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59" w:type="pct"/>
                  <w:vMerge w:val="restart"/>
                  <w:tcBorders>
                    <w:tl2br w:val="nil"/>
                    <w:tr2bl w:val="nil"/>
                  </w:tcBorders>
                  <w:vAlign w:val="center"/>
                </w:tcPr>
                <w:p w14:paraId="3DFC228F">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固废</w:t>
                  </w:r>
                </w:p>
              </w:tc>
              <w:tc>
                <w:tcPr>
                  <w:tcW w:w="1691" w:type="pct"/>
                  <w:gridSpan w:val="2"/>
                  <w:tcBorders>
                    <w:tl2br w:val="nil"/>
                    <w:tr2bl w:val="nil"/>
                  </w:tcBorders>
                  <w:vAlign w:val="center"/>
                </w:tcPr>
                <w:p w14:paraId="0CC6AF47">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生活垃圾</w:t>
                  </w:r>
                </w:p>
              </w:tc>
              <w:tc>
                <w:tcPr>
                  <w:tcW w:w="2449" w:type="pct"/>
                  <w:tcBorders>
                    <w:tl2br w:val="nil"/>
                    <w:tr2bl w:val="nil"/>
                  </w:tcBorders>
                  <w:vAlign w:val="center"/>
                </w:tcPr>
                <w:p w14:paraId="3D3EFCC7">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18</w:t>
                  </w:r>
                </w:p>
              </w:tc>
            </w:tr>
            <w:tr w14:paraId="5F36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859" w:type="pct"/>
                  <w:vMerge w:val="continue"/>
                  <w:tcBorders>
                    <w:tl2br w:val="nil"/>
                    <w:tr2bl w:val="nil"/>
                  </w:tcBorders>
                  <w:vAlign w:val="center"/>
                </w:tcPr>
                <w:p w14:paraId="679A990B">
                  <w:pPr>
                    <w:pStyle w:val="144"/>
                    <w:textAlignment w:val="baseline"/>
                    <w:rPr>
                      <w:rFonts w:ascii="Times New Roman" w:hAnsi="Times New Roman" w:eastAsiaTheme="minorEastAsia"/>
                      <w:color w:val="000000" w:themeColor="text1"/>
                      <w:highlight w:val="none"/>
                      <w14:textFill>
                        <w14:solidFill>
                          <w14:schemeClr w14:val="tx1"/>
                        </w14:solidFill>
                      </w14:textFill>
                    </w:rPr>
                  </w:pPr>
                </w:p>
              </w:tc>
              <w:tc>
                <w:tcPr>
                  <w:tcW w:w="1691" w:type="pct"/>
                  <w:gridSpan w:val="2"/>
                  <w:tcBorders>
                    <w:tl2br w:val="nil"/>
                    <w:tr2bl w:val="nil"/>
                  </w:tcBorders>
                  <w:vAlign w:val="center"/>
                </w:tcPr>
                <w:p w14:paraId="30EE1908">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废机油、废油桶</w:t>
                  </w:r>
                </w:p>
              </w:tc>
              <w:tc>
                <w:tcPr>
                  <w:tcW w:w="2449" w:type="pct"/>
                  <w:tcBorders>
                    <w:tl2br w:val="nil"/>
                    <w:tr2bl w:val="nil"/>
                  </w:tcBorders>
                  <w:vAlign w:val="center"/>
                </w:tcPr>
                <w:p w14:paraId="3943202C">
                  <w:pPr>
                    <w:pStyle w:val="144"/>
                    <w:textAlignment w:val="baseline"/>
                    <w:rPr>
                      <w:rFonts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1.5</w:t>
                  </w:r>
                </w:p>
              </w:tc>
            </w:tr>
          </w:tbl>
          <w:p w14:paraId="382E5F23">
            <w:pPr>
              <w:ind w:firstLine="482"/>
              <w:rPr>
                <w:rFonts w:eastAsiaTheme="minorEastAsia"/>
                <w:b/>
                <w:bCs/>
                <w:color w:val="000000" w:themeColor="text1"/>
                <w14:textFill>
                  <w14:solidFill>
                    <w14:schemeClr w14:val="tx1"/>
                  </w14:solidFill>
                </w14:textFill>
              </w:rPr>
            </w:pPr>
            <w:r>
              <w:rPr>
                <w:rFonts w:eastAsiaTheme="minorEastAsia"/>
                <w:b/>
                <w:bCs/>
                <w:color w:val="000000" w:themeColor="text1"/>
                <w14:textFill>
                  <w14:solidFill>
                    <w14:schemeClr w14:val="tx1"/>
                  </w14:solidFill>
                </w14:textFill>
              </w:rPr>
              <w:t>3.总量购买</w:t>
            </w:r>
          </w:p>
          <w:p w14:paraId="66048812">
            <w:pPr>
              <w:widowControl w:val="0"/>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企业所需指标已于环境权交易平台取得，2022年8月1日榆林市生态环境局以榆政环交易函[2022]18号出具陕西汇荣禾能源环保科技有限公司排污权指标的函（见附件），取得总量指标二氧化硫28.64t/a，氮氧化物48.96t/a。</w:t>
            </w:r>
          </w:p>
          <w:p w14:paraId="56E509E2">
            <w:pPr>
              <w:ind w:firstLine="482"/>
              <w:rPr>
                <w:rFonts w:eastAsiaTheme="minorEastAsia"/>
                <w:b/>
                <w:bCs/>
                <w:color w:val="000000" w:themeColor="text1"/>
                <w14:textFill>
                  <w14:solidFill>
                    <w14:schemeClr w14:val="tx1"/>
                  </w14:solidFill>
                </w14:textFill>
              </w:rPr>
            </w:pPr>
            <w:r>
              <w:rPr>
                <w:rFonts w:eastAsiaTheme="minorEastAsia"/>
                <w:b/>
                <w:bCs/>
                <w:color w:val="000000" w:themeColor="text1"/>
                <w14:textFill>
                  <w14:solidFill>
                    <w14:schemeClr w14:val="tx1"/>
                  </w14:solidFill>
                </w14:textFill>
              </w:rPr>
              <w:t>4.与项目有关的主要环境问题</w:t>
            </w:r>
          </w:p>
          <w:p w14:paraId="2BB8F9CC">
            <w:pPr>
              <w:ind w:firstLine="480"/>
              <w:rPr>
                <w:rFonts w:hint="eastAsia" w:asciiTheme="minorEastAsia" w:hAnsiTheme="minorEastAsia" w:eastAsiaTheme="minorEastAsia" w:cstheme="minorEastAsia"/>
                <w:color w:val="000000" w:themeColor="text1"/>
                <w:kern w:val="0"/>
                <w:szCs w:val="20"/>
                <w:lang w:bidi="ar"/>
                <w14:textFill>
                  <w14:solidFill>
                    <w14:schemeClr w14:val="tx1"/>
                  </w14:solidFill>
                </w14:textFill>
              </w:rPr>
            </w:pPr>
            <w:r>
              <w:rPr>
                <w:rFonts w:eastAsiaTheme="minorEastAsia"/>
                <w:color w:val="000000" w:themeColor="text1"/>
                <w14:textFill>
                  <w14:solidFill>
                    <w14:schemeClr w14:val="tx1"/>
                  </w14:solidFill>
                </w14:textFill>
              </w:rPr>
              <w:t>根据现场踏勘，原有项目基本落实环评及批复文件提出的主要环境防护措施，已通过竣工环保验收，</w:t>
            </w:r>
            <w:r>
              <w:rPr>
                <w:rFonts w:eastAsiaTheme="minorEastAsia"/>
                <w:color w:val="000000" w:themeColor="text1"/>
                <w:szCs w:val="24"/>
                <w14:textFill>
                  <w14:solidFill>
                    <w14:schemeClr w14:val="tx1"/>
                  </w14:solidFill>
                </w14:textFill>
              </w:rPr>
              <w:t>目前正常生产运营。</w:t>
            </w:r>
            <w:r>
              <w:rPr>
                <w:rFonts w:eastAsiaTheme="minorEastAsia"/>
                <w:color w:val="000000" w:themeColor="text1"/>
                <w:kern w:val="0"/>
                <w:szCs w:val="20"/>
                <w:lang w:bidi="ar"/>
                <w14:textFill>
                  <w14:solidFill>
                    <w14:schemeClr w14:val="tx1"/>
                  </w14:solidFill>
                </w14:textFill>
              </w:rPr>
              <w:t>根据2025年6月18日企业自行监测数据（隧道窑排放口颗粒物、SO</w:t>
            </w:r>
            <w:r>
              <w:rPr>
                <w:rFonts w:eastAsiaTheme="minorEastAsia"/>
                <w:color w:val="000000" w:themeColor="text1"/>
                <w:kern w:val="0"/>
                <w:szCs w:val="20"/>
                <w:vertAlign w:val="subscript"/>
                <w:lang w:bidi="ar"/>
                <w14:textFill>
                  <w14:solidFill>
                    <w14:schemeClr w14:val="tx1"/>
                  </w14:solidFill>
                </w14:textFill>
              </w:rPr>
              <w:t>2</w:t>
            </w:r>
            <w:r>
              <w:rPr>
                <w:rFonts w:eastAsiaTheme="minorEastAsia"/>
                <w:color w:val="000000" w:themeColor="text1"/>
                <w:kern w:val="0"/>
                <w:szCs w:val="20"/>
                <w:lang w:bidi="ar"/>
                <w14:textFill>
                  <w14:solidFill>
                    <w14:schemeClr w14:val="tx1"/>
                  </w14:solidFill>
                </w14:textFill>
              </w:rPr>
              <w:t>、NO</w:t>
            </w:r>
            <w:r>
              <w:rPr>
                <w:rFonts w:eastAsiaTheme="minorEastAsia"/>
                <w:color w:val="000000" w:themeColor="text1"/>
                <w:kern w:val="0"/>
                <w:szCs w:val="20"/>
                <w:vertAlign w:val="subscript"/>
                <w:lang w:bidi="ar"/>
                <w14:textFill>
                  <w14:solidFill>
                    <w14:schemeClr w14:val="tx1"/>
                  </w14:solidFill>
                </w14:textFill>
              </w:rPr>
              <w:t>X</w:t>
            </w:r>
            <w:r>
              <w:rPr>
                <w:rFonts w:eastAsiaTheme="minorEastAsia"/>
                <w:color w:val="000000" w:themeColor="text1"/>
                <w:kern w:val="0"/>
                <w:szCs w:val="20"/>
                <w:lang w:bidi="ar"/>
                <w14:textFill>
                  <w14:solidFill>
                    <w14:schemeClr w14:val="tx1"/>
                  </w14:solidFill>
                </w14:textFill>
              </w:rPr>
              <w:t>为自动监测数据，氟化物和无组织废气为委托监测），项目现有污染物排放情况如下。</w:t>
            </w:r>
          </w:p>
          <w:p w14:paraId="7253C0A7">
            <w:pPr>
              <w:pStyle w:val="312"/>
              <w:widowControl w:val="0"/>
              <w:numPr>
                <w:ilvl w:val="0"/>
                <w:numId w:val="14"/>
              </w:numPr>
              <w:spacing w:line="240" w:lineRule="auto"/>
              <w:ind w:left="0" w:firstLine="482"/>
              <w:rPr>
                <w:rFonts w:eastAsiaTheme="minorEastAsia"/>
                <w:b/>
                <w:color w:val="000000" w:themeColor="text1"/>
                <w:szCs w:val="20"/>
                <w14:textFill>
                  <w14:solidFill>
                    <w14:schemeClr w14:val="tx1"/>
                  </w14:solidFill>
                </w14:textFill>
              </w:rPr>
            </w:pPr>
            <w:r>
              <w:rPr>
                <w:rFonts w:eastAsiaTheme="minorEastAsia"/>
                <w:b/>
                <w:color w:val="000000" w:themeColor="text1"/>
                <w:szCs w:val="20"/>
                <w14:textFill>
                  <w14:solidFill>
                    <w14:schemeClr w14:val="tx1"/>
                  </w14:solidFill>
                </w14:textFill>
              </w:rPr>
              <w:t xml:space="preserve">            原有项目有组织废气排放一览表</w:t>
            </w:r>
          </w:p>
          <w:tbl>
            <w:tblPr>
              <w:tblStyle w:val="82"/>
              <w:tblW w:w="497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96"/>
              <w:gridCol w:w="1854"/>
              <w:gridCol w:w="1881"/>
              <w:gridCol w:w="1195"/>
              <w:gridCol w:w="698"/>
            </w:tblGrid>
            <w:tr w14:paraId="71575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1663" w:type="pct"/>
                  <w:tcBorders>
                    <w:tl2br w:val="nil"/>
                    <w:tr2bl w:val="nil"/>
                  </w:tcBorders>
                  <w:vAlign w:val="center"/>
                </w:tcPr>
                <w:p w14:paraId="1212B3B1">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监测点位</w:t>
                  </w:r>
                </w:p>
              </w:tc>
              <w:tc>
                <w:tcPr>
                  <w:tcW w:w="1104" w:type="pct"/>
                  <w:tcBorders>
                    <w:tl2br w:val="nil"/>
                    <w:tr2bl w:val="nil"/>
                  </w:tcBorders>
                  <w:vAlign w:val="center"/>
                </w:tcPr>
                <w:p w14:paraId="72844BDD">
                  <w:pPr>
                    <w:spacing w:line="240" w:lineRule="auto"/>
                    <w:ind w:firstLine="0" w:firstLineChars="0"/>
                    <w:jc w:val="left"/>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隧道窑烟气排放口1（最大值）</w:t>
                  </w:r>
                </w:p>
              </w:tc>
              <w:tc>
                <w:tcPr>
                  <w:tcW w:w="1120" w:type="pct"/>
                  <w:tcBorders>
                    <w:tl2br w:val="nil"/>
                    <w:tr2bl w:val="nil"/>
                  </w:tcBorders>
                  <w:vAlign w:val="center"/>
                </w:tcPr>
                <w:p w14:paraId="585F50D3">
                  <w:pPr>
                    <w:spacing w:line="240" w:lineRule="auto"/>
                    <w:ind w:firstLine="0" w:firstLineChars="0"/>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隧道窑烟气排放口2（最大值）</w:t>
                  </w:r>
                </w:p>
              </w:tc>
              <w:tc>
                <w:tcPr>
                  <w:tcW w:w="692" w:type="pct"/>
                  <w:tcBorders>
                    <w:tl2br w:val="nil"/>
                    <w:tr2bl w:val="nil"/>
                  </w:tcBorders>
                  <w:vAlign w:val="center"/>
                </w:tcPr>
                <w:p w14:paraId="5BAC8C16">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标准限值（mg/m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w:t>
                  </w:r>
                </w:p>
              </w:tc>
              <w:tc>
                <w:tcPr>
                  <w:tcW w:w="418" w:type="pct"/>
                  <w:tcBorders>
                    <w:tl2br w:val="nil"/>
                    <w:tr2bl w:val="nil"/>
                  </w:tcBorders>
                  <w:vAlign w:val="center"/>
                </w:tcPr>
                <w:p w14:paraId="0587153E">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达标</w:t>
                  </w:r>
                </w:p>
                <w:p w14:paraId="2A46988F">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情况</w:t>
                  </w:r>
                </w:p>
              </w:tc>
            </w:tr>
            <w:tr w14:paraId="6C28F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663" w:type="pct"/>
                  <w:tcBorders>
                    <w:tl2br w:val="nil"/>
                    <w:tr2bl w:val="nil"/>
                  </w:tcBorders>
                  <w:vAlign w:val="center"/>
                </w:tcPr>
                <w:p w14:paraId="4002D147">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颗粒物排放浓度（mg/m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w:t>
                  </w:r>
                </w:p>
              </w:tc>
              <w:tc>
                <w:tcPr>
                  <w:tcW w:w="1104" w:type="pct"/>
                  <w:tcBorders>
                    <w:tl2br w:val="nil"/>
                    <w:tr2bl w:val="nil"/>
                  </w:tcBorders>
                  <w:vAlign w:val="center"/>
                </w:tcPr>
                <w:p w14:paraId="4723653D">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19.53</w:t>
                  </w:r>
                </w:p>
              </w:tc>
              <w:tc>
                <w:tcPr>
                  <w:tcW w:w="1120" w:type="pct"/>
                  <w:tcBorders>
                    <w:tl2br w:val="nil"/>
                    <w:tr2bl w:val="nil"/>
                  </w:tcBorders>
                  <w:vAlign w:val="center"/>
                </w:tcPr>
                <w:p w14:paraId="33EFA3D6">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19.99</w:t>
                  </w:r>
                </w:p>
              </w:tc>
              <w:tc>
                <w:tcPr>
                  <w:tcW w:w="692" w:type="pct"/>
                  <w:tcBorders>
                    <w:tl2br w:val="nil"/>
                    <w:tr2bl w:val="nil"/>
                  </w:tcBorders>
                  <w:vAlign w:val="center"/>
                </w:tcPr>
                <w:p w14:paraId="0B6D17F2">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30</w:t>
                  </w:r>
                </w:p>
              </w:tc>
              <w:tc>
                <w:tcPr>
                  <w:tcW w:w="418" w:type="pct"/>
                  <w:tcBorders>
                    <w:tl2br w:val="nil"/>
                    <w:tr2bl w:val="nil"/>
                  </w:tcBorders>
                  <w:vAlign w:val="center"/>
                </w:tcPr>
                <w:p w14:paraId="733C522A">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达标</w:t>
                  </w:r>
                </w:p>
              </w:tc>
            </w:tr>
            <w:tr w14:paraId="12742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663" w:type="pct"/>
                  <w:tcBorders>
                    <w:tl2br w:val="nil"/>
                    <w:tr2bl w:val="nil"/>
                  </w:tcBorders>
                  <w:vAlign w:val="center"/>
                </w:tcPr>
                <w:p w14:paraId="7ACDD3CA">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二氧化硫排放浓度（mg/m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w:t>
                  </w:r>
                </w:p>
              </w:tc>
              <w:tc>
                <w:tcPr>
                  <w:tcW w:w="1104" w:type="pct"/>
                  <w:tcBorders>
                    <w:tl2br w:val="nil"/>
                    <w:tr2bl w:val="nil"/>
                  </w:tcBorders>
                  <w:vAlign w:val="center"/>
                </w:tcPr>
                <w:p w14:paraId="4542E6E4">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89.60</w:t>
                  </w:r>
                </w:p>
              </w:tc>
              <w:tc>
                <w:tcPr>
                  <w:tcW w:w="1120" w:type="pct"/>
                  <w:tcBorders>
                    <w:tl2br w:val="nil"/>
                    <w:tr2bl w:val="nil"/>
                  </w:tcBorders>
                  <w:vAlign w:val="center"/>
                </w:tcPr>
                <w:p w14:paraId="32A09212">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90.36</w:t>
                  </w:r>
                </w:p>
              </w:tc>
              <w:tc>
                <w:tcPr>
                  <w:tcW w:w="692" w:type="pct"/>
                  <w:tcBorders>
                    <w:tl2br w:val="nil"/>
                    <w:tr2bl w:val="nil"/>
                  </w:tcBorders>
                  <w:vAlign w:val="center"/>
                </w:tcPr>
                <w:p w14:paraId="55107CD4">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150</w:t>
                  </w:r>
                </w:p>
              </w:tc>
              <w:tc>
                <w:tcPr>
                  <w:tcW w:w="418" w:type="pct"/>
                  <w:tcBorders>
                    <w:tl2br w:val="nil"/>
                    <w:tr2bl w:val="nil"/>
                  </w:tcBorders>
                  <w:vAlign w:val="center"/>
                </w:tcPr>
                <w:p w14:paraId="7491A502">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达标</w:t>
                  </w:r>
                </w:p>
              </w:tc>
            </w:tr>
            <w:tr w14:paraId="6D9C8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663" w:type="pct"/>
                  <w:tcBorders>
                    <w:tl2br w:val="nil"/>
                    <w:tr2bl w:val="nil"/>
                  </w:tcBorders>
                  <w:vAlign w:val="center"/>
                </w:tcPr>
                <w:p w14:paraId="0E481E5B">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氮氧化物排放浓度（mg/m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w:t>
                  </w:r>
                </w:p>
              </w:tc>
              <w:tc>
                <w:tcPr>
                  <w:tcW w:w="1104" w:type="pct"/>
                  <w:tcBorders>
                    <w:tl2br w:val="nil"/>
                    <w:tr2bl w:val="nil"/>
                  </w:tcBorders>
                  <w:vAlign w:val="center"/>
                </w:tcPr>
                <w:p w14:paraId="7FC13A0F">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21.62</w:t>
                  </w:r>
                </w:p>
              </w:tc>
              <w:tc>
                <w:tcPr>
                  <w:tcW w:w="1120" w:type="pct"/>
                  <w:tcBorders>
                    <w:tl2br w:val="nil"/>
                    <w:tr2bl w:val="nil"/>
                  </w:tcBorders>
                  <w:vAlign w:val="center"/>
                </w:tcPr>
                <w:p w14:paraId="32DD49B6">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17.31</w:t>
                  </w:r>
                </w:p>
              </w:tc>
              <w:tc>
                <w:tcPr>
                  <w:tcW w:w="692" w:type="pct"/>
                  <w:tcBorders>
                    <w:tl2br w:val="nil"/>
                    <w:tr2bl w:val="nil"/>
                  </w:tcBorders>
                  <w:vAlign w:val="center"/>
                </w:tcPr>
                <w:p w14:paraId="6E61931F">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200</w:t>
                  </w:r>
                </w:p>
              </w:tc>
              <w:tc>
                <w:tcPr>
                  <w:tcW w:w="418" w:type="pct"/>
                  <w:tcBorders>
                    <w:tl2br w:val="nil"/>
                    <w:tr2bl w:val="nil"/>
                  </w:tcBorders>
                  <w:vAlign w:val="center"/>
                </w:tcPr>
                <w:p w14:paraId="3055FB75">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达标</w:t>
                  </w:r>
                </w:p>
              </w:tc>
            </w:tr>
            <w:tr w14:paraId="044019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1663" w:type="pct"/>
                  <w:tcBorders>
                    <w:tl2br w:val="nil"/>
                    <w:tr2bl w:val="nil"/>
                  </w:tcBorders>
                  <w:vAlign w:val="center"/>
                </w:tcPr>
                <w:p w14:paraId="27F14C21">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氟化物排放浓度（mg/m</w:t>
                  </w:r>
                  <w:r>
                    <w:rPr>
                      <w:rFonts w:eastAsiaTheme="minorEastAsia"/>
                      <w:color w:val="000000" w:themeColor="text1"/>
                      <w:sz w:val="21"/>
                      <w:szCs w:val="2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w:t>
                  </w:r>
                </w:p>
              </w:tc>
              <w:tc>
                <w:tcPr>
                  <w:tcW w:w="1104" w:type="pct"/>
                  <w:tcBorders>
                    <w:tl2br w:val="nil"/>
                    <w:tr2bl w:val="nil"/>
                  </w:tcBorders>
                  <w:vAlign w:val="center"/>
                </w:tcPr>
                <w:p w14:paraId="6F02540B">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0.60</w:t>
                  </w:r>
                </w:p>
              </w:tc>
              <w:tc>
                <w:tcPr>
                  <w:tcW w:w="1120" w:type="pct"/>
                  <w:tcBorders>
                    <w:tl2br w:val="nil"/>
                    <w:tr2bl w:val="nil"/>
                  </w:tcBorders>
                  <w:vAlign w:val="center"/>
                </w:tcPr>
                <w:p w14:paraId="475F23D4">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2.70</w:t>
                  </w:r>
                </w:p>
              </w:tc>
              <w:tc>
                <w:tcPr>
                  <w:tcW w:w="692" w:type="pct"/>
                  <w:tcBorders>
                    <w:tl2br w:val="nil"/>
                    <w:tr2bl w:val="nil"/>
                  </w:tcBorders>
                  <w:vAlign w:val="center"/>
                </w:tcPr>
                <w:p w14:paraId="27EE6358">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w:t>
                  </w:r>
                </w:p>
              </w:tc>
              <w:tc>
                <w:tcPr>
                  <w:tcW w:w="418" w:type="pct"/>
                  <w:tcBorders>
                    <w:tl2br w:val="nil"/>
                    <w:tr2bl w:val="nil"/>
                  </w:tcBorders>
                  <w:vAlign w:val="center"/>
                </w:tcPr>
                <w:p w14:paraId="7F65ECF3">
                  <w:pPr>
                    <w:spacing w:line="240" w:lineRule="auto"/>
                    <w:ind w:firstLine="0" w:firstLineChars="0"/>
                    <w:jc w:val="center"/>
                    <w:textAlignment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达标</w:t>
                  </w:r>
                </w:p>
              </w:tc>
            </w:tr>
          </w:tbl>
          <w:p w14:paraId="2A116574">
            <w:pPr>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由上表可知，2个道隧窑烟气排放口废气排放浓度均符合《砖瓦工业大气污染物排放标准》(GB29620-2013)及修改单中相关排放限值（颗粒物：30mg/m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14:textFill>
                  <w14:solidFill>
                    <w14:schemeClr w14:val="tx1"/>
                  </w14:solidFill>
                </w14:textFill>
              </w:rPr>
              <w:t>、二氧化硫：150mg/m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14:textFill>
                  <w14:solidFill>
                    <w14:schemeClr w14:val="tx1"/>
                  </w14:solidFill>
                </w14:textFill>
              </w:rPr>
              <w:t>、氮氧化物：200mg/m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sz w:val="21"/>
                <w:szCs w:val="21"/>
                <w14:textFill>
                  <w14:solidFill>
                    <w14:schemeClr w14:val="tx1"/>
                  </w14:solidFill>
                </w14:textFill>
              </w:rPr>
              <w:t>、</w:t>
            </w:r>
            <w:r>
              <w:rPr>
                <w:rFonts w:eastAsiaTheme="minorEastAsia"/>
                <w:color w:val="000000" w:themeColor="text1"/>
                <w:szCs w:val="24"/>
                <w14:textFill>
                  <w14:solidFill>
                    <w14:schemeClr w14:val="tx1"/>
                  </w14:solidFill>
                </w14:textFill>
              </w:rPr>
              <w:t>氟化物：3mg/m</w:t>
            </w:r>
            <w:r>
              <w:rPr>
                <w:rFonts w:eastAsiaTheme="minorEastAsia"/>
                <w:color w:val="000000" w:themeColor="text1"/>
                <w:szCs w:val="24"/>
                <w:vertAlign w:val="superscript"/>
                <w14:textFill>
                  <w14:solidFill>
                    <w14:schemeClr w14:val="tx1"/>
                  </w14:solidFill>
                </w14:textFill>
              </w:rPr>
              <w:t>3</w:t>
            </w:r>
            <w:r>
              <w:rPr>
                <w:rFonts w:eastAsiaTheme="minorEastAsia"/>
                <w:color w:val="000000" w:themeColor="text1"/>
                <w14:textFill>
                  <w14:solidFill>
                    <w14:schemeClr w14:val="tx1"/>
                  </w14:solidFill>
                </w14:textFill>
              </w:rPr>
              <w:t>）。</w:t>
            </w:r>
          </w:p>
          <w:p w14:paraId="786DD1C7">
            <w:pPr>
              <w:pStyle w:val="312"/>
              <w:widowControl w:val="0"/>
              <w:numPr>
                <w:ilvl w:val="0"/>
                <w:numId w:val="14"/>
              </w:numPr>
              <w:spacing w:line="240" w:lineRule="auto"/>
              <w:ind w:left="0" w:firstLine="482"/>
              <w:rPr>
                <w:rFonts w:eastAsiaTheme="minorEastAsia"/>
                <w:b/>
                <w:color w:val="000000" w:themeColor="text1"/>
                <w:szCs w:val="20"/>
                <w14:textFill>
                  <w14:solidFill>
                    <w14:schemeClr w14:val="tx1"/>
                  </w14:solidFill>
                </w14:textFill>
              </w:rPr>
            </w:pPr>
            <w:r>
              <w:rPr>
                <w:rFonts w:eastAsiaTheme="minorEastAsia"/>
                <w:b/>
                <w:color w:val="000000" w:themeColor="text1"/>
                <w:szCs w:val="20"/>
                <w14:textFill>
                  <w14:solidFill>
                    <w14:schemeClr w14:val="tx1"/>
                  </w14:solidFill>
                </w14:textFill>
              </w:rPr>
              <w:t xml:space="preserve">            原有项目无组织废气排放一览表</w:t>
            </w:r>
          </w:p>
          <w:tbl>
            <w:tblPr>
              <w:tblStyle w:val="82"/>
              <w:tblW w:w="8239" w:type="dxa"/>
              <w:jc w:val="center"/>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Layout w:type="autofit"/>
              <w:tblCellMar>
                <w:top w:w="0" w:type="dxa"/>
                <w:left w:w="108" w:type="dxa"/>
                <w:bottom w:w="0" w:type="dxa"/>
                <w:right w:w="108" w:type="dxa"/>
              </w:tblCellMar>
            </w:tblPr>
            <w:tblGrid>
              <w:gridCol w:w="1413"/>
              <w:gridCol w:w="1844"/>
              <w:gridCol w:w="1689"/>
              <w:gridCol w:w="1741"/>
              <w:gridCol w:w="1552"/>
            </w:tblGrid>
            <w:tr w14:paraId="5980CB8F">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131" w:hRule="atLeast"/>
                <w:jc w:val="center"/>
              </w:trPr>
              <w:tc>
                <w:tcPr>
                  <w:tcW w:w="1413" w:type="dxa"/>
                  <w:vMerge w:val="restart"/>
                  <w:tcBorders>
                    <w:tl2br w:val="nil"/>
                    <w:tr2bl w:val="nil"/>
                  </w:tcBorders>
                  <w:vAlign w:val="center"/>
                </w:tcPr>
                <w:p w14:paraId="2815B9CD">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监测项目</w:t>
                  </w:r>
                </w:p>
              </w:tc>
              <w:tc>
                <w:tcPr>
                  <w:tcW w:w="1844" w:type="dxa"/>
                  <w:vMerge w:val="restart"/>
                  <w:tcBorders>
                    <w:tl2br w:val="nil"/>
                    <w:tr2bl w:val="nil"/>
                  </w:tcBorders>
                  <w:vAlign w:val="center"/>
                </w:tcPr>
                <w:p w14:paraId="6485C6B6">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监测点位</w:t>
                  </w:r>
                </w:p>
              </w:tc>
              <w:tc>
                <w:tcPr>
                  <w:tcW w:w="4982" w:type="dxa"/>
                  <w:gridSpan w:val="3"/>
                  <w:tcBorders>
                    <w:bottom w:val="single" w:color="auto" w:sz="4" w:space="0"/>
                    <w:tl2br w:val="nil"/>
                    <w:tr2bl w:val="nil"/>
                  </w:tcBorders>
                  <w:vAlign w:val="center"/>
                </w:tcPr>
                <w:p w14:paraId="7B251AC4">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测定值</w:t>
                  </w:r>
                </w:p>
              </w:tc>
            </w:tr>
            <w:tr w14:paraId="06A7B244">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156" w:hRule="atLeast"/>
                <w:jc w:val="center"/>
              </w:trPr>
              <w:tc>
                <w:tcPr>
                  <w:tcW w:w="1413" w:type="dxa"/>
                  <w:vMerge w:val="continue"/>
                  <w:tcBorders>
                    <w:tl2br w:val="nil"/>
                    <w:tr2bl w:val="nil"/>
                  </w:tcBorders>
                  <w:vAlign w:val="center"/>
                </w:tcPr>
                <w:p w14:paraId="3D0E1E9E">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vMerge w:val="continue"/>
                  <w:tcBorders>
                    <w:tl2br w:val="nil"/>
                    <w:tr2bl w:val="nil"/>
                  </w:tcBorders>
                  <w:vAlign w:val="center"/>
                </w:tcPr>
                <w:p w14:paraId="61B95BED">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689" w:type="dxa"/>
                  <w:tcBorders>
                    <w:top w:val="single" w:color="auto" w:sz="4" w:space="0"/>
                    <w:tl2br w:val="nil"/>
                    <w:tr2bl w:val="nil"/>
                  </w:tcBorders>
                  <w:vAlign w:val="center"/>
                </w:tcPr>
                <w:p w14:paraId="1F088CB5">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第一次</w:t>
                  </w:r>
                </w:p>
              </w:tc>
              <w:tc>
                <w:tcPr>
                  <w:tcW w:w="1741" w:type="dxa"/>
                  <w:tcBorders>
                    <w:top w:val="single" w:color="auto" w:sz="4" w:space="0"/>
                    <w:tl2br w:val="nil"/>
                    <w:tr2bl w:val="nil"/>
                  </w:tcBorders>
                  <w:vAlign w:val="center"/>
                </w:tcPr>
                <w:p w14:paraId="260ACE07">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第二次</w:t>
                  </w:r>
                </w:p>
              </w:tc>
              <w:tc>
                <w:tcPr>
                  <w:tcW w:w="1552" w:type="dxa"/>
                  <w:tcBorders>
                    <w:top w:val="single" w:color="auto" w:sz="4" w:space="0"/>
                    <w:tl2br w:val="nil"/>
                    <w:tr2bl w:val="nil"/>
                  </w:tcBorders>
                  <w:vAlign w:val="center"/>
                </w:tcPr>
                <w:p w14:paraId="078EA6F5">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第三次</w:t>
                  </w:r>
                </w:p>
              </w:tc>
            </w:tr>
            <w:tr w14:paraId="0C44AF71">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58" w:hRule="atLeast"/>
                <w:jc w:val="center"/>
              </w:trPr>
              <w:tc>
                <w:tcPr>
                  <w:tcW w:w="1413" w:type="dxa"/>
                  <w:vMerge w:val="restart"/>
                  <w:tcBorders>
                    <w:tl2br w:val="nil"/>
                    <w:tr2bl w:val="nil"/>
                  </w:tcBorders>
                  <w:vAlign w:val="center"/>
                </w:tcPr>
                <w:p w14:paraId="6A6E8316">
                  <w:pPr>
                    <w:spacing w:line="240" w:lineRule="auto"/>
                    <w:ind w:firstLine="0" w:firstLineChars="0"/>
                    <w:jc w:val="left"/>
                    <w:rPr>
                      <w:rFonts w:eastAsiaTheme="minorEastAsia"/>
                      <w:b/>
                      <w:bCs/>
                      <w:color w:val="000000" w:themeColor="text1"/>
                      <w:kern w:val="0"/>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总悬浮颗粒物</w:t>
                  </w:r>
                  <w:r>
                    <w:rPr>
                      <w:rFonts w:eastAsiaTheme="minorEastAsia"/>
                      <w:color w:val="000000" w:themeColor="text1"/>
                      <w:kern w:val="0"/>
                      <w:sz w:val="21"/>
                      <w:szCs w:val="21"/>
                      <w14:textFill>
                        <w14:solidFill>
                          <w14:schemeClr w14:val="tx1"/>
                        </w14:solidFill>
                      </w14:textFill>
                    </w:rPr>
                    <w:t>（mg/m</w:t>
                  </w:r>
                  <w:r>
                    <w:rPr>
                      <w:rFonts w:eastAsiaTheme="minorEastAsia"/>
                      <w:color w:val="000000" w:themeColor="text1"/>
                      <w:kern w:val="0"/>
                      <w:sz w:val="21"/>
                      <w:szCs w:val="21"/>
                      <w:vertAlign w:val="superscript"/>
                      <w14:textFill>
                        <w14:solidFill>
                          <w14:schemeClr w14:val="tx1"/>
                        </w14:solidFill>
                      </w14:textFill>
                    </w:rPr>
                    <w:t>3</w:t>
                  </w:r>
                  <w:r>
                    <w:rPr>
                      <w:rFonts w:eastAsiaTheme="minorEastAsia"/>
                      <w:color w:val="000000" w:themeColor="text1"/>
                      <w:kern w:val="0"/>
                      <w:sz w:val="21"/>
                      <w:szCs w:val="21"/>
                      <w14:textFill>
                        <w14:solidFill>
                          <w14:schemeClr w14:val="tx1"/>
                        </w14:solidFill>
                      </w14:textFill>
                    </w:rPr>
                    <w:t>）</w:t>
                  </w:r>
                </w:p>
              </w:tc>
              <w:tc>
                <w:tcPr>
                  <w:tcW w:w="1844" w:type="dxa"/>
                  <w:tcBorders>
                    <w:tl2br w:val="nil"/>
                    <w:tr2bl w:val="nil"/>
                  </w:tcBorders>
                  <w:vAlign w:val="center"/>
                </w:tcPr>
                <w:p w14:paraId="2CA7DF86">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厂界上风向1#</w:t>
                  </w:r>
                </w:p>
              </w:tc>
              <w:tc>
                <w:tcPr>
                  <w:tcW w:w="1689" w:type="dxa"/>
                  <w:tcBorders>
                    <w:tl2br w:val="nil"/>
                    <w:tr2bl w:val="nil"/>
                  </w:tcBorders>
                  <w:vAlign w:val="center"/>
                </w:tcPr>
                <w:p w14:paraId="3F36ED2C">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0.246</w:t>
                  </w:r>
                </w:p>
              </w:tc>
              <w:tc>
                <w:tcPr>
                  <w:tcW w:w="1741" w:type="dxa"/>
                  <w:tcBorders>
                    <w:tl2br w:val="nil"/>
                    <w:tr2bl w:val="nil"/>
                  </w:tcBorders>
                  <w:vAlign w:val="center"/>
                </w:tcPr>
                <w:p w14:paraId="3935947D">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0.267</w:t>
                  </w:r>
                </w:p>
              </w:tc>
              <w:tc>
                <w:tcPr>
                  <w:tcW w:w="1552" w:type="dxa"/>
                  <w:tcBorders>
                    <w:tl2br w:val="nil"/>
                    <w:tr2bl w:val="nil"/>
                  </w:tcBorders>
                  <w:vAlign w:val="center"/>
                </w:tcPr>
                <w:p w14:paraId="578E61A4">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0.227</w:t>
                  </w:r>
                </w:p>
              </w:tc>
            </w:tr>
            <w:tr w14:paraId="2D03E70B">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continue"/>
                  <w:tcBorders>
                    <w:tl2br w:val="nil"/>
                    <w:tr2bl w:val="nil"/>
                  </w:tcBorders>
                  <w:vAlign w:val="center"/>
                </w:tcPr>
                <w:p w14:paraId="420B33E1">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tcBorders>
                    <w:tl2br w:val="nil"/>
                    <w:tr2bl w:val="nil"/>
                  </w:tcBorders>
                  <w:vAlign w:val="center"/>
                </w:tcPr>
                <w:p w14:paraId="42D2108F">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厂界上风向2#</w:t>
                  </w:r>
                </w:p>
              </w:tc>
              <w:tc>
                <w:tcPr>
                  <w:tcW w:w="1689" w:type="dxa"/>
                  <w:tcBorders>
                    <w:tl2br w:val="nil"/>
                    <w:tr2bl w:val="nil"/>
                  </w:tcBorders>
                  <w:vAlign w:val="center"/>
                </w:tcPr>
                <w:p w14:paraId="0FD22547">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0.655</w:t>
                  </w:r>
                </w:p>
              </w:tc>
              <w:tc>
                <w:tcPr>
                  <w:tcW w:w="1741" w:type="dxa"/>
                  <w:tcBorders>
                    <w:tl2br w:val="nil"/>
                    <w:tr2bl w:val="nil"/>
                  </w:tcBorders>
                  <w:vAlign w:val="center"/>
                </w:tcPr>
                <w:p w14:paraId="0BECDAC8">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0.700</w:t>
                  </w:r>
                </w:p>
              </w:tc>
              <w:tc>
                <w:tcPr>
                  <w:tcW w:w="1552" w:type="dxa"/>
                  <w:tcBorders>
                    <w:tl2br w:val="nil"/>
                    <w:tr2bl w:val="nil"/>
                  </w:tcBorders>
                  <w:vAlign w:val="center"/>
                </w:tcPr>
                <w:p w14:paraId="1891D0CC">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0.707</w:t>
                  </w:r>
                </w:p>
              </w:tc>
            </w:tr>
            <w:tr w14:paraId="338DA7E2">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continue"/>
                  <w:tcBorders>
                    <w:tl2br w:val="nil"/>
                    <w:tr2bl w:val="nil"/>
                  </w:tcBorders>
                  <w:vAlign w:val="center"/>
                </w:tcPr>
                <w:p w14:paraId="09C36F09">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tcBorders>
                    <w:tl2br w:val="nil"/>
                    <w:tr2bl w:val="nil"/>
                  </w:tcBorders>
                  <w:vAlign w:val="center"/>
                </w:tcPr>
                <w:p w14:paraId="29875E2C">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厂界上风向3#</w:t>
                  </w:r>
                </w:p>
              </w:tc>
              <w:tc>
                <w:tcPr>
                  <w:tcW w:w="1689" w:type="dxa"/>
                  <w:tcBorders>
                    <w:tl2br w:val="nil"/>
                    <w:tr2bl w:val="nil"/>
                  </w:tcBorders>
                  <w:vAlign w:val="center"/>
                </w:tcPr>
                <w:p w14:paraId="493496C6">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0.712</w:t>
                  </w:r>
                </w:p>
              </w:tc>
              <w:tc>
                <w:tcPr>
                  <w:tcW w:w="1741" w:type="dxa"/>
                  <w:tcBorders>
                    <w:tl2br w:val="nil"/>
                    <w:tr2bl w:val="nil"/>
                  </w:tcBorders>
                  <w:vAlign w:val="center"/>
                </w:tcPr>
                <w:p w14:paraId="01890D24">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0.727</w:t>
                  </w:r>
                </w:p>
              </w:tc>
              <w:tc>
                <w:tcPr>
                  <w:tcW w:w="1552" w:type="dxa"/>
                  <w:tcBorders>
                    <w:tl2br w:val="nil"/>
                    <w:tr2bl w:val="nil"/>
                  </w:tcBorders>
                  <w:vAlign w:val="center"/>
                </w:tcPr>
                <w:p w14:paraId="01C9BE14">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0.664</w:t>
                  </w:r>
                </w:p>
              </w:tc>
            </w:tr>
            <w:tr w14:paraId="48556FE0">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continue"/>
                  <w:tcBorders>
                    <w:tl2br w:val="nil"/>
                    <w:tr2bl w:val="nil"/>
                  </w:tcBorders>
                  <w:vAlign w:val="center"/>
                </w:tcPr>
                <w:p w14:paraId="5C6E6B4B">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tcBorders>
                    <w:tl2br w:val="nil"/>
                    <w:tr2bl w:val="nil"/>
                  </w:tcBorders>
                  <w:vAlign w:val="center"/>
                </w:tcPr>
                <w:p w14:paraId="1316F3CE">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厂界上风向4#</w:t>
                  </w:r>
                </w:p>
              </w:tc>
              <w:tc>
                <w:tcPr>
                  <w:tcW w:w="1689" w:type="dxa"/>
                  <w:tcBorders>
                    <w:tl2br w:val="nil"/>
                    <w:tr2bl w:val="nil"/>
                  </w:tcBorders>
                  <w:vAlign w:val="center"/>
                </w:tcPr>
                <w:p w14:paraId="7293CFA5">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0.745</w:t>
                  </w:r>
                </w:p>
              </w:tc>
              <w:tc>
                <w:tcPr>
                  <w:tcW w:w="1741" w:type="dxa"/>
                  <w:tcBorders>
                    <w:tl2br w:val="nil"/>
                    <w:tr2bl w:val="nil"/>
                  </w:tcBorders>
                  <w:vAlign w:val="center"/>
                </w:tcPr>
                <w:p w14:paraId="2B91D46B">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0.750</w:t>
                  </w:r>
                </w:p>
              </w:tc>
              <w:tc>
                <w:tcPr>
                  <w:tcW w:w="1552" w:type="dxa"/>
                  <w:tcBorders>
                    <w:tl2br w:val="nil"/>
                    <w:tr2bl w:val="nil"/>
                  </w:tcBorders>
                  <w:vAlign w:val="center"/>
                </w:tcPr>
                <w:p w14:paraId="148EE0DE">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0.693</w:t>
                  </w:r>
                </w:p>
              </w:tc>
            </w:tr>
            <w:tr w14:paraId="45149455">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restart"/>
                  <w:tcBorders>
                    <w:tl2br w:val="nil"/>
                    <w:tr2bl w:val="nil"/>
                  </w:tcBorders>
                  <w:vAlign w:val="center"/>
                </w:tcPr>
                <w:p w14:paraId="10B1CC4E">
                  <w:pPr>
                    <w:spacing w:line="240" w:lineRule="auto"/>
                    <w:ind w:firstLine="0" w:firstLineChars="0"/>
                    <w:jc w:val="center"/>
                    <w:rPr>
                      <w:rFonts w:eastAsiaTheme="minorEastAsia"/>
                      <w:color w:val="000000" w:themeColor="text1"/>
                      <w:kern w:val="0"/>
                      <w:sz w:val="21"/>
                      <w:szCs w:val="21"/>
                      <w14:textFill>
                        <w14:solidFill>
                          <w14:schemeClr w14:val="tx1"/>
                        </w14:solidFill>
                      </w14:textFill>
                    </w:rPr>
                  </w:pPr>
                  <w:r>
                    <w:rPr>
                      <w:rFonts w:eastAsiaTheme="minorEastAsia"/>
                      <w:color w:val="000000" w:themeColor="text1"/>
                      <w:kern w:val="0"/>
                      <w:sz w:val="21"/>
                      <w:szCs w:val="21"/>
                      <w14:textFill>
                        <w14:solidFill>
                          <w14:schemeClr w14:val="tx1"/>
                        </w14:solidFill>
                      </w14:textFill>
                    </w:rPr>
                    <w:t>二氧化硫（mg/m</w:t>
                  </w:r>
                  <w:r>
                    <w:rPr>
                      <w:rFonts w:eastAsiaTheme="minorEastAsia"/>
                      <w:color w:val="000000" w:themeColor="text1"/>
                      <w:kern w:val="0"/>
                      <w:sz w:val="21"/>
                      <w:szCs w:val="21"/>
                      <w:vertAlign w:val="superscript"/>
                      <w14:textFill>
                        <w14:solidFill>
                          <w14:schemeClr w14:val="tx1"/>
                        </w14:solidFill>
                      </w14:textFill>
                    </w:rPr>
                    <w:t>3</w:t>
                  </w:r>
                  <w:r>
                    <w:rPr>
                      <w:rFonts w:eastAsiaTheme="minorEastAsia"/>
                      <w:color w:val="000000" w:themeColor="text1"/>
                      <w:kern w:val="0"/>
                      <w:sz w:val="21"/>
                      <w:szCs w:val="21"/>
                      <w14:textFill>
                        <w14:solidFill>
                          <w14:schemeClr w14:val="tx1"/>
                        </w14:solidFill>
                      </w14:textFill>
                    </w:rPr>
                    <w:t>）</w:t>
                  </w:r>
                </w:p>
              </w:tc>
              <w:tc>
                <w:tcPr>
                  <w:tcW w:w="1844" w:type="dxa"/>
                  <w:tcBorders>
                    <w:tl2br w:val="nil"/>
                    <w:tr2bl w:val="nil"/>
                  </w:tcBorders>
                  <w:vAlign w:val="center"/>
                </w:tcPr>
                <w:p w14:paraId="0FF77D58">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厂界上风向1#</w:t>
                  </w:r>
                </w:p>
              </w:tc>
              <w:tc>
                <w:tcPr>
                  <w:tcW w:w="1689" w:type="dxa"/>
                  <w:tcBorders>
                    <w:tl2br w:val="nil"/>
                    <w:tr2bl w:val="nil"/>
                  </w:tcBorders>
                  <w:vAlign w:val="center"/>
                </w:tcPr>
                <w:p w14:paraId="24904481">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0.039</w:t>
                  </w:r>
                </w:p>
              </w:tc>
              <w:tc>
                <w:tcPr>
                  <w:tcW w:w="1741" w:type="dxa"/>
                  <w:tcBorders>
                    <w:tl2br w:val="nil"/>
                    <w:tr2bl w:val="nil"/>
                  </w:tcBorders>
                  <w:vAlign w:val="center"/>
                </w:tcPr>
                <w:p w14:paraId="4DA0D0CB">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0.046</w:t>
                  </w:r>
                </w:p>
              </w:tc>
              <w:tc>
                <w:tcPr>
                  <w:tcW w:w="1552" w:type="dxa"/>
                  <w:tcBorders>
                    <w:tl2br w:val="nil"/>
                    <w:tr2bl w:val="nil"/>
                  </w:tcBorders>
                  <w:vAlign w:val="center"/>
                </w:tcPr>
                <w:p w14:paraId="2D76E3F9">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0.043</w:t>
                  </w:r>
                </w:p>
              </w:tc>
            </w:tr>
            <w:tr w14:paraId="5D5AADF2">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continue"/>
                  <w:tcBorders>
                    <w:tl2br w:val="nil"/>
                    <w:tr2bl w:val="nil"/>
                  </w:tcBorders>
                  <w:vAlign w:val="center"/>
                </w:tcPr>
                <w:p w14:paraId="418B68A8">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tcBorders>
                    <w:tl2br w:val="nil"/>
                    <w:tr2bl w:val="nil"/>
                  </w:tcBorders>
                  <w:vAlign w:val="center"/>
                </w:tcPr>
                <w:p w14:paraId="1C3ABE77">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厂界上风向2#</w:t>
                  </w:r>
                </w:p>
              </w:tc>
              <w:tc>
                <w:tcPr>
                  <w:tcW w:w="1689" w:type="dxa"/>
                  <w:tcBorders>
                    <w:tl2br w:val="nil"/>
                    <w:tr2bl w:val="nil"/>
                  </w:tcBorders>
                  <w:vAlign w:val="center"/>
                </w:tcPr>
                <w:p w14:paraId="14A98F02">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0.099</w:t>
                  </w:r>
                </w:p>
              </w:tc>
              <w:tc>
                <w:tcPr>
                  <w:tcW w:w="1741" w:type="dxa"/>
                  <w:tcBorders>
                    <w:tl2br w:val="nil"/>
                    <w:tr2bl w:val="nil"/>
                  </w:tcBorders>
                  <w:vAlign w:val="center"/>
                </w:tcPr>
                <w:p w14:paraId="47E006E9">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0.106</w:t>
                  </w:r>
                </w:p>
              </w:tc>
              <w:tc>
                <w:tcPr>
                  <w:tcW w:w="1552" w:type="dxa"/>
                  <w:tcBorders>
                    <w:tl2br w:val="nil"/>
                    <w:tr2bl w:val="nil"/>
                  </w:tcBorders>
                  <w:vAlign w:val="center"/>
                </w:tcPr>
                <w:p w14:paraId="7875E18C">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0.103</w:t>
                  </w:r>
                </w:p>
              </w:tc>
            </w:tr>
            <w:tr w14:paraId="7E334D5C">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continue"/>
                  <w:tcBorders>
                    <w:tl2br w:val="nil"/>
                    <w:tr2bl w:val="nil"/>
                  </w:tcBorders>
                  <w:vAlign w:val="center"/>
                </w:tcPr>
                <w:p w14:paraId="7AD000F1">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tcBorders>
                    <w:tl2br w:val="nil"/>
                    <w:tr2bl w:val="nil"/>
                  </w:tcBorders>
                  <w:vAlign w:val="center"/>
                </w:tcPr>
                <w:p w14:paraId="18C10A33">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厂界上风向3#</w:t>
                  </w:r>
                </w:p>
              </w:tc>
              <w:tc>
                <w:tcPr>
                  <w:tcW w:w="1689" w:type="dxa"/>
                  <w:tcBorders>
                    <w:tl2br w:val="nil"/>
                    <w:tr2bl w:val="nil"/>
                  </w:tcBorders>
                  <w:vAlign w:val="center"/>
                </w:tcPr>
                <w:p w14:paraId="40B108B0">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0.098</w:t>
                  </w:r>
                </w:p>
              </w:tc>
              <w:tc>
                <w:tcPr>
                  <w:tcW w:w="1741" w:type="dxa"/>
                  <w:tcBorders>
                    <w:tl2br w:val="nil"/>
                    <w:tr2bl w:val="nil"/>
                  </w:tcBorders>
                  <w:vAlign w:val="center"/>
                </w:tcPr>
                <w:p w14:paraId="62A730AF">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0.104</w:t>
                  </w:r>
                </w:p>
              </w:tc>
              <w:tc>
                <w:tcPr>
                  <w:tcW w:w="1552" w:type="dxa"/>
                  <w:tcBorders>
                    <w:tl2br w:val="nil"/>
                    <w:tr2bl w:val="nil"/>
                  </w:tcBorders>
                  <w:vAlign w:val="center"/>
                </w:tcPr>
                <w:p w14:paraId="4303A73B">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0.102</w:t>
                  </w:r>
                </w:p>
              </w:tc>
            </w:tr>
            <w:tr w14:paraId="4BAD63B7">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continue"/>
                  <w:tcBorders>
                    <w:tl2br w:val="nil"/>
                    <w:tr2bl w:val="nil"/>
                  </w:tcBorders>
                  <w:vAlign w:val="center"/>
                </w:tcPr>
                <w:p w14:paraId="112BB4D7">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tcBorders>
                    <w:tl2br w:val="nil"/>
                    <w:tr2bl w:val="nil"/>
                  </w:tcBorders>
                  <w:vAlign w:val="center"/>
                </w:tcPr>
                <w:p w14:paraId="54C55DAB">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厂界上风向4#</w:t>
                  </w:r>
                </w:p>
              </w:tc>
              <w:tc>
                <w:tcPr>
                  <w:tcW w:w="1689" w:type="dxa"/>
                  <w:tcBorders>
                    <w:tl2br w:val="nil"/>
                    <w:tr2bl w:val="nil"/>
                  </w:tcBorders>
                  <w:vAlign w:val="center"/>
                </w:tcPr>
                <w:p w14:paraId="32A7407D">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0.103</w:t>
                  </w:r>
                </w:p>
              </w:tc>
              <w:tc>
                <w:tcPr>
                  <w:tcW w:w="1741" w:type="dxa"/>
                  <w:tcBorders>
                    <w:tl2br w:val="nil"/>
                    <w:tr2bl w:val="nil"/>
                  </w:tcBorders>
                  <w:vAlign w:val="center"/>
                </w:tcPr>
                <w:p w14:paraId="5561CD4E">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0.108</w:t>
                  </w:r>
                </w:p>
              </w:tc>
              <w:tc>
                <w:tcPr>
                  <w:tcW w:w="1552" w:type="dxa"/>
                  <w:tcBorders>
                    <w:tl2br w:val="nil"/>
                    <w:tr2bl w:val="nil"/>
                  </w:tcBorders>
                  <w:vAlign w:val="center"/>
                </w:tcPr>
                <w:p w14:paraId="240E17A2">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0.105</w:t>
                  </w:r>
                </w:p>
              </w:tc>
            </w:tr>
            <w:tr w14:paraId="794B9AF9">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46" w:hRule="atLeast"/>
                <w:jc w:val="center"/>
              </w:trPr>
              <w:tc>
                <w:tcPr>
                  <w:tcW w:w="1413" w:type="dxa"/>
                  <w:vMerge w:val="restart"/>
                  <w:tcBorders>
                    <w:tl2br w:val="nil"/>
                    <w:tr2bl w:val="nil"/>
                  </w:tcBorders>
                  <w:vAlign w:val="center"/>
                </w:tcPr>
                <w:p w14:paraId="55D7305B">
                  <w:pPr>
                    <w:spacing w:line="240" w:lineRule="auto"/>
                    <w:ind w:firstLine="0" w:firstLineChars="0"/>
                    <w:jc w:val="center"/>
                    <w:rPr>
                      <w:rFonts w:eastAsiaTheme="minorEastAsia"/>
                      <w:color w:val="000000" w:themeColor="text1"/>
                      <w:kern w:val="0"/>
                      <w:sz w:val="21"/>
                      <w:szCs w:val="21"/>
                      <w14:textFill>
                        <w14:solidFill>
                          <w14:schemeClr w14:val="tx1"/>
                        </w14:solidFill>
                      </w14:textFill>
                    </w:rPr>
                  </w:pPr>
                  <w:r>
                    <w:rPr>
                      <w:rFonts w:eastAsiaTheme="minorEastAsia"/>
                      <w:color w:val="000000" w:themeColor="text1"/>
                      <w:kern w:val="0"/>
                      <w:sz w:val="21"/>
                      <w:szCs w:val="21"/>
                      <w14:textFill>
                        <w14:solidFill>
                          <w14:schemeClr w14:val="tx1"/>
                        </w14:solidFill>
                      </w14:textFill>
                    </w:rPr>
                    <w:t>氟化物（mg/m</w:t>
                  </w:r>
                  <w:r>
                    <w:rPr>
                      <w:rFonts w:eastAsiaTheme="minorEastAsia"/>
                      <w:color w:val="000000" w:themeColor="text1"/>
                      <w:kern w:val="0"/>
                      <w:sz w:val="21"/>
                      <w:szCs w:val="21"/>
                      <w:vertAlign w:val="superscript"/>
                      <w14:textFill>
                        <w14:solidFill>
                          <w14:schemeClr w14:val="tx1"/>
                        </w14:solidFill>
                      </w14:textFill>
                    </w:rPr>
                    <w:t>3</w:t>
                  </w:r>
                  <w:r>
                    <w:rPr>
                      <w:rFonts w:eastAsiaTheme="minorEastAsia"/>
                      <w:color w:val="000000" w:themeColor="text1"/>
                      <w:kern w:val="0"/>
                      <w:sz w:val="21"/>
                      <w:szCs w:val="21"/>
                      <w14:textFill>
                        <w14:solidFill>
                          <w14:schemeClr w14:val="tx1"/>
                        </w14:solidFill>
                      </w14:textFill>
                    </w:rPr>
                    <w:t>）</w:t>
                  </w:r>
                </w:p>
              </w:tc>
              <w:tc>
                <w:tcPr>
                  <w:tcW w:w="1844" w:type="dxa"/>
                  <w:tcBorders>
                    <w:tl2br w:val="nil"/>
                    <w:tr2bl w:val="nil"/>
                  </w:tcBorders>
                  <w:vAlign w:val="center"/>
                </w:tcPr>
                <w:p w14:paraId="3B66FAD6">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厂界上风向1#</w:t>
                  </w:r>
                </w:p>
              </w:tc>
              <w:tc>
                <w:tcPr>
                  <w:tcW w:w="1689" w:type="dxa"/>
                  <w:tcBorders>
                    <w:tl2br w:val="nil"/>
                    <w:tr2bl w:val="nil"/>
                  </w:tcBorders>
                  <w:vAlign w:val="center"/>
                </w:tcPr>
                <w:p w14:paraId="78B1AD2B">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0.0034</w:t>
                  </w:r>
                </w:p>
              </w:tc>
              <w:tc>
                <w:tcPr>
                  <w:tcW w:w="1741" w:type="dxa"/>
                  <w:tcBorders>
                    <w:tl2br w:val="nil"/>
                    <w:tr2bl w:val="nil"/>
                  </w:tcBorders>
                  <w:vAlign w:val="center"/>
                </w:tcPr>
                <w:p w14:paraId="534D4B1F">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0.0038</w:t>
                  </w:r>
                </w:p>
              </w:tc>
              <w:tc>
                <w:tcPr>
                  <w:tcW w:w="1552" w:type="dxa"/>
                  <w:tcBorders>
                    <w:tl2br w:val="nil"/>
                    <w:tr2bl w:val="nil"/>
                  </w:tcBorders>
                  <w:vAlign w:val="center"/>
                </w:tcPr>
                <w:p w14:paraId="5747D1E1">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0.0035</w:t>
                  </w:r>
                </w:p>
              </w:tc>
            </w:tr>
            <w:tr w14:paraId="4C47F69B">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continue"/>
                  <w:tcBorders>
                    <w:tl2br w:val="nil"/>
                    <w:tr2bl w:val="nil"/>
                  </w:tcBorders>
                  <w:vAlign w:val="center"/>
                </w:tcPr>
                <w:p w14:paraId="6485346C">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tcBorders>
                    <w:tl2br w:val="nil"/>
                    <w:tr2bl w:val="nil"/>
                  </w:tcBorders>
                  <w:vAlign w:val="center"/>
                </w:tcPr>
                <w:p w14:paraId="6538F7B6">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厂界上风向2#</w:t>
                  </w:r>
                </w:p>
              </w:tc>
              <w:tc>
                <w:tcPr>
                  <w:tcW w:w="1689" w:type="dxa"/>
                  <w:tcBorders>
                    <w:tl2br w:val="nil"/>
                    <w:tr2bl w:val="nil"/>
                  </w:tcBorders>
                  <w:vAlign w:val="center"/>
                </w:tcPr>
                <w:p w14:paraId="5583F135">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0.0109</w:t>
                  </w:r>
                </w:p>
              </w:tc>
              <w:tc>
                <w:tcPr>
                  <w:tcW w:w="1741" w:type="dxa"/>
                  <w:tcBorders>
                    <w:tl2br w:val="nil"/>
                    <w:tr2bl w:val="nil"/>
                  </w:tcBorders>
                  <w:vAlign w:val="center"/>
                </w:tcPr>
                <w:p w14:paraId="41C97444">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0.0104</w:t>
                  </w:r>
                </w:p>
              </w:tc>
              <w:tc>
                <w:tcPr>
                  <w:tcW w:w="1552" w:type="dxa"/>
                  <w:tcBorders>
                    <w:tl2br w:val="nil"/>
                    <w:tr2bl w:val="nil"/>
                  </w:tcBorders>
                  <w:vAlign w:val="center"/>
                </w:tcPr>
                <w:p w14:paraId="687E31C3">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0.010</w:t>
                  </w:r>
                </w:p>
              </w:tc>
            </w:tr>
            <w:tr w14:paraId="041AFF73">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continue"/>
                  <w:tcBorders>
                    <w:tl2br w:val="nil"/>
                    <w:tr2bl w:val="nil"/>
                  </w:tcBorders>
                  <w:vAlign w:val="center"/>
                </w:tcPr>
                <w:p w14:paraId="7FCC804E">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tcBorders>
                    <w:tl2br w:val="nil"/>
                    <w:tr2bl w:val="nil"/>
                  </w:tcBorders>
                  <w:vAlign w:val="center"/>
                </w:tcPr>
                <w:p w14:paraId="63633508">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厂界上风向3#</w:t>
                  </w:r>
                </w:p>
              </w:tc>
              <w:tc>
                <w:tcPr>
                  <w:tcW w:w="1689" w:type="dxa"/>
                  <w:tcBorders>
                    <w:tl2br w:val="nil"/>
                    <w:tr2bl w:val="nil"/>
                  </w:tcBorders>
                  <w:vAlign w:val="center"/>
                </w:tcPr>
                <w:p w14:paraId="6FF6681E">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0.0102</w:t>
                  </w:r>
                </w:p>
              </w:tc>
              <w:tc>
                <w:tcPr>
                  <w:tcW w:w="1741" w:type="dxa"/>
                  <w:tcBorders>
                    <w:tl2br w:val="nil"/>
                    <w:tr2bl w:val="nil"/>
                  </w:tcBorders>
                  <w:vAlign w:val="center"/>
                </w:tcPr>
                <w:p w14:paraId="5B053C89">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0.0112</w:t>
                  </w:r>
                </w:p>
              </w:tc>
              <w:tc>
                <w:tcPr>
                  <w:tcW w:w="1552" w:type="dxa"/>
                  <w:tcBorders>
                    <w:tl2br w:val="nil"/>
                    <w:tr2bl w:val="nil"/>
                  </w:tcBorders>
                  <w:vAlign w:val="center"/>
                </w:tcPr>
                <w:p w14:paraId="72F03480">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0.0106</w:t>
                  </w:r>
                </w:p>
              </w:tc>
            </w:tr>
            <w:tr w14:paraId="3A25B9F1">
              <w:tblPrEx>
                <w:tblBorders>
                  <w:top w:val="single" w:color="1C1B10" w:sz="6" w:space="0"/>
                  <w:left w:val="single" w:color="1C1B10" w:sz="6" w:space="0"/>
                  <w:bottom w:val="single" w:color="1C1B10" w:sz="6" w:space="0"/>
                  <w:right w:val="single" w:color="1C1B10" w:sz="6" w:space="0"/>
                  <w:insideH w:val="single" w:color="1C1B10" w:sz="6" w:space="0"/>
                  <w:insideV w:val="single" w:color="1C1B10" w:sz="6" w:space="0"/>
                </w:tblBorders>
                <w:tblCellMar>
                  <w:top w:w="0" w:type="dxa"/>
                  <w:left w:w="108" w:type="dxa"/>
                  <w:bottom w:w="0" w:type="dxa"/>
                  <w:right w:w="108" w:type="dxa"/>
                </w:tblCellMar>
              </w:tblPrEx>
              <w:trPr>
                <w:trHeight w:val="262" w:hRule="atLeast"/>
                <w:jc w:val="center"/>
              </w:trPr>
              <w:tc>
                <w:tcPr>
                  <w:tcW w:w="1413" w:type="dxa"/>
                  <w:vMerge w:val="continue"/>
                  <w:tcBorders>
                    <w:tl2br w:val="nil"/>
                    <w:tr2bl w:val="nil"/>
                  </w:tcBorders>
                  <w:vAlign w:val="center"/>
                </w:tcPr>
                <w:p w14:paraId="1AC69674">
                  <w:pPr>
                    <w:spacing w:line="240" w:lineRule="auto"/>
                    <w:ind w:firstLine="0" w:firstLineChars="0"/>
                    <w:jc w:val="center"/>
                    <w:rPr>
                      <w:rFonts w:eastAsiaTheme="minorEastAsia"/>
                      <w:color w:val="000000" w:themeColor="text1"/>
                      <w:sz w:val="21"/>
                      <w:szCs w:val="21"/>
                      <w14:textFill>
                        <w14:solidFill>
                          <w14:schemeClr w14:val="tx1"/>
                        </w14:solidFill>
                      </w14:textFill>
                    </w:rPr>
                  </w:pPr>
                </w:p>
              </w:tc>
              <w:tc>
                <w:tcPr>
                  <w:tcW w:w="1844" w:type="dxa"/>
                  <w:tcBorders>
                    <w:tl2br w:val="nil"/>
                    <w:tr2bl w:val="nil"/>
                  </w:tcBorders>
                  <w:vAlign w:val="center"/>
                </w:tcPr>
                <w:p w14:paraId="4F86920B">
                  <w:pPr>
                    <w:spacing w:line="240" w:lineRule="auto"/>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厂界上风向4#</w:t>
                  </w:r>
                </w:p>
              </w:tc>
              <w:tc>
                <w:tcPr>
                  <w:tcW w:w="1689" w:type="dxa"/>
                  <w:tcBorders>
                    <w:tl2br w:val="nil"/>
                    <w:tr2bl w:val="nil"/>
                  </w:tcBorders>
                  <w:vAlign w:val="center"/>
                </w:tcPr>
                <w:p w14:paraId="789D88C8">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0.0101</w:t>
                  </w:r>
                </w:p>
              </w:tc>
              <w:tc>
                <w:tcPr>
                  <w:tcW w:w="1741" w:type="dxa"/>
                  <w:tcBorders>
                    <w:tl2br w:val="nil"/>
                    <w:tr2bl w:val="nil"/>
                  </w:tcBorders>
                  <w:vAlign w:val="center"/>
                </w:tcPr>
                <w:p w14:paraId="4E956A39">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0.0111</w:t>
                  </w:r>
                </w:p>
              </w:tc>
              <w:tc>
                <w:tcPr>
                  <w:tcW w:w="1552" w:type="dxa"/>
                  <w:tcBorders>
                    <w:tl2br w:val="nil"/>
                    <w:tr2bl w:val="nil"/>
                  </w:tcBorders>
                  <w:vAlign w:val="center"/>
                </w:tcPr>
                <w:p w14:paraId="5518F96D">
                  <w:pPr>
                    <w:spacing w:line="240" w:lineRule="auto"/>
                    <w:ind w:firstLine="0" w:firstLineChars="0"/>
                    <w:jc w:val="center"/>
                    <w:textAlignment w:val="center"/>
                    <w:rPr>
                      <w:rFonts w:eastAsiaTheme="minorEastAsia"/>
                      <w:color w:val="000000" w:themeColor="text1"/>
                      <w:kern w:val="0"/>
                      <w:sz w:val="21"/>
                      <w:szCs w:val="21"/>
                      <w:lang w:bidi="ar"/>
                      <w14:textFill>
                        <w14:solidFill>
                          <w14:schemeClr w14:val="tx1"/>
                        </w14:solidFill>
                      </w14:textFill>
                    </w:rPr>
                  </w:pPr>
                  <w:r>
                    <w:rPr>
                      <w:rFonts w:eastAsiaTheme="minorEastAsia"/>
                      <w:color w:val="000000" w:themeColor="text1"/>
                      <w:kern w:val="0"/>
                      <w:sz w:val="21"/>
                      <w:szCs w:val="21"/>
                      <w:lang w:bidi="ar"/>
                      <w14:textFill>
                        <w14:solidFill>
                          <w14:schemeClr w14:val="tx1"/>
                        </w14:solidFill>
                      </w14:textFill>
                    </w:rPr>
                    <w:t>0.0108</w:t>
                  </w:r>
                </w:p>
              </w:tc>
            </w:tr>
          </w:tbl>
          <w:p w14:paraId="545B293E">
            <w:pPr>
              <w:pStyle w:val="312"/>
              <w:widowControl w:val="0"/>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由上表可以看出：无组织废气中颗粒物最大排放浓度为0.750mg/m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14:textFill>
                  <w14:solidFill>
                    <w14:schemeClr w14:val="tx1"/>
                  </w14:solidFill>
                </w14:textFill>
              </w:rPr>
              <w:t>，二氧化硫最大排放浓度为0.108mg/m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14:textFill>
                  <w14:solidFill>
                    <w14:schemeClr w14:val="tx1"/>
                  </w14:solidFill>
                </w14:textFill>
              </w:rPr>
              <w:t>，氟化物最大排放浓度为0.0112mg/m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14:textFill>
                  <w14:solidFill>
                    <w14:schemeClr w14:val="tx1"/>
                  </w14:solidFill>
                </w14:textFill>
              </w:rPr>
              <w:t>，均符合《砖瓦工业大气污染物排放标准》（GB29620-2013）表3中标准限值要求（颗粒物：1.0mg/m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14:textFill>
                  <w14:solidFill>
                    <w14:schemeClr w14:val="tx1"/>
                  </w14:solidFill>
                </w14:textFill>
              </w:rPr>
              <w:t>、二氧化硫：0.5mg/m</w:t>
            </w:r>
            <w:r>
              <w:rPr>
                <w:rFonts w:eastAsiaTheme="minorEastAsia"/>
                <w:color w:val="000000" w:themeColor="text1"/>
                <w:vertAlign w:val="superscript"/>
                <w14:textFill>
                  <w14:solidFill>
                    <w14:schemeClr w14:val="tx1"/>
                  </w14:solidFill>
                </w14:textFill>
              </w:rPr>
              <w:t>3</w:t>
            </w:r>
            <w:r>
              <w:rPr>
                <w:rFonts w:eastAsiaTheme="minorEastAsia"/>
                <w:color w:val="000000" w:themeColor="text1"/>
                <w14:textFill>
                  <w14:solidFill>
                    <w14:schemeClr w14:val="tx1"/>
                  </w14:solidFill>
                </w14:textFill>
              </w:rPr>
              <w:t>、</w:t>
            </w:r>
            <w:r>
              <w:rPr>
                <w:rFonts w:eastAsiaTheme="minorEastAsia"/>
                <w:color w:val="000000" w:themeColor="text1"/>
                <w:szCs w:val="24"/>
                <w14:textFill>
                  <w14:solidFill>
                    <w14:schemeClr w14:val="tx1"/>
                  </w14:solidFill>
                </w14:textFill>
              </w:rPr>
              <w:t>氟化物：0.02mg/m</w:t>
            </w:r>
            <w:r>
              <w:rPr>
                <w:rFonts w:eastAsiaTheme="minorEastAsia"/>
                <w:color w:val="000000" w:themeColor="text1"/>
                <w:szCs w:val="24"/>
                <w:vertAlign w:val="superscript"/>
                <w14:textFill>
                  <w14:solidFill>
                    <w14:schemeClr w14:val="tx1"/>
                  </w14:solidFill>
                </w14:textFill>
              </w:rPr>
              <w:t>3</w:t>
            </w:r>
            <w:r>
              <w:rPr>
                <w:rFonts w:eastAsiaTheme="minorEastAsia"/>
                <w:color w:val="000000" w:themeColor="text1"/>
                <w14:textFill>
                  <w14:solidFill>
                    <w14:schemeClr w14:val="tx1"/>
                  </w14:solidFill>
                </w14:textFill>
              </w:rPr>
              <w:t>）。</w:t>
            </w:r>
          </w:p>
          <w:p w14:paraId="484A0F6E">
            <w:pPr>
              <w:pStyle w:val="312"/>
              <w:widowControl w:val="0"/>
              <w:ind w:firstLine="480"/>
              <w:rPr>
                <w:rFonts w:hint="eastAsia" w:asciiTheme="minorEastAsia" w:hAnsiTheme="minorEastAsia" w:eastAsiaTheme="minorEastAsia" w:cstheme="minorEastAsia"/>
                <w:color w:val="000000" w:themeColor="text1"/>
                <w14:textFill>
                  <w14:solidFill>
                    <w14:schemeClr w14:val="tx1"/>
                  </w14:solidFill>
                </w14:textFill>
              </w:rPr>
            </w:pPr>
            <w:r>
              <w:rPr>
                <w:rFonts w:eastAsiaTheme="minorEastAsia"/>
                <w:color w:val="000000" w:themeColor="text1"/>
                <w:kern w:val="0"/>
                <w:szCs w:val="20"/>
                <w:lang w:bidi="ar"/>
                <w14:textFill>
                  <w14:solidFill>
                    <w14:schemeClr w14:val="tx1"/>
                  </w14:solidFill>
                </w14:textFill>
              </w:rPr>
              <w:t>经现场踏勘，</w:t>
            </w:r>
            <w:r>
              <w:rPr>
                <w:rFonts w:hint="eastAsia" w:eastAsiaTheme="minorEastAsia"/>
                <w:color w:val="000000" w:themeColor="text1"/>
                <w:kern w:val="0"/>
                <w:szCs w:val="20"/>
                <w:lang w:bidi="ar"/>
                <w14:textFill>
                  <w14:solidFill>
                    <w14:schemeClr w14:val="tx1"/>
                  </w14:solidFill>
                </w14:textFill>
              </w:rPr>
              <w:t>公司不存在现有环境问题。</w:t>
            </w:r>
          </w:p>
          <w:p w14:paraId="5C3EDBFB">
            <w:pPr>
              <w:pStyle w:val="312"/>
              <w:widowControl w:val="0"/>
              <w:ind w:firstLine="480"/>
              <w:rPr>
                <w:rFonts w:hint="eastAsia" w:asciiTheme="minorEastAsia" w:hAnsiTheme="minorEastAsia" w:eastAsiaTheme="minorEastAsia" w:cstheme="minorEastAsia"/>
                <w:color w:val="000000" w:themeColor="text1"/>
                <w14:textFill>
                  <w14:solidFill>
                    <w14:schemeClr w14:val="tx1"/>
                  </w14:solidFill>
                </w14:textFill>
              </w:rPr>
            </w:pPr>
          </w:p>
          <w:p w14:paraId="728A1109">
            <w:pPr>
              <w:pStyle w:val="312"/>
              <w:widowControl w:val="0"/>
              <w:ind w:firstLine="0" w:firstLineChars="0"/>
              <w:rPr>
                <w:rFonts w:hint="eastAsia" w:asciiTheme="minorEastAsia" w:hAnsiTheme="minorEastAsia" w:eastAsiaTheme="minorEastAsia" w:cstheme="minorEastAsia"/>
                <w:color w:val="000000" w:themeColor="text1"/>
                <w14:textFill>
                  <w14:solidFill>
                    <w14:schemeClr w14:val="tx1"/>
                  </w14:solidFill>
                </w14:textFill>
              </w:rPr>
            </w:pPr>
          </w:p>
        </w:tc>
      </w:tr>
    </w:tbl>
    <w:p w14:paraId="198E8397">
      <w:pPr>
        <w:pStyle w:val="312"/>
        <w:keepNext/>
        <w:keepLines/>
        <w:pageBreakBefore/>
        <w:numPr>
          <w:ilvl w:val="0"/>
          <w:numId w:val="13"/>
        </w:numPr>
        <w:spacing w:line="240" w:lineRule="auto"/>
        <w:ind w:firstLineChars="0"/>
        <w:jc w:val="center"/>
        <w:outlineLvl w:val="0"/>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区域环境质量现状、环境保护目标及评价标准</w:t>
      </w:r>
    </w:p>
    <w:tbl>
      <w:tblPr>
        <w:tblStyle w:val="82"/>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6"/>
        <w:gridCol w:w="8460"/>
      </w:tblGrid>
      <w:tr w14:paraId="64830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826" w:type="dxa"/>
            <w:vAlign w:val="center"/>
          </w:tcPr>
          <w:p w14:paraId="0B5AF766">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区域</w:t>
            </w:r>
          </w:p>
          <w:p w14:paraId="3BD1B8BB">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环境</w:t>
            </w:r>
          </w:p>
          <w:p w14:paraId="77A8AC01">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质量</w:t>
            </w:r>
          </w:p>
          <w:p w14:paraId="1CDBACE8">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现状</w:t>
            </w:r>
          </w:p>
        </w:tc>
        <w:tc>
          <w:tcPr>
            <w:tcW w:w="8460" w:type="dxa"/>
          </w:tcPr>
          <w:p w14:paraId="32851494">
            <w:pPr>
              <w:ind w:firstLine="482"/>
              <w:rPr>
                <w:b/>
                <w:color w:val="000000" w:themeColor="text1"/>
                <w:lang w:bidi="ar"/>
                <w14:textFill>
                  <w14:solidFill>
                    <w14:schemeClr w14:val="tx1"/>
                  </w14:solidFill>
                </w14:textFill>
              </w:rPr>
            </w:pPr>
            <w:r>
              <w:rPr>
                <w:b/>
                <w:color w:val="000000" w:themeColor="text1"/>
                <w:lang w:bidi="ar"/>
                <w14:textFill>
                  <w14:solidFill>
                    <w14:schemeClr w14:val="tx1"/>
                  </w14:solidFill>
                </w14:textFill>
              </w:rPr>
              <w:t>1.环境空气质量现状</w:t>
            </w:r>
          </w:p>
          <w:p w14:paraId="36733281">
            <w:pPr>
              <w:pStyle w:val="19"/>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（1）2024年环保快报中榆阳区环境质量状况</w:t>
            </w:r>
          </w:p>
          <w:p w14:paraId="7C65564D">
            <w:pPr>
              <w:pStyle w:val="19"/>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本项目位于榆林市榆阳区，根据《环境影响评价技术导则 大气环境》(HJ2.2-2018)的要求，评价引用陕西省环保厅发布的全省2024年环保快报中榆林市榆阳区2024年1-12月环境质量状况统计结果，区域环境空气质量见下表。</w:t>
            </w:r>
          </w:p>
          <w:p w14:paraId="56ACC733">
            <w:pPr>
              <w:pStyle w:val="312"/>
              <w:widowControl w:val="0"/>
              <w:numPr>
                <w:ilvl w:val="0"/>
                <w:numId w:val="14"/>
              </w:numPr>
              <w:spacing w:line="240" w:lineRule="auto"/>
              <w:ind w:left="0" w:firstLine="482"/>
              <w:rPr>
                <w:rFonts w:eastAsiaTheme="minorEastAsia"/>
                <w:b/>
                <w:color w:val="000000" w:themeColor="text1"/>
                <w:szCs w:val="20"/>
                <w14:textFill>
                  <w14:solidFill>
                    <w14:schemeClr w14:val="tx1"/>
                  </w14:solidFill>
                </w14:textFill>
              </w:rPr>
            </w:pPr>
            <w:r>
              <w:rPr>
                <w:rFonts w:hint="eastAsia" w:eastAsiaTheme="minorEastAsia"/>
                <w:b/>
                <w:color w:val="000000" w:themeColor="text1"/>
                <w:szCs w:val="20"/>
                <w14:textFill>
                  <w14:solidFill>
                    <w14:schemeClr w14:val="tx1"/>
                  </w14:solidFill>
                </w14:textFill>
              </w:rPr>
              <w:t xml:space="preserve">     </w:t>
            </w:r>
            <w:r>
              <w:rPr>
                <w:rFonts w:eastAsiaTheme="minorEastAsia"/>
                <w:b/>
                <w:color w:val="000000" w:themeColor="text1"/>
                <w:szCs w:val="20"/>
                <w14:textFill>
                  <w14:solidFill>
                    <w14:schemeClr w14:val="tx1"/>
                  </w14:solidFill>
                </w14:textFill>
              </w:rPr>
              <w:t>榆林市榆阳区2024年1-12月环境质量状况统计结果</w:t>
            </w:r>
          </w:p>
          <w:tbl>
            <w:tblPr>
              <w:tblStyle w:val="82"/>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2897"/>
              <w:gridCol w:w="1877"/>
              <w:gridCol w:w="1080"/>
              <w:gridCol w:w="1447"/>
            </w:tblGrid>
            <w:tr w14:paraId="3176E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562" w:type="pct"/>
                  <w:tcBorders>
                    <w:tl2br w:val="nil"/>
                    <w:tr2bl w:val="nil"/>
                  </w:tcBorders>
                  <w:vAlign w:val="center"/>
                </w:tcPr>
                <w:p w14:paraId="3D62D9DA">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1760" w:type="pct"/>
                  <w:tcBorders>
                    <w:tl2br w:val="nil"/>
                    <w:tr2bl w:val="nil"/>
                  </w:tcBorders>
                  <w:vAlign w:val="center"/>
                </w:tcPr>
                <w:p w14:paraId="144C505F">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评价因子</w:t>
                  </w:r>
                </w:p>
              </w:tc>
              <w:tc>
                <w:tcPr>
                  <w:tcW w:w="1140" w:type="pct"/>
                  <w:tcBorders>
                    <w:tl2br w:val="nil"/>
                    <w:tr2bl w:val="nil"/>
                  </w:tcBorders>
                  <w:vAlign w:val="center"/>
                </w:tcPr>
                <w:p w14:paraId="4EB40DA0">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年均浓度</w:t>
                  </w:r>
                </w:p>
              </w:tc>
              <w:tc>
                <w:tcPr>
                  <w:tcW w:w="656" w:type="pct"/>
                  <w:tcBorders>
                    <w:tl2br w:val="nil"/>
                    <w:tr2bl w:val="nil"/>
                  </w:tcBorders>
                  <w:vAlign w:val="center"/>
                </w:tcPr>
                <w:p w14:paraId="6C7B870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二级标准</w:t>
                  </w:r>
                </w:p>
              </w:tc>
              <w:tc>
                <w:tcPr>
                  <w:tcW w:w="879" w:type="pct"/>
                  <w:tcBorders>
                    <w:tl2br w:val="nil"/>
                    <w:tr2bl w:val="nil"/>
                  </w:tcBorders>
                  <w:vAlign w:val="center"/>
                </w:tcPr>
                <w:p w14:paraId="59F89B9E">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达标情况</w:t>
                  </w:r>
                </w:p>
              </w:tc>
            </w:tr>
            <w:tr w14:paraId="47F7A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562" w:type="pct"/>
                  <w:tcBorders>
                    <w:tl2br w:val="nil"/>
                    <w:tr2bl w:val="nil"/>
                  </w:tcBorders>
                  <w:vAlign w:val="center"/>
                </w:tcPr>
                <w:p w14:paraId="39C3144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760" w:type="pct"/>
                  <w:tcBorders>
                    <w:tl2br w:val="nil"/>
                    <w:tr2bl w:val="nil"/>
                  </w:tcBorders>
                  <w:vAlign w:val="center"/>
                </w:tcPr>
                <w:p w14:paraId="0BEDB91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10</w:t>
                  </w:r>
                  <w:r>
                    <w:rPr>
                      <w:color w:val="000000" w:themeColor="text1"/>
                      <w:sz w:val="21"/>
                      <w:szCs w:val="21"/>
                      <w14:textFill>
                        <w14:solidFill>
                          <w14:schemeClr w14:val="tx1"/>
                        </w14:solidFill>
                      </w14:textFill>
                    </w:rPr>
                    <w:t>均值(ug/m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1140" w:type="pct"/>
                  <w:tcBorders>
                    <w:tl2br w:val="nil"/>
                    <w:tr2bl w:val="nil"/>
                  </w:tcBorders>
                  <w:vAlign w:val="center"/>
                </w:tcPr>
                <w:p w14:paraId="39E28444">
                  <w:pPr>
                    <w:pStyle w:val="144"/>
                    <w:autoSpaceDE/>
                    <w:autoSpaceDN/>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51</w:t>
                  </w:r>
                </w:p>
              </w:tc>
              <w:tc>
                <w:tcPr>
                  <w:tcW w:w="656" w:type="pct"/>
                  <w:tcBorders>
                    <w:tl2br w:val="nil"/>
                    <w:tr2bl w:val="nil"/>
                  </w:tcBorders>
                  <w:vAlign w:val="center"/>
                </w:tcPr>
                <w:p w14:paraId="41F9078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w:t>
                  </w:r>
                </w:p>
              </w:tc>
              <w:tc>
                <w:tcPr>
                  <w:tcW w:w="879" w:type="pct"/>
                  <w:tcBorders>
                    <w:tl2br w:val="nil"/>
                    <w:tr2bl w:val="nil"/>
                  </w:tcBorders>
                  <w:vAlign w:val="center"/>
                </w:tcPr>
                <w:p w14:paraId="09A2DCA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7FB7D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562" w:type="pct"/>
                  <w:tcBorders>
                    <w:tl2br w:val="nil"/>
                    <w:tr2bl w:val="nil"/>
                  </w:tcBorders>
                  <w:vAlign w:val="center"/>
                </w:tcPr>
                <w:p w14:paraId="033D64A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760" w:type="pct"/>
                  <w:tcBorders>
                    <w:tl2br w:val="nil"/>
                    <w:tr2bl w:val="nil"/>
                  </w:tcBorders>
                  <w:vAlign w:val="center"/>
                </w:tcPr>
                <w:p w14:paraId="654AFF7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2.5</w:t>
                  </w:r>
                  <w:r>
                    <w:rPr>
                      <w:color w:val="000000" w:themeColor="text1"/>
                      <w:sz w:val="21"/>
                      <w:szCs w:val="21"/>
                      <w14:textFill>
                        <w14:solidFill>
                          <w14:schemeClr w14:val="tx1"/>
                        </w14:solidFill>
                      </w14:textFill>
                    </w:rPr>
                    <w:t>均值(ug/m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1140" w:type="pct"/>
                  <w:tcBorders>
                    <w:tl2br w:val="nil"/>
                    <w:tr2bl w:val="nil"/>
                  </w:tcBorders>
                  <w:vAlign w:val="center"/>
                </w:tcPr>
                <w:p w14:paraId="09370C78">
                  <w:pPr>
                    <w:pStyle w:val="144"/>
                    <w:autoSpaceDE/>
                    <w:autoSpaceDN/>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25</w:t>
                  </w:r>
                </w:p>
              </w:tc>
              <w:tc>
                <w:tcPr>
                  <w:tcW w:w="656" w:type="pct"/>
                  <w:tcBorders>
                    <w:tl2br w:val="nil"/>
                    <w:tr2bl w:val="nil"/>
                  </w:tcBorders>
                  <w:vAlign w:val="center"/>
                </w:tcPr>
                <w:p w14:paraId="1FE5FD5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w:t>
                  </w:r>
                </w:p>
              </w:tc>
              <w:tc>
                <w:tcPr>
                  <w:tcW w:w="879" w:type="pct"/>
                  <w:tcBorders>
                    <w:tl2br w:val="nil"/>
                    <w:tr2bl w:val="nil"/>
                  </w:tcBorders>
                  <w:vAlign w:val="center"/>
                </w:tcPr>
                <w:p w14:paraId="55357AE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3A897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562" w:type="pct"/>
                  <w:tcBorders>
                    <w:tl2br w:val="nil"/>
                    <w:tr2bl w:val="nil"/>
                  </w:tcBorders>
                  <w:vAlign w:val="center"/>
                </w:tcPr>
                <w:p w14:paraId="4A9A2DD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760" w:type="pct"/>
                  <w:tcBorders>
                    <w:tl2br w:val="nil"/>
                    <w:tr2bl w:val="nil"/>
                  </w:tcBorders>
                  <w:vAlign w:val="center"/>
                </w:tcPr>
                <w:p w14:paraId="17DDA1F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均值(ug/m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1140" w:type="pct"/>
                  <w:tcBorders>
                    <w:tl2br w:val="nil"/>
                    <w:tr2bl w:val="nil"/>
                  </w:tcBorders>
                  <w:vAlign w:val="center"/>
                </w:tcPr>
                <w:p w14:paraId="2C9A78AA">
                  <w:pPr>
                    <w:pStyle w:val="144"/>
                    <w:autoSpaceDE/>
                    <w:autoSpaceDN/>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w:t>
                  </w:r>
                </w:p>
              </w:tc>
              <w:tc>
                <w:tcPr>
                  <w:tcW w:w="656" w:type="pct"/>
                  <w:tcBorders>
                    <w:tl2br w:val="nil"/>
                    <w:tr2bl w:val="nil"/>
                  </w:tcBorders>
                  <w:vAlign w:val="center"/>
                </w:tcPr>
                <w:p w14:paraId="3D13CAA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879" w:type="pct"/>
                  <w:tcBorders>
                    <w:tl2br w:val="nil"/>
                    <w:tr2bl w:val="nil"/>
                  </w:tcBorders>
                  <w:vAlign w:val="center"/>
                </w:tcPr>
                <w:p w14:paraId="3B51572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35E11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562" w:type="pct"/>
                  <w:tcBorders>
                    <w:tl2br w:val="nil"/>
                    <w:tr2bl w:val="nil"/>
                  </w:tcBorders>
                  <w:vAlign w:val="center"/>
                </w:tcPr>
                <w:p w14:paraId="4791845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760" w:type="pct"/>
                  <w:tcBorders>
                    <w:tl2br w:val="nil"/>
                    <w:tr2bl w:val="nil"/>
                  </w:tcBorders>
                  <w:vAlign w:val="center"/>
                </w:tcPr>
                <w:p w14:paraId="34900B4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均值(ug/m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1140" w:type="pct"/>
                  <w:tcBorders>
                    <w:tl2br w:val="nil"/>
                    <w:tr2bl w:val="nil"/>
                  </w:tcBorders>
                  <w:vAlign w:val="center"/>
                </w:tcPr>
                <w:p w14:paraId="150C6ED1">
                  <w:pPr>
                    <w:pStyle w:val="144"/>
                    <w:autoSpaceDE/>
                    <w:autoSpaceDN/>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w:t>
                  </w:r>
                </w:p>
              </w:tc>
              <w:tc>
                <w:tcPr>
                  <w:tcW w:w="656" w:type="pct"/>
                  <w:tcBorders>
                    <w:tl2br w:val="nil"/>
                    <w:tr2bl w:val="nil"/>
                  </w:tcBorders>
                  <w:vAlign w:val="center"/>
                </w:tcPr>
                <w:p w14:paraId="1904163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879" w:type="pct"/>
                  <w:tcBorders>
                    <w:tl2br w:val="nil"/>
                    <w:tr2bl w:val="nil"/>
                  </w:tcBorders>
                  <w:vAlign w:val="center"/>
                </w:tcPr>
                <w:p w14:paraId="4CD581C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77632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562" w:type="pct"/>
                  <w:tcBorders>
                    <w:tl2br w:val="nil"/>
                    <w:tr2bl w:val="nil"/>
                  </w:tcBorders>
                  <w:vAlign w:val="center"/>
                </w:tcPr>
                <w:p w14:paraId="1646C53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760" w:type="pct"/>
                  <w:tcBorders>
                    <w:tl2br w:val="nil"/>
                    <w:tr2bl w:val="nil"/>
                  </w:tcBorders>
                  <w:vAlign w:val="center"/>
                </w:tcPr>
                <w:p w14:paraId="34082CE4">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CO第95百分位浓度(mg/m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1140" w:type="pct"/>
                  <w:tcBorders>
                    <w:tl2br w:val="nil"/>
                    <w:tr2bl w:val="nil"/>
                  </w:tcBorders>
                  <w:vAlign w:val="center"/>
                </w:tcPr>
                <w:p w14:paraId="38AEE7DE">
                  <w:pPr>
                    <w:pStyle w:val="144"/>
                    <w:autoSpaceDE/>
                    <w:autoSpaceDN/>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1.1(日均)</w:t>
                  </w:r>
                </w:p>
              </w:tc>
              <w:tc>
                <w:tcPr>
                  <w:tcW w:w="656" w:type="pct"/>
                  <w:tcBorders>
                    <w:tl2br w:val="nil"/>
                    <w:tr2bl w:val="nil"/>
                  </w:tcBorders>
                  <w:vAlign w:val="center"/>
                </w:tcPr>
                <w:p w14:paraId="2901FC9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879" w:type="pct"/>
                  <w:tcBorders>
                    <w:tl2br w:val="nil"/>
                    <w:tr2bl w:val="nil"/>
                  </w:tcBorders>
                  <w:vAlign w:val="center"/>
                </w:tcPr>
                <w:p w14:paraId="4C44685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015EC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562" w:type="pct"/>
                  <w:tcBorders>
                    <w:tl2br w:val="nil"/>
                    <w:tr2bl w:val="nil"/>
                  </w:tcBorders>
                  <w:vAlign w:val="center"/>
                </w:tcPr>
                <w:p w14:paraId="3162302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1760" w:type="pct"/>
                  <w:tcBorders>
                    <w:tl2br w:val="nil"/>
                    <w:tr2bl w:val="nil"/>
                  </w:tcBorders>
                  <w:vAlign w:val="center"/>
                </w:tcPr>
                <w:p w14:paraId="1EDEA54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O</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第90百分位浓度(ug/m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1140" w:type="pct"/>
                  <w:tcBorders>
                    <w:tl2br w:val="nil"/>
                    <w:tr2bl w:val="nil"/>
                  </w:tcBorders>
                  <w:vAlign w:val="center"/>
                </w:tcPr>
                <w:p w14:paraId="5E7795D1">
                  <w:pPr>
                    <w:pStyle w:val="144"/>
                    <w:autoSpaceDE/>
                    <w:autoSpaceDN/>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163(8小时平均)</w:t>
                  </w:r>
                </w:p>
              </w:tc>
              <w:tc>
                <w:tcPr>
                  <w:tcW w:w="656" w:type="pct"/>
                  <w:tcBorders>
                    <w:tl2br w:val="nil"/>
                    <w:tr2bl w:val="nil"/>
                  </w:tcBorders>
                  <w:vAlign w:val="center"/>
                </w:tcPr>
                <w:p w14:paraId="2CBB6AE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160</w:t>
                  </w:r>
                </w:p>
              </w:tc>
              <w:tc>
                <w:tcPr>
                  <w:tcW w:w="879" w:type="pct"/>
                  <w:tcBorders>
                    <w:tl2br w:val="nil"/>
                    <w:tr2bl w:val="nil"/>
                  </w:tcBorders>
                  <w:vAlign w:val="center"/>
                </w:tcPr>
                <w:p w14:paraId="2D0058E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超标0.019倍</w:t>
                  </w:r>
                </w:p>
              </w:tc>
            </w:tr>
          </w:tbl>
          <w:p w14:paraId="2D30CCF1">
            <w:pPr>
              <w:ind w:firstLine="480"/>
              <w:rPr>
                <w:color w:val="000000" w:themeColor="text1"/>
                <w14:textFill>
                  <w14:solidFill>
                    <w14:schemeClr w14:val="tx1"/>
                  </w14:solidFill>
                </w14:textFill>
              </w:rPr>
            </w:pPr>
            <w:r>
              <w:rPr>
                <w:color w:val="000000" w:themeColor="text1"/>
                <w14:textFill>
                  <w14:solidFill>
                    <w14:schemeClr w14:val="tx1"/>
                  </w14:solidFill>
                </w14:textFill>
              </w:rPr>
              <w:t>由上表可知，</w:t>
            </w:r>
            <w:bookmarkStart w:id="3" w:name="_Hlk9161757"/>
            <w:r>
              <w:rPr>
                <w:color w:val="000000" w:themeColor="text1"/>
                <w14:textFill>
                  <w14:solidFill>
                    <w14:schemeClr w14:val="tx1"/>
                  </w14:solidFill>
                </w14:textFill>
              </w:rPr>
              <w:t>2024年榆林市榆阳区大气污染物中PM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及CO浓度均满足《环境空气质量标准》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GB3095-2012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中二级标准要求，O</w:t>
            </w:r>
            <w:r>
              <w:rPr>
                <w:color w:val="000000" w:themeColor="text1"/>
                <w:vertAlign w:val="subscript"/>
                <w14:textFill>
                  <w14:solidFill>
                    <w14:schemeClr w14:val="tx1"/>
                  </w14:solidFill>
                </w14:textFill>
              </w:rPr>
              <w:t>3</w:t>
            </w:r>
            <w:bookmarkEnd w:id="3"/>
            <w:r>
              <w:rPr>
                <w:color w:val="000000" w:themeColor="text1"/>
                <w14:textFill>
                  <w14:solidFill>
                    <w14:schemeClr w14:val="tx1"/>
                  </w14:solidFill>
                </w14:textFill>
              </w:rPr>
              <w:t>浓度值超标，属于不达标区。</w:t>
            </w:r>
          </w:p>
          <w:p w14:paraId="4433090D">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（2）</w:t>
            </w:r>
            <w:r>
              <w:rPr>
                <w:color w:val="000000" w:themeColor="text1"/>
                <w:lang w:bidi="ar"/>
                <w14:textFill>
                  <w14:solidFill>
                    <w14:schemeClr w14:val="tx1"/>
                  </w14:solidFill>
                </w14:textFill>
              </w:rPr>
              <w:t>大气特征因子监测</w:t>
            </w:r>
          </w:p>
          <w:p w14:paraId="74EF1258">
            <w:pPr>
              <w:ind w:firstLine="480"/>
              <w:rPr>
                <w:color w:val="000000" w:themeColor="text1"/>
                <w14:textFill>
                  <w14:solidFill>
                    <w14:schemeClr w14:val="tx1"/>
                  </w14:solidFill>
                </w14:textFill>
              </w:rPr>
            </w:pPr>
            <w:r>
              <w:rPr>
                <w:color w:val="000000" w:themeColor="text1"/>
                <w14:textFill>
                  <w14:solidFill>
                    <w14:schemeClr w14:val="tx1"/>
                  </w14:solidFill>
                </w14:textFill>
              </w:rPr>
              <w:t>中量检测认证有限公司于2025年8月21日-2025年8月24日对项目地西南侧330米处阎家伙场大气质量现状进行</w:t>
            </w:r>
            <w:r>
              <w:rPr>
                <w:color w:val="000000" w:themeColor="text1"/>
                <w:sz w:val="21"/>
                <w:szCs w:val="21"/>
                <w14:textFill>
                  <w14:solidFill>
                    <w14:schemeClr w14:val="tx1"/>
                  </w14:solidFill>
                </w14:textFill>
              </w:rPr>
              <w:t>总悬浮颗粒物</w:t>
            </w:r>
            <w:r>
              <w:rPr>
                <w:color w:val="000000" w:themeColor="text1"/>
                <w14:textFill>
                  <w14:solidFill>
                    <w14:schemeClr w14:val="tx1"/>
                  </w14:solidFill>
                </w14:textFill>
              </w:rPr>
              <w:t>监测。</w:t>
            </w:r>
          </w:p>
          <w:p w14:paraId="60735F9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陕西精益达安全环保技术服务有限公司</w:t>
            </w:r>
            <w:r>
              <w:rPr>
                <w:color w:val="000000" w:themeColor="text1"/>
                <w14:textFill>
                  <w14:solidFill>
                    <w14:schemeClr w14:val="tx1"/>
                  </w14:solidFill>
                </w14:textFill>
              </w:rPr>
              <w:t>于2025年</w:t>
            </w:r>
            <w:r>
              <w:rPr>
                <w:rFonts w:hint="eastAsia"/>
                <w:color w:val="000000" w:themeColor="text1"/>
                <w:lang w:val="en-US" w:eastAsia="zh-CN"/>
                <w14:textFill>
                  <w14:solidFill>
                    <w14:schemeClr w14:val="tx1"/>
                  </w14:solidFill>
                </w14:textFill>
              </w:rPr>
              <w:t>11</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日-2025年</w:t>
            </w:r>
            <w:r>
              <w:rPr>
                <w:rFonts w:hint="eastAsia"/>
                <w:color w:val="000000" w:themeColor="text1"/>
                <w:lang w:val="en-US" w:eastAsia="zh-CN"/>
                <w14:textFill>
                  <w14:solidFill>
                    <w14:schemeClr w14:val="tx1"/>
                  </w14:solidFill>
                </w14:textFill>
              </w:rPr>
              <w:t>11</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日对项目地西南侧330米处阎家伙场大气质量现状进行</w:t>
            </w:r>
            <w:r>
              <w:rPr>
                <w:rFonts w:hint="eastAsia"/>
                <w:color w:val="000000" w:themeColor="text1"/>
                <w:lang w:val="en-US" w:eastAsia="zh-CN"/>
                <w14:textFill>
                  <w14:solidFill>
                    <w14:schemeClr w14:val="tx1"/>
                  </w14:solidFill>
                </w14:textFill>
              </w:rPr>
              <w:t>氟化物</w:t>
            </w:r>
            <w:r>
              <w:rPr>
                <w:color w:val="000000" w:themeColor="text1"/>
                <w14:textFill>
                  <w14:solidFill>
                    <w14:schemeClr w14:val="tx1"/>
                  </w14:solidFill>
                </w14:textFill>
              </w:rPr>
              <w:t>监测。</w:t>
            </w:r>
          </w:p>
          <w:p w14:paraId="129FC198">
            <w:pPr>
              <w:ind w:firstLine="480"/>
              <w:rPr>
                <w:color w:val="000000" w:themeColor="text1"/>
                <w14:textFill>
                  <w14:solidFill>
                    <w14:schemeClr w14:val="tx1"/>
                  </w14:solidFill>
                </w14:textFill>
              </w:rPr>
            </w:pPr>
            <w:r>
              <w:rPr>
                <w:color w:val="000000" w:themeColor="text1"/>
                <w14:textFill>
                  <w14:solidFill>
                    <w14:schemeClr w14:val="tx1"/>
                  </w14:solidFill>
                </w14:textFill>
              </w:rPr>
              <w:t>大气特征因子监测点位见下表。</w:t>
            </w:r>
          </w:p>
          <w:p w14:paraId="15D28F01">
            <w:pPr>
              <w:pStyle w:val="312"/>
              <w:widowControl w:val="0"/>
              <w:numPr>
                <w:ilvl w:val="0"/>
                <w:numId w:val="14"/>
              </w:numPr>
              <w:spacing w:line="240" w:lineRule="auto"/>
              <w:ind w:left="0" w:firstLine="482"/>
              <w:rPr>
                <w:b/>
                <w:color w:val="000000" w:themeColor="text1"/>
                <w:szCs w:val="20"/>
                <w14:textFill>
                  <w14:solidFill>
                    <w14:schemeClr w14:val="tx1"/>
                  </w14:solidFill>
                </w14:textFill>
              </w:rPr>
            </w:pPr>
            <w:r>
              <w:rPr>
                <w:b/>
                <w:color w:val="000000" w:themeColor="text1"/>
                <w:szCs w:val="20"/>
                <w14:textFill>
                  <w14:solidFill>
                    <w14:schemeClr w14:val="tx1"/>
                  </w14:solidFill>
                </w14:textFill>
              </w:rPr>
              <w:t xml:space="preserve">             监测布点一览表</w:t>
            </w:r>
          </w:p>
          <w:tbl>
            <w:tblPr>
              <w:tblStyle w:val="82"/>
              <w:tblW w:w="82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36"/>
              <w:gridCol w:w="2647"/>
              <w:gridCol w:w="1987"/>
              <w:gridCol w:w="2248"/>
            </w:tblGrid>
            <w:tr w14:paraId="375EC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336" w:type="dxa"/>
                  <w:tcBorders>
                    <w:tl2br w:val="nil"/>
                    <w:tr2bl w:val="nil"/>
                  </w:tcBorders>
                  <w:vAlign w:val="center"/>
                </w:tcPr>
                <w:p w14:paraId="49C4E85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点位</w:t>
                  </w:r>
                </w:p>
              </w:tc>
              <w:tc>
                <w:tcPr>
                  <w:tcW w:w="2647" w:type="dxa"/>
                  <w:tcBorders>
                    <w:tl2br w:val="nil"/>
                    <w:tr2bl w:val="nil"/>
                  </w:tcBorders>
                  <w:vAlign w:val="center"/>
                </w:tcPr>
                <w:p w14:paraId="2212165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采样时间</w:t>
                  </w:r>
                </w:p>
              </w:tc>
              <w:tc>
                <w:tcPr>
                  <w:tcW w:w="1987" w:type="dxa"/>
                  <w:tcBorders>
                    <w:tl2br w:val="nil"/>
                    <w:tr2bl w:val="nil"/>
                  </w:tcBorders>
                  <w:vAlign w:val="center"/>
                </w:tcPr>
                <w:p w14:paraId="2AEEEA8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监测频次</w:t>
                  </w:r>
                </w:p>
              </w:tc>
              <w:tc>
                <w:tcPr>
                  <w:tcW w:w="2248" w:type="dxa"/>
                  <w:tcBorders>
                    <w:tl2br w:val="nil"/>
                    <w:tr2bl w:val="nil"/>
                  </w:tcBorders>
                  <w:vAlign w:val="center"/>
                </w:tcPr>
                <w:p w14:paraId="2AA92E3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监测因子</w:t>
                  </w:r>
                </w:p>
              </w:tc>
            </w:tr>
            <w:tr w14:paraId="42700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36" w:type="dxa"/>
                  <w:tcBorders>
                    <w:tl2br w:val="nil"/>
                    <w:tr2bl w:val="nil"/>
                  </w:tcBorders>
                  <w:vAlign w:val="center"/>
                </w:tcPr>
                <w:p w14:paraId="4AB766B6">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阎家伙场</w:t>
                  </w:r>
                </w:p>
              </w:tc>
              <w:tc>
                <w:tcPr>
                  <w:tcW w:w="2647" w:type="dxa"/>
                  <w:tcBorders>
                    <w:tl2br w:val="nil"/>
                    <w:tr2bl w:val="nil"/>
                  </w:tcBorders>
                  <w:vAlign w:val="center"/>
                </w:tcPr>
                <w:p w14:paraId="78EC31E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2025年8月21日～24日</w:t>
                  </w:r>
                </w:p>
              </w:tc>
              <w:tc>
                <w:tcPr>
                  <w:tcW w:w="1987" w:type="dxa"/>
                  <w:tcBorders>
                    <w:tl2br w:val="nil"/>
                    <w:tr2bl w:val="nil"/>
                  </w:tcBorders>
                  <w:vAlign w:val="center"/>
                </w:tcPr>
                <w:p w14:paraId="18443AD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共3天</w:t>
                  </w:r>
                </w:p>
              </w:tc>
              <w:tc>
                <w:tcPr>
                  <w:tcW w:w="2248" w:type="dxa"/>
                  <w:tcBorders>
                    <w:tl2br w:val="nil"/>
                    <w:tr2bl w:val="nil"/>
                  </w:tcBorders>
                  <w:vAlign w:val="center"/>
                </w:tcPr>
                <w:p w14:paraId="0C916F8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总悬浮颗粒物</w:t>
                  </w:r>
                </w:p>
              </w:tc>
            </w:tr>
            <w:tr w14:paraId="44717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36" w:type="dxa"/>
                  <w:tcBorders>
                    <w:tl2br w:val="nil"/>
                    <w:tr2bl w:val="nil"/>
                  </w:tcBorders>
                  <w:vAlign w:val="center"/>
                </w:tcPr>
                <w:p w14:paraId="08812BE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阎家伙场</w:t>
                  </w:r>
                </w:p>
              </w:tc>
              <w:tc>
                <w:tcPr>
                  <w:tcW w:w="2647" w:type="dxa"/>
                  <w:tcBorders>
                    <w:tl2br w:val="nil"/>
                    <w:tr2bl w:val="nil"/>
                  </w:tcBorders>
                  <w:vAlign w:val="center"/>
                </w:tcPr>
                <w:p w14:paraId="5245F53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2025年</w:t>
                  </w:r>
                  <w:r>
                    <w:rPr>
                      <w:rFonts w:hint="eastAsia"/>
                      <w:color w:val="000000" w:themeColor="text1"/>
                      <w:sz w:val="21"/>
                      <w:szCs w:val="21"/>
                      <w:lang w:val="en-US" w:eastAsia="zh-CN"/>
                      <w14:textFill>
                        <w14:solidFill>
                          <w14:schemeClr w14:val="tx1"/>
                        </w14:solidFill>
                      </w14:textFill>
                    </w:rPr>
                    <w:t>11</w:t>
                  </w:r>
                  <w:r>
                    <w:rPr>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1</w:t>
                  </w:r>
                  <w:r>
                    <w:rPr>
                      <w:color w:val="000000" w:themeColor="text1"/>
                      <w:sz w:val="21"/>
                      <w:szCs w:val="21"/>
                      <w14:textFill>
                        <w14:solidFill>
                          <w14:schemeClr w14:val="tx1"/>
                        </w14:solidFill>
                      </w14:textFill>
                    </w:rPr>
                    <w:t>日～</w:t>
                  </w: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日</w:t>
                  </w:r>
                </w:p>
              </w:tc>
              <w:tc>
                <w:tcPr>
                  <w:tcW w:w="1987" w:type="dxa"/>
                  <w:tcBorders>
                    <w:tl2br w:val="nil"/>
                    <w:tr2bl w:val="nil"/>
                  </w:tcBorders>
                  <w:vAlign w:val="center"/>
                </w:tcPr>
                <w:p w14:paraId="3595FDB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共3天</w:t>
                  </w:r>
                </w:p>
              </w:tc>
              <w:tc>
                <w:tcPr>
                  <w:tcW w:w="2248" w:type="dxa"/>
                  <w:tcBorders>
                    <w:tl2br w:val="nil"/>
                    <w:tr2bl w:val="nil"/>
                  </w:tcBorders>
                  <w:vAlign w:val="center"/>
                </w:tcPr>
                <w:p w14:paraId="4E66ADA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r>
          </w:tbl>
          <w:p w14:paraId="5E56672A">
            <w:pPr>
              <w:tabs>
                <w:tab w:val="left" w:pos="0"/>
              </w:tabs>
              <w:ind w:firstLine="480"/>
              <w:rPr>
                <w:color w:val="000000" w:themeColor="text1"/>
                <w14:textFill>
                  <w14:solidFill>
                    <w14:schemeClr w14:val="tx1"/>
                  </w14:solidFill>
                </w14:textFill>
              </w:rPr>
            </w:pPr>
            <w:r>
              <w:rPr>
                <w:color w:val="000000" w:themeColor="text1"/>
                <w14:textFill>
                  <w14:solidFill>
                    <w14:schemeClr w14:val="tx1"/>
                  </w14:solidFill>
                </w14:textFill>
              </w:rPr>
              <w:t>监测结果见下表。</w:t>
            </w:r>
          </w:p>
          <w:p w14:paraId="33C09711">
            <w:pPr>
              <w:pStyle w:val="312"/>
              <w:widowControl w:val="0"/>
              <w:numPr>
                <w:ilvl w:val="0"/>
                <w:numId w:val="14"/>
              </w:numPr>
              <w:spacing w:line="240" w:lineRule="auto"/>
              <w:ind w:left="0" w:firstLine="482"/>
              <w:rPr>
                <w:b/>
                <w:color w:val="000000" w:themeColor="text1"/>
                <w:szCs w:val="20"/>
                <w14:textFill>
                  <w14:solidFill>
                    <w14:schemeClr w14:val="tx1"/>
                  </w14:solidFill>
                </w14:textFill>
              </w:rPr>
            </w:pPr>
            <w:r>
              <w:rPr>
                <w:b/>
                <w:color w:val="000000" w:themeColor="text1"/>
                <w:szCs w:val="20"/>
                <w14:textFill>
                  <w14:solidFill>
                    <w14:schemeClr w14:val="tx1"/>
                  </w14:solidFill>
                </w14:textFill>
              </w:rPr>
              <w:t xml:space="preserve">             监测结果统计表                   单位：mg/m</w:t>
            </w:r>
            <w:r>
              <w:rPr>
                <w:b/>
                <w:color w:val="000000" w:themeColor="text1"/>
                <w:szCs w:val="20"/>
                <w:vertAlign w:val="superscript"/>
                <w14:textFill>
                  <w14:solidFill>
                    <w14:schemeClr w14:val="tx1"/>
                  </w14:solidFill>
                </w14:textFill>
              </w:rPr>
              <w:t>3</w:t>
            </w:r>
          </w:p>
          <w:tbl>
            <w:tblPr>
              <w:tblStyle w:val="82"/>
              <w:tblW w:w="822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793"/>
              <w:gridCol w:w="1722"/>
              <w:gridCol w:w="1490"/>
              <w:gridCol w:w="1150"/>
              <w:gridCol w:w="1500"/>
              <w:gridCol w:w="600"/>
              <w:gridCol w:w="970"/>
            </w:tblGrid>
            <w:tr w14:paraId="34DA9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tcBorders>
                    <w:tl2br w:val="nil"/>
                    <w:tr2bl w:val="nil"/>
                  </w:tcBorders>
                  <w:vAlign w:val="center"/>
                </w:tcPr>
                <w:p w14:paraId="7E7034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采样点</w:t>
                  </w:r>
                </w:p>
              </w:tc>
              <w:tc>
                <w:tcPr>
                  <w:tcW w:w="1722" w:type="dxa"/>
                  <w:tcBorders>
                    <w:tl2br w:val="nil"/>
                    <w:tr2bl w:val="nil"/>
                  </w:tcBorders>
                  <w:vAlign w:val="center"/>
                </w:tcPr>
                <w:p w14:paraId="31A39D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监测时间</w:t>
                  </w:r>
                </w:p>
              </w:tc>
              <w:tc>
                <w:tcPr>
                  <w:tcW w:w="1490" w:type="dxa"/>
                  <w:tcBorders>
                    <w:tl2br w:val="nil"/>
                    <w:tr2bl w:val="nil"/>
                  </w:tcBorders>
                  <w:vAlign w:val="center"/>
                </w:tcPr>
                <w:p w14:paraId="6CD7B7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因子</w:t>
                  </w:r>
                </w:p>
              </w:tc>
              <w:tc>
                <w:tcPr>
                  <w:tcW w:w="1150" w:type="dxa"/>
                  <w:tcBorders>
                    <w:tl2br w:val="nil"/>
                    <w:tr2bl w:val="nil"/>
                  </w:tcBorders>
                  <w:vAlign w:val="center"/>
                </w:tcPr>
                <w:p w14:paraId="0A056B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监测结果</w:t>
                  </w:r>
                </w:p>
              </w:tc>
              <w:tc>
                <w:tcPr>
                  <w:tcW w:w="1500" w:type="dxa"/>
                  <w:tcBorders>
                    <w:tl2br w:val="nil"/>
                    <w:tr2bl w:val="nil"/>
                  </w:tcBorders>
                  <w:vAlign w:val="center"/>
                </w:tcPr>
                <w:p w14:paraId="59070B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平均时间</w:t>
                  </w:r>
                </w:p>
              </w:tc>
              <w:tc>
                <w:tcPr>
                  <w:tcW w:w="600" w:type="dxa"/>
                  <w:tcBorders>
                    <w:tl2br w:val="nil"/>
                    <w:tr2bl w:val="nil"/>
                  </w:tcBorders>
                  <w:vAlign w:val="center"/>
                </w:tcPr>
                <w:p w14:paraId="2A97FF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二级标准</w:t>
                  </w:r>
                </w:p>
              </w:tc>
              <w:tc>
                <w:tcPr>
                  <w:tcW w:w="970" w:type="dxa"/>
                  <w:tcBorders>
                    <w:tl2br w:val="nil"/>
                    <w:tr2bl w:val="nil"/>
                  </w:tcBorders>
                  <w:vAlign w:val="center"/>
                </w:tcPr>
                <w:p w14:paraId="2424DA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最大超标倍数</w:t>
                  </w:r>
                </w:p>
              </w:tc>
            </w:tr>
            <w:tr w14:paraId="43251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restart"/>
                  <w:tcBorders>
                    <w:tl2br w:val="nil"/>
                    <w:tr2bl w:val="nil"/>
                  </w:tcBorders>
                  <w:vAlign w:val="center"/>
                </w:tcPr>
                <w:p w14:paraId="41340A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阎家伙场</w:t>
                  </w:r>
                </w:p>
              </w:tc>
              <w:tc>
                <w:tcPr>
                  <w:tcW w:w="1722" w:type="dxa"/>
                  <w:tcBorders>
                    <w:tl2br w:val="nil"/>
                    <w:tr2bl w:val="nil"/>
                  </w:tcBorders>
                  <w:vAlign w:val="center"/>
                </w:tcPr>
                <w:p w14:paraId="04901D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8月21日～2</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日</w:t>
                  </w:r>
                </w:p>
              </w:tc>
              <w:tc>
                <w:tcPr>
                  <w:tcW w:w="1490" w:type="dxa"/>
                  <w:tcBorders>
                    <w:tl2br w:val="nil"/>
                    <w:tr2bl w:val="nil"/>
                  </w:tcBorders>
                  <w:vAlign w:val="center"/>
                </w:tcPr>
                <w:p w14:paraId="27CB00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总悬浮颗粒物</w:t>
                  </w:r>
                </w:p>
              </w:tc>
              <w:tc>
                <w:tcPr>
                  <w:tcW w:w="1150" w:type="dxa"/>
                  <w:tcBorders>
                    <w:tl2br w:val="nil"/>
                    <w:tr2bl w:val="nil"/>
                  </w:tcBorders>
                  <w:vAlign w:val="center"/>
                </w:tcPr>
                <w:p w14:paraId="46478E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0.142</w:t>
                  </w:r>
                </w:p>
              </w:tc>
              <w:tc>
                <w:tcPr>
                  <w:tcW w:w="1500" w:type="dxa"/>
                  <w:tcBorders>
                    <w:tl2br w:val="nil"/>
                    <w:tr2bl w:val="nil"/>
                  </w:tcBorders>
                  <w:vAlign w:val="center"/>
                </w:tcPr>
                <w:p w14:paraId="0D699D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24小时平均值</w:t>
                  </w:r>
                </w:p>
              </w:tc>
              <w:tc>
                <w:tcPr>
                  <w:tcW w:w="600" w:type="dxa"/>
                  <w:vMerge w:val="restart"/>
                  <w:tcBorders>
                    <w:tl2br w:val="nil"/>
                    <w:tr2bl w:val="nil"/>
                  </w:tcBorders>
                  <w:vAlign w:val="center"/>
                </w:tcPr>
                <w:p w14:paraId="31D155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970" w:type="dxa"/>
                  <w:vMerge w:val="restart"/>
                  <w:tcBorders>
                    <w:tl2br w:val="nil"/>
                    <w:tr2bl w:val="nil"/>
                  </w:tcBorders>
                  <w:vAlign w:val="center"/>
                </w:tcPr>
                <w:p w14:paraId="46C308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r>
            <w:tr w14:paraId="575E0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023DBA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1534C4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8月22日～23日</w:t>
                  </w:r>
                </w:p>
              </w:tc>
              <w:tc>
                <w:tcPr>
                  <w:tcW w:w="1490" w:type="dxa"/>
                  <w:tcBorders>
                    <w:tl2br w:val="nil"/>
                    <w:tr2bl w:val="nil"/>
                  </w:tcBorders>
                  <w:vAlign w:val="center"/>
                </w:tcPr>
                <w:p w14:paraId="2471ED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总悬浮颗粒物</w:t>
                  </w:r>
                </w:p>
              </w:tc>
              <w:tc>
                <w:tcPr>
                  <w:tcW w:w="1150" w:type="dxa"/>
                  <w:tcBorders>
                    <w:tl2br w:val="nil"/>
                    <w:tr2bl w:val="nil"/>
                  </w:tcBorders>
                  <w:vAlign w:val="center"/>
                </w:tcPr>
                <w:p w14:paraId="5E5B23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0.129</w:t>
                  </w:r>
                </w:p>
              </w:tc>
              <w:tc>
                <w:tcPr>
                  <w:tcW w:w="1500" w:type="dxa"/>
                  <w:tcBorders>
                    <w:tl2br w:val="nil"/>
                    <w:tr2bl w:val="nil"/>
                  </w:tcBorders>
                  <w:vAlign w:val="center"/>
                </w:tcPr>
                <w:p w14:paraId="209473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24小时平均值</w:t>
                  </w:r>
                </w:p>
              </w:tc>
              <w:tc>
                <w:tcPr>
                  <w:tcW w:w="600" w:type="dxa"/>
                  <w:vMerge w:val="continue"/>
                  <w:tcBorders>
                    <w:tl2br w:val="nil"/>
                    <w:tr2bl w:val="nil"/>
                  </w:tcBorders>
                  <w:vAlign w:val="center"/>
                </w:tcPr>
                <w:p w14:paraId="4DA53FAB">
                  <w:pPr>
                    <w:keepNext w:val="0"/>
                    <w:keepLines w:val="0"/>
                    <w:pageBreakBefore w:val="0"/>
                    <w:widowControl/>
                    <w:kinsoku/>
                    <w:wordWrap/>
                    <w:overflowPunct/>
                    <w:topLinePunct w:val="0"/>
                    <w:autoSpaceDE/>
                    <w:autoSpaceDN/>
                    <w:bidi w:val="0"/>
                    <w:adjustRightInd w:val="0"/>
                    <w:snapToGrid w:val="0"/>
                    <w:spacing w:line="240" w:lineRule="auto"/>
                    <w:ind w:firstLine="480"/>
                    <w:jc w:val="center"/>
                    <w:textAlignment w:val="auto"/>
                    <w:rPr>
                      <w:color w:val="000000" w:themeColor="text1"/>
                      <w:szCs w:val="21"/>
                      <w14:textFill>
                        <w14:solidFill>
                          <w14:schemeClr w14:val="tx1"/>
                        </w14:solidFill>
                      </w14:textFill>
                    </w:rPr>
                  </w:pPr>
                </w:p>
              </w:tc>
              <w:tc>
                <w:tcPr>
                  <w:tcW w:w="970" w:type="dxa"/>
                  <w:vMerge w:val="continue"/>
                  <w:tcBorders>
                    <w:tl2br w:val="nil"/>
                    <w:tr2bl w:val="nil"/>
                  </w:tcBorders>
                  <w:vAlign w:val="center"/>
                </w:tcPr>
                <w:p w14:paraId="49C64BFD">
                  <w:pPr>
                    <w:keepNext w:val="0"/>
                    <w:keepLines w:val="0"/>
                    <w:pageBreakBefore w:val="0"/>
                    <w:widowControl/>
                    <w:kinsoku/>
                    <w:wordWrap/>
                    <w:overflowPunct/>
                    <w:topLinePunct w:val="0"/>
                    <w:autoSpaceDE/>
                    <w:autoSpaceDN/>
                    <w:bidi w:val="0"/>
                    <w:adjustRightInd w:val="0"/>
                    <w:snapToGrid w:val="0"/>
                    <w:spacing w:line="240" w:lineRule="auto"/>
                    <w:ind w:firstLine="480"/>
                    <w:jc w:val="center"/>
                    <w:textAlignment w:val="auto"/>
                    <w:rPr>
                      <w:color w:val="000000" w:themeColor="text1"/>
                      <w:szCs w:val="21"/>
                      <w14:textFill>
                        <w14:solidFill>
                          <w14:schemeClr w14:val="tx1"/>
                        </w14:solidFill>
                      </w14:textFill>
                    </w:rPr>
                  </w:pPr>
                </w:p>
              </w:tc>
            </w:tr>
            <w:tr w14:paraId="07C89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4C3A95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7E9265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8月23日～24日</w:t>
                  </w:r>
                </w:p>
              </w:tc>
              <w:tc>
                <w:tcPr>
                  <w:tcW w:w="1490" w:type="dxa"/>
                  <w:tcBorders>
                    <w:tl2br w:val="nil"/>
                    <w:tr2bl w:val="nil"/>
                  </w:tcBorders>
                  <w:vAlign w:val="center"/>
                </w:tcPr>
                <w:p w14:paraId="5146A2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总悬浮颗粒物</w:t>
                  </w:r>
                </w:p>
              </w:tc>
              <w:tc>
                <w:tcPr>
                  <w:tcW w:w="1150" w:type="dxa"/>
                  <w:tcBorders>
                    <w:tl2br w:val="nil"/>
                    <w:tr2bl w:val="nil"/>
                  </w:tcBorders>
                  <w:vAlign w:val="center"/>
                </w:tcPr>
                <w:p w14:paraId="7862CC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0.123</w:t>
                  </w:r>
                </w:p>
              </w:tc>
              <w:tc>
                <w:tcPr>
                  <w:tcW w:w="1500" w:type="dxa"/>
                  <w:tcBorders>
                    <w:tl2br w:val="nil"/>
                    <w:tr2bl w:val="nil"/>
                  </w:tcBorders>
                  <w:vAlign w:val="center"/>
                </w:tcPr>
                <w:p w14:paraId="77750F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24小时平均值</w:t>
                  </w:r>
                </w:p>
              </w:tc>
              <w:tc>
                <w:tcPr>
                  <w:tcW w:w="600" w:type="dxa"/>
                  <w:vMerge w:val="continue"/>
                  <w:tcBorders>
                    <w:tl2br w:val="nil"/>
                    <w:tr2bl w:val="nil"/>
                  </w:tcBorders>
                  <w:vAlign w:val="center"/>
                </w:tcPr>
                <w:p w14:paraId="6A73AB15">
                  <w:pPr>
                    <w:keepNext w:val="0"/>
                    <w:keepLines w:val="0"/>
                    <w:pageBreakBefore w:val="0"/>
                    <w:widowControl/>
                    <w:kinsoku/>
                    <w:wordWrap/>
                    <w:overflowPunct/>
                    <w:topLinePunct w:val="0"/>
                    <w:autoSpaceDE/>
                    <w:autoSpaceDN/>
                    <w:bidi w:val="0"/>
                    <w:adjustRightInd w:val="0"/>
                    <w:snapToGrid w:val="0"/>
                    <w:spacing w:line="240" w:lineRule="auto"/>
                    <w:ind w:firstLine="480"/>
                    <w:jc w:val="center"/>
                    <w:textAlignment w:val="auto"/>
                    <w:rPr>
                      <w:color w:val="000000" w:themeColor="text1"/>
                      <w:szCs w:val="21"/>
                      <w14:textFill>
                        <w14:solidFill>
                          <w14:schemeClr w14:val="tx1"/>
                        </w14:solidFill>
                      </w14:textFill>
                    </w:rPr>
                  </w:pPr>
                </w:p>
              </w:tc>
              <w:tc>
                <w:tcPr>
                  <w:tcW w:w="970" w:type="dxa"/>
                  <w:vMerge w:val="continue"/>
                  <w:tcBorders>
                    <w:tl2br w:val="nil"/>
                    <w:tr2bl w:val="nil"/>
                  </w:tcBorders>
                  <w:vAlign w:val="center"/>
                </w:tcPr>
                <w:p w14:paraId="4A5A5DAD">
                  <w:pPr>
                    <w:keepNext w:val="0"/>
                    <w:keepLines w:val="0"/>
                    <w:pageBreakBefore w:val="0"/>
                    <w:widowControl/>
                    <w:kinsoku/>
                    <w:wordWrap/>
                    <w:overflowPunct/>
                    <w:topLinePunct w:val="0"/>
                    <w:autoSpaceDE/>
                    <w:autoSpaceDN/>
                    <w:bidi w:val="0"/>
                    <w:adjustRightInd w:val="0"/>
                    <w:snapToGrid w:val="0"/>
                    <w:spacing w:line="240" w:lineRule="auto"/>
                    <w:ind w:firstLine="480"/>
                    <w:jc w:val="center"/>
                    <w:textAlignment w:val="auto"/>
                    <w:rPr>
                      <w:color w:val="000000" w:themeColor="text1"/>
                      <w:szCs w:val="21"/>
                      <w14:textFill>
                        <w14:solidFill>
                          <w14:schemeClr w14:val="tx1"/>
                        </w14:solidFill>
                      </w14:textFill>
                    </w:rPr>
                  </w:pPr>
                </w:p>
              </w:tc>
            </w:tr>
            <w:tr w14:paraId="01739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29830E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p>
              </w:tc>
              <w:tc>
                <w:tcPr>
                  <w:tcW w:w="1722" w:type="dxa"/>
                  <w:tcBorders>
                    <w:tl2br w:val="nil"/>
                    <w:tr2bl w:val="nil"/>
                  </w:tcBorders>
                  <w:vAlign w:val="center"/>
                </w:tcPr>
                <w:p w14:paraId="701250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11月1日</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2日</w:t>
                  </w:r>
                </w:p>
              </w:tc>
              <w:tc>
                <w:tcPr>
                  <w:tcW w:w="1490" w:type="dxa"/>
                  <w:tcBorders>
                    <w:tl2br w:val="nil"/>
                    <w:tr2bl w:val="nil"/>
                  </w:tcBorders>
                  <w:vAlign w:val="center"/>
                </w:tcPr>
                <w:p w14:paraId="5AF659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350917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0.00006ND</w:t>
                  </w:r>
                </w:p>
              </w:tc>
              <w:tc>
                <w:tcPr>
                  <w:tcW w:w="1500" w:type="dxa"/>
                  <w:tcBorders>
                    <w:tl2br w:val="nil"/>
                    <w:tr2bl w:val="nil"/>
                  </w:tcBorders>
                  <w:vAlign w:val="center"/>
                </w:tcPr>
                <w:p w14:paraId="1C84EE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24小时平均值</w:t>
                  </w:r>
                </w:p>
              </w:tc>
              <w:tc>
                <w:tcPr>
                  <w:tcW w:w="600" w:type="dxa"/>
                  <w:vMerge w:val="restart"/>
                  <w:tcBorders>
                    <w:tl2br w:val="nil"/>
                    <w:tr2bl w:val="nil"/>
                  </w:tcBorders>
                  <w:vAlign w:val="center"/>
                </w:tcPr>
                <w:p w14:paraId="3433D7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0.007</w:t>
                  </w:r>
                </w:p>
              </w:tc>
              <w:tc>
                <w:tcPr>
                  <w:tcW w:w="970" w:type="dxa"/>
                  <w:vMerge w:val="restart"/>
                  <w:tcBorders>
                    <w:tl2br w:val="nil"/>
                    <w:tr2bl w:val="nil"/>
                  </w:tcBorders>
                  <w:vAlign w:val="center"/>
                </w:tcPr>
                <w:p w14:paraId="253A4B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r>
            <w:tr w14:paraId="4FA0F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5" w:hRule="atLeast"/>
                <w:jc w:val="center"/>
              </w:trPr>
              <w:tc>
                <w:tcPr>
                  <w:tcW w:w="793" w:type="dxa"/>
                  <w:vMerge w:val="continue"/>
                  <w:tcBorders>
                    <w:tl2br w:val="nil"/>
                    <w:tr2bl w:val="nil"/>
                  </w:tcBorders>
                  <w:vAlign w:val="center"/>
                </w:tcPr>
                <w:p w14:paraId="308BAF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1E12E8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11月2日~3日</w:t>
                  </w:r>
                </w:p>
              </w:tc>
              <w:tc>
                <w:tcPr>
                  <w:tcW w:w="1490" w:type="dxa"/>
                  <w:tcBorders>
                    <w:tl2br w:val="nil"/>
                    <w:tr2bl w:val="nil"/>
                  </w:tcBorders>
                  <w:vAlign w:val="center"/>
                </w:tcPr>
                <w:p w14:paraId="54F68D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1AED22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0.00006ND</w:t>
                  </w:r>
                </w:p>
              </w:tc>
              <w:tc>
                <w:tcPr>
                  <w:tcW w:w="1500" w:type="dxa"/>
                  <w:tcBorders>
                    <w:tl2br w:val="nil"/>
                    <w:tr2bl w:val="nil"/>
                  </w:tcBorders>
                  <w:vAlign w:val="center"/>
                </w:tcPr>
                <w:p w14:paraId="7F07BA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24小时平均值</w:t>
                  </w:r>
                </w:p>
              </w:tc>
              <w:tc>
                <w:tcPr>
                  <w:tcW w:w="600" w:type="dxa"/>
                  <w:vMerge w:val="continue"/>
                  <w:tcBorders>
                    <w:tl2br w:val="nil"/>
                    <w:tr2bl w:val="nil"/>
                  </w:tcBorders>
                  <w:vAlign w:val="center"/>
                </w:tcPr>
                <w:p w14:paraId="430A3F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970" w:type="dxa"/>
                  <w:vMerge w:val="continue"/>
                  <w:tcBorders>
                    <w:tl2br w:val="nil"/>
                    <w:tr2bl w:val="nil"/>
                  </w:tcBorders>
                  <w:vAlign w:val="center"/>
                </w:tcPr>
                <w:p w14:paraId="6BBBCA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44AE6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6FBCCA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6A85D0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11月3日~4日</w:t>
                  </w:r>
                </w:p>
              </w:tc>
              <w:tc>
                <w:tcPr>
                  <w:tcW w:w="1490" w:type="dxa"/>
                  <w:tcBorders>
                    <w:tl2br w:val="nil"/>
                    <w:tr2bl w:val="nil"/>
                  </w:tcBorders>
                  <w:vAlign w:val="center"/>
                </w:tcPr>
                <w:p w14:paraId="668B8A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27EE66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0.00006ND</w:t>
                  </w:r>
                </w:p>
              </w:tc>
              <w:tc>
                <w:tcPr>
                  <w:tcW w:w="1500" w:type="dxa"/>
                  <w:tcBorders>
                    <w:tl2br w:val="nil"/>
                    <w:tr2bl w:val="nil"/>
                  </w:tcBorders>
                  <w:vAlign w:val="center"/>
                </w:tcPr>
                <w:p w14:paraId="421107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24小时平均值</w:t>
                  </w:r>
                </w:p>
              </w:tc>
              <w:tc>
                <w:tcPr>
                  <w:tcW w:w="600" w:type="dxa"/>
                  <w:vMerge w:val="continue"/>
                  <w:tcBorders>
                    <w:tl2br w:val="nil"/>
                    <w:tr2bl w:val="nil"/>
                  </w:tcBorders>
                  <w:vAlign w:val="center"/>
                </w:tcPr>
                <w:p w14:paraId="77469D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970" w:type="dxa"/>
                  <w:vMerge w:val="continue"/>
                  <w:tcBorders>
                    <w:tl2br w:val="nil"/>
                    <w:tr2bl w:val="nil"/>
                  </w:tcBorders>
                  <w:vAlign w:val="center"/>
                </w:tcPr>
                <w:p w14:paraId="65873A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75196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5DFCC1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745410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11月1日2时</w:t>
                  </w:r>
                </w:p>
              </w:tc>
              <w:tc>
                <w:tcPr>
                  <w:tcW w:w="1490" w:type="dxa"/>
                  <w:tcBorders>
                    <w:tl2br w:val="nil"/>
                    <w:tr2bl w:val="nil"/>
                  </w:tcBorders>
                  <w:vAlign w:val="center"/>
                </w:tcPr>
                <w:p w14:paraId="035C15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497812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6E4564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7C9CF1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restart"/>
                  <w:tcBorders>
                    <w:tl2br w:val="nil"/>
                    <w:tr2bl w:val="nil"/>
                  </w:tcBorders>
                  <w:vAlign w:val="center"/>
                </w:tcPr>
                <w:p w14:paraId="3BDEA6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7EC29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793" w:type="dxa"/>
                  <w:vMerge w:val="continue"/>
                  <w:tcBorders>
                    <w:tl2br w:val="nil"/>
                    <w:tr2bl w:val="nil"/>
                  </w:tcBorders>
                  <w:vAlign w:val="center"/>
                </w:tcPr>
                <w:p w14:paraId="48664A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4D5FF3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11月1日8时</w:t>
                  </w:r>
                </w:p>
              </w:tc>
              <w:tc>
                <w:tcPr>
                  <w:tcW w:w="1490" w:type="dxa"/>
                  <w:tcBorders>
                    <w:tl2br w:val="nil"/>
                    <w:tr2bl w:val="nil"/>
                  </w:tcBorders>
                  <w:vAlign w:val="center"/>
                </w:tcPr>
                <w:p w14:paraId="10B00B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29F753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3C5ACE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1A20CB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32A0D8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74A1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5B1311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5E767F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11月1日14时</w:t>
                  </w:r>
                </w:p>
              </w:tc>
              <w:tc>
                <w:tcPr>
                  <w:tcW w:w="1490" w:type="dxa"/>
                  <w:tcBorders>
                    <w:tl2br w:val="nil"/>
                    <w:tr2bl w:val="nil"/>
                  </w:tcBorders>
                  <w:vAlign w:val="center"/>
                </w:tcPr>
                <w:p w14:paraId="0DD48E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5E0D87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04BE1C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108A04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7A0793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6262F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50083B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70A69D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11月1日20时</w:t>
                  </w:r>
                </w:p>
              </w:tc>
              <w:tc>
                <w:tcPr>
                  <w:tcW w:w="1490" w:type="dxa"/>
                  <w:tcBorders>
                    <w:tl2br w:val="nil"/>
                    <w:tr2bl w:val="nil"/>
                  </w:tcBorders>
                  <w:vAlign w:val="center"/>
                </w:tcPr>
                <w:p w14:paraId="78F6A8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28CD3B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32FE8E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40875B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625044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7F20B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0524D8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7A3399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11月2日2时</w:t>
                  </w:r>
                </w:p>
              </w:tc>
              <w:tc>
                <w:tcPr>
                  <w:tcW w:w="1490" w:type="dxa"/>
                  <w:tcBorders>
                    <w:tl2br w:val="nil"/>
                    <w:tr2bl w:val="nil"/>
                  </w:tcBorders>
                  <w:vAlign w:val="center"/>
                </w:tcPr>
                <w:p w14:paraId="2FADFB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0C5E9E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22D411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16D05B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069D56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53AF6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5E0E88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05AA50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11月2日8时</w:t>
                  </w:r>
                </w:p>
              </w:tc>
              <w:tc>
                <w:tcPr>
                  <w:tcW w:w="1490" w:type="dxa"/>
                  <w:tcBorders>
                    <w:tl2br w:val="nil"/>
                    <w:tr2bl w:val="nil"/>
                  </w:tcBorders>
                  <w:vAlign w:val="center"/>
                </w:tcPr>
                <w:p w14:paraId="1FB1A0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0F33F9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207E01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6AFBFC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0214C2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4508F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1095D0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5ECC1F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11月2日14时</w:t>
                  </w:r>
                </w:p>
              </w:tc>
              <w:tc>
                <w:tcPr>
                  <w:tcW w:w="1490" w:type="dxa"/>
                  <w:tcBorders>
                    <w:tl2br w:val="nil"/>
                    <w:tr2bl w:val="nil"/>
                  </w:tcBorders>
                  <w:vAlign w:val="center"/>
                </w:tcPr>
                <w:p w14:paraId="419F9C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0D8A72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6FAA26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44AB96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2ACE8DE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554A7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723C5E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153CEB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11月2日20时</w:t>
                  </w:r>
                </w:p>
              </w:tc>
              <w:tc>
                <w:tcPr>
                  <w:tcW w:w="1490" w:type="dxa"/>
                  <w:tcBorders>
                    <w:tl2br w:val="nil"/>
                    <w:tr2bl w:val="nil"/>
                  </w:tcBorders>
                  <w:vAlign w:val="center"/>
                </w:tcPr>
                <w:p w14:paraId="67FA6F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6A57F8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1F3EF5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7BB962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3166B7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0D0FA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0A477B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64A53A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11月3日2时</w:t>
                  </w:r>
                </w:p>
              </w:tc>
              <w:tc>
                <w:tcPr>
                  <w:tcW w:w="1490" w:type="dxa"/>
                  <w:tcBorders>
                    <w:tl2br w:val="nil"/>
                    <w:tr2bl w:val="nil"/>
                  </w:tcBorders>
                  <w:vAlign w:val="center"/>
                </w:tcPr>
                <w:p w14:paraId="4D23DB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3DB94F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6E068F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3A1EB9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274763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6EA94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3ABFDD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40FFE3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11月3日8时</w:t>
                  </w:r>
                </w:p>
              </w:tc>
              <w:tc>
                <w:tcPr>
                  <w:tcW w:w="1490" w:type="dxa"/>
                  <w:tcBorders>
                    <w:tl2br w:val="nil"/>
                    <w:tr2bl w:val="nil"/>
                  </w:tcBorders>
                  <w:vAlign w:val="center"/>
                </w:tcPr>
                <w:p w14:paraId="79BAAA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54814F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476BAC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3A9D80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0E1968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006E2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4B4432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3C0BAA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11月3日14时</w:t>
                  </w:r>
                </w:p>
              </w:tc>
              <w:tc>
                <w:tcPr>
                  <w:tcW w:w="1490" w:type="dxa"/>
                  <w:tcBorders>
                    <w:tl2br w:val="nil"/>
                    <w:tr2bl w:val="nil"/>
                  </w:tcBorders>
                  <w:vAlign w:val="center"/>
                </w:tcPr>
                <w:p w14:paraId="0B1AD1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36BC61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00FCF8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27D44A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32C660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r w14:paraId="1D41B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793" w:type="dxa"/>
                  <w:vMerge w:val="continue"/>
                  <w:tcBorders>
                    <w:tl2br w:val="nil"/>
                    <w:tr2bl w:val="nil"/>
                  </w:tcBorders>
                  <w:vAlign w:val="center"/>
                </w:tcPr>
                <w:p w14:paraId="100953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1722" w:type="dxa"/>
                  <w:tcBorders>
                    <w:tl2br w:val="nil"/>
                    <w:tr2bl w:val="nil"/>
                  </w:tcBorders>
                  <w:vAlign w:val="center"/>
                </w:tcPr>
                <w:p w14:paraId="7F78DD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11月3日20时</w:t>
                  </w:r>
                </w:p>
              </w:tc>
              <w:tc>
                <w:tcPr>
                  <w:tcW w:w="1490" w:type="dxa"/>
                  <w:tcBorders>
                    <w:tl2br w:val="nil"/>
                    <w:tr2bl w:val="nil"/>
                  </w:tcBorders>
                  <w:vAlign w:val="center"/>
                </w:tcPr>
                <w:p w14:paraId="091C93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150" w:type="dxa"/>
                  <w:tcBorders>
                    <w:tl2br w:val="nil"/>
                    <w:tr2bl w:val="nil"/>
                  </w:tcBorders>
                  <w:vAlign w:val="center"/>
                </w:tcPr>
                <w:p w14:paraId="611BF0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0.0005ND</w:t>
                  </w:r>
                </w:p>
              </w:tc>
              <w:tc>
                <w:tcPr>
                  <w:tcW w:w="1500" w:type="dxa"/>
                  <w:tcBorders>
                    <w:tl2br w:val="nil"/>
                    <w:tr2bl w:val="nil"/>
                  </w:tcBorders>
                  <w:vAlign w:val="center"/>
                </w:tcPr>
                <w:p w14:paraId="1AB502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1小时平均值</w:t>
                  </w:r>
                </w:p>
              </w:tc>
              <w:tc>
                <w:tcPr>
                  <w:tcW w:w="600" w:type="dxa"/>
                  <w:tcBorders>
                    <w:tl2br w:val="nil"/>
                    <w:tr2bl w:val="nil"/>
                  </w:tcBorders>
                  <w:vAlign w:val="center"/>
                </w:tcPr>
                <w:p w14:paraId="458C76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970" w:type="dxa"/>
                  <w:vMerge w:val="continue"/>
                  <w:tcBorders>
                    <w:tl2br w:val="nil"/>
                    <w:tr2bl w:val="nil"/>
                  </w:tcBorders>
                  <w:vAlign w:val="center"/>
                </w:tcPr>
                <w:p w14:paraId="75E5C0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r>
          </w:tbl>
          <w:p w14:paraId="3603502D">
            <w:pPr>
              <w:ind w:firstLine="480"/>
              <w:rPr>
                <w:color w:val="000000" w:themeColor="text1"/>
                <w14:textFill>
                  <w14:solidFill>
                    <w14:schemeClr w14:val="tx1"/>
                  </w14:solidFill>
                </w14:textFill>
              </w:rPr>
            </w:pPr>
            <w:r>
              <w:rPr>
                <w:color w:val="000000" w:themeColor="text1"/>
                <w14:textFill>
                  <w14:solidFill>
                    <w14:schemeClr w14:val="tx1"/>
                  </w14:solidFill>
                </w14:textFill>
              </w:rPr>
              <w:t>由上表可知，项目所在地总悬浮颗粒物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氟化物</w:t>
            </w:r>
            <w:r>
              <w:rPr>
                <w:color w:val="000000" w:themeColor="text1"/>
                <w14:textFill>
                  <w14:solidFill>
                    <w14:schemeClr w14:val="tx1"/>
                  </w14:solidFill>
                </w14:textFill>
              </w:rPr>
              <w:t>24小时平均值</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氟化物小时</w:t>
            </w:r>
            <w:r>
              <w:rPr>
                <w:color w:val="000000" w:themeColor="text1"/>
                <w14:textFill>
                  <w14:solidFill>
                    <w14:schemeClr w14:val="tx1"/>
                  </w14:solidFill>
                </w14:textFill>
              </w:rPr>
              <w:t>平均值</w:t>
            </w:r>
            <w:r>
              <w:rPr>
                <w:rFonts w:hint="eastAsia"/>
                <w:color w:val="000000" w:themeColor="text1"/>
                <w:lang w:val="en-US" w:eastAsia="zh-CN"/>
                <w14:textFill>
                  <w14:solidFill>
                    <w14:schemeClr w14:val="tx1"/>
                  </w14:solidFill>
                </w14:textFill>
              </w:rPr>
              <w:t>能够</w:t>
            </w:r>
            <w:r>
              <w:rPr>
                <w:color w:val="000000" w:themeColor="text1"/>
                <w14:textFill>
                  <w14:solidFill>
                    <w14:schemeClr w14:val="tx1"/>
                  </w14:solidFill>
                </w14:textFill>
              </w:rPr>
              <w:t>达到《环境空气质量标准》（GB3095-2012）中二级标准。</w:t>
            </w:r>
          </w:p>
          <w:p w14:paraId="358C32E2">
            <w:pPr>
              <w:pStyle w:val="4"/>
              <w:numPr>
                <w:ilvl w:val="0"/>
                <w:numId w:val="0"/>
              </w:numPr>
              <w:spacing w:before="0" w:beforeLines="0" w:after="0" w:afterLines="0"/>
              <w:ind w:firstLine="482" w:firstLineChars="200"/>
              <w:jc w:val="left"/>
              <w:rPr>
                <w:rFonts w:hint="default" w:eastAsia="宋体"/>
                <w:b/>
                <w:bCs/>
                <w:color w:val="000000" w:themeColor="text1"/>
                <w:sz w:val="24"/>
                <w:szCs w:val="21"/>
                <w:lang w:val="en-US" w:eastAsia="zh-CN"/>
                <w14:textFill>
                  <w14:solidFill>
                    <w14:schemeClr w14:val="tx1"/>
                  </w14:solidFill>
                </w14:textFill>
              </w:rPr>
            </w:pPr>
            <w:r>
              <w:rPr>
                <w:b/>
                <w:bCs/>
                <w:color w:val="000000" w:themeColor="text1"/>
                <w:sz w:val="24"/>
                <w:szCs w:val="21"/>
                <w14:textFill>
                  <w14:solidFill>
                    <w14:schemeClr w14:val="tx1"/>
                  </w14:solidFill>
                </w14:textFill>
              </w:rPr>
              <w:t>2.</w:t>
            </w:r>
            <w:r>
              <w:rPr>
                <w:rFonts w:hint="eastAsia"/>
                <w:b/>
                <w:bCs/>
                <w:color w:val="000000" w:themeColor="text1"/>
                <w:sz w:val="24"/>
                <w:szCs w:val="21"/>
                <w:lang w:val="en-US" w:eastAsia="zh-CN"/>
                <w14:textFill>
                  <w14:solidFill>
                    <w14:schemeClr w14:val="tx1"/>
                  </w14:solidFill>
                </w14:textFill>
              </w:rPr>
              <w:t>声环境质量现状</w:t>
            </w:r>
          </w:p>
          <w:p w14:paraId="3827A8C9">
            <w:pPr>
              <w:pStyle w:val="4"/>
              <w:numPr>
                <w:ilvl w:val="0"/>
                <w:numId w:val="0"/>
              </w:numPr>
              <w:spacing w:before="0" w:beforeLines="0" w:after="0" w:afterLines="0"/>
              <w:ind w:firstLine="480" w:firstLineChars="200"/>
              <w:jc w:val="left"/>
              <w:rPr>
                <w:color w:val="000000" w:themeColor="text1"/>
                <w14:textFill>
                  <w14:solidFill>
                    <w14:schemeClr w14:val="tx1"/>
                  </w14:solidFill>
                </w14:textFill>
              </w:rPr>
            </w:pPr>
            <w:r>
              <w:rPr>
                <w:b w:val="0"/>
                <w:bCs w:val="0"/>
                <w:color w:val="000000" w:themeColor="text1"/>
                <w:sz w:val="24"/>
                <w:szCs w:val="21"/>
                <w14:textFill>
                  <w14:solidFill>
                    <w14:schemeClr w14:val="tx1"/>
                  </w14:solidFill>
                </w14:textFill>
              </w:rPr>
              <w:t>项目厂界外周边50米范围内不存在声环境保护目标，本次评价未对声环境质量现状进行监测。</w:t>
            </w:r>
          </w:p>
        </w:tc>
      </w:tr>
      <w:tr w14:paraId="509DE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3" w:hRule="atLeast"/>
          <w:jc w:val="center"/>
        </w:trPr>
        <w:tc>
          <w:tcPr>
            <w:tcW w:w="826" w:type="dxa"/>
            <w:vAlign w:val="center"/>
          </w:tcPr>
          <w:p w14:paraId="122659B1">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环境</w:t>
            </w:r>
          </w:p>
          <w:p w14:paraId="644B8628">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保护</w:t>
            </w:r>
          </w:p>
          <w:p w14:paraId="4066A8D6">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目标</w:t>
            </w:r>
          </w:p>
        </w:tc>
        <w:tc>
          <w:tcPr>
            <w:tcW w:w="8460" w:type="dxa"/>
          </w:tcPr>
          <w:p w14:paraId="3D6800B2">
            <w:pPr>
              <w:ind w:firstLine="480"/>
              <w:rPr>
                <w:color w:val="000000" w:themeColor="text1"/>
                <w:szCs w:val="32"/>
                <w14:textFill>
                  <w14:solidFill>
                    <w14:schemeClr w14:val="tx1"/>
                  </w14:solidFill>
                </w14:textFill>
              </w:rPr>
            </w:pPr>
            <w:r>
              <w:rPr>
                <w:color w:val="000000" w:themeColor="text1"/>
                <w:szCs w:val="21"/>
                <w14:textFill>
                  <w14:solidFill>
                    <w14:schemeClr w14:val="tx1"/>
                  </w14:solidFill>
                </w14:textFill>
              </w:rPr>
              <w:t>根据现场踏勘的情况，</w:t>
            </w:r>
            <w:r>
              <w:rPr>
                <w:color w:val="000000" w:themeColor="text1"/>
                <w:szCs w:val="32"/>
                <w14:textFill>
                  <w14:solidFill>
                    <w14:schemeClr w14:val="tx1"/>
                  </w14:solidFill>
                </w14:textFill>
              </w:rPr>
              <w:t>本项目500米范围内无自然保护区、风景名胜区等大气环境保护目标；50m范围内无声环境保护目标；厂界外500米范围内无地下水集中式饮用水水源和热水、矿泉水、温泉等特殊地下水资源；用地范围内无生态环境保护目标。</w:t>
            </w:r>
          </w:p>
          <w:p w14:paraId="59EF762B">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本项目环境保护目标及保护级别见下表。</w:t>
            </w:r>
          </w:p>
          <w:p w14:paraId="529530BA">
            <w:pPr>
              <w:pStyle w:val="312"/>
              <w:widowControl w:val="0"/>
              <w:numPr>
                <w:ilvl w:val="0"/>
                <w:numId w:val="14"/>
              </w:numPr>
              <w:spacing w:line="240" w:lineRule="auto"/>
              <w:ind w:left="0" w:firstLine="482"/>
              <w:rPr>
                <w:b/>
                <w:color w:val="000000" w:themeColor="text1"/>
                <w:szCs w:val="20"/>
                <w14:textFill>
                  <w14:solidFill>
                    <w14:schemeClr w14:val="tx1"/>
                  </w14:solidFill>
                </w14:textFill>
              </w:rPr>
            </w:pPr>
            <w:r>
              <w:rPr>
                <w:b/>
                <w:color w:val="000000" w:themeColor="text1"/>
                <w:szCs w:val="20"/>
                <w14:textFill>
                  <w14:solidFill>
                    <w14:schemeClr w14:val="tx1"/>
                  </w14:solidFill>
                </w14:textFill>
              </w:rPr>
              <w:t xml:space="preserve">               环境保护目标表</w:t>
            </w:r>
          </w:p>
          <w:tbl>
            <w:tblPr>
              <w:tblStyle w:val="82"/>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472"/>
              <w:gridCol w:w="650"/>
              <w:gridCol w:w="1274"/>
              <w:gridCol w:w="1171"/>
              <w:gridCol w:w="580"/>
              <w:gridCol w:w="822"/>
              <w:gridCol w:w="814"/>
              <w:gridCol w:w="2439"/>
            </w:tblGrid>
            <w:tr w14:paraId="2AF8F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5" w:hRule="atLeast"/>
                <w:jc w:val="center"/>
              </w:trPr>
              <w:tc>
                <w:tcPr>
                  <w:tcW w:w="287" w:type="pct"/>
                  <w:vMerge w:val="restart"/>
                  <w:tcBorders>
                    <w:tl2br w:val="nil"/>
                    <w:tr2bl w:val="nil"/>
                  </w:tcBorders>
                  <w:vAlign w:val="center"/>
                </w:tcPr>
                <w:p w14:paraId="407B38FF">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w:t>
                  </w:r>
                </w:p>
                <w:p w14:paraId="524657EA">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因素</w:t>
                  </w:r>
                </w:p>
              </w:tc>
              <w:tc>
                <w:tcPr>
                  <w:tcW w:w="395" w:type="pct"/>
                  <w:vMerge w:val="restart"/>
                  <w:tcBorders>
                    <w:tl2br w:val="nil"/>
                    <w:tr2bl w:val="nil"/>
                  </w:tcBorders>
                  <w:vAlign w:val="center"/>
                </w:tcPr>
                <w:p w14:paraId="6FA79E92">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名称</w:t>
                  </w:r>
                </w:p>
              </w:tc>
              <w:tc>
                <w:tcPr>
                  <w:tcW w:w="1487" w:type="pct"/>
                  <w:gridSpan w:val="2"/>
                  <w:tcBorders>
                    <w:tl2br w:val="nil"/>
                    <w:tr2bl w:val="nil"/>
                  </w:tcBorders>
                  <w:vAlign w:val="center"/>
                </w:tcPr>
                <w:p w14:paraId="0C7B3CD4">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地理坐标</w:t>
                  </w:r>
                </w:p>
              </w:tc>
              <w:tc>
                <w:tcPr>
                  <w:tcW w:w="852" w:type="pct"/>
                  <w:gridSpan w:val="2"/>
                  <w:tcBorders>
                    <w:tl2br w:val="nil"/>
                    <w:tr2bl w:val="nil"/>
                  </w:tcBorders>
                  <w:vAlign w:val="center"/>
                </w:tcPr>
                <w:p w14:paraId="6ED9592B">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相对厂址</w:t>
                  </w:r>
                </w:p>
              </w:tc>
              <w:tc>
                <w:tcPr>
                  <w:tcW w:w="495" w:type="pct"/>
                  <w:vMerge w:val="restart"/>
                  <w:tcBorders>
                    <w:tl2br w:val="nil"/>
                    <w:tr2bl w:val="nil"/>
                  </w:tcBorders>
                  <w:vAlign w:val="center"/>
                </w:tcPr>
                <w:p w14:paraId="233EC3C1">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保护</w:t>
                  </w:r>
                </w:p>
                <w:p w14:paraId="39E883C7">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内容</w:t>
                  </w:r>
                </w:p>
              </w:tc>
              <w:tc>
                <w:tcPr>
                  <w:tcW w:w="1483" w:type="pct"/>
                  <w:vMerge w:val="restart"/>
                  <w:tcBorders>
                    <w:tl2br w:val="nil"/>
                    <w:tr2bl w:val="nil"/>
                  </w:tcBorders>
                  <w:vAlign w:val="center"/>
                </w:tcPr>
                <w:p w14:paraId="281439C5">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保护目标</w:t>
                  </w:r>
                </w:p>
              </w:tc>
            </w:tr>
            <w:tr w14:paraId="7D100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0" w:hRule="atLeast"/>
                <w:jc w:val="center"/>
              </w:trPr>
              <w:tc>
                <w:tcPr>
                  <w:tcW w:w="287" w:type="pct"/>
                  <w:vMerge w:val="continue"/>
                  <w:tcBorders>
                    <w:tl2br w:val="nil"/>
                    <w:tr2bl w:val="nil"/>
                  </w:tcBorders>
                  <w:vAlign w:val="center"/>
                </w:tcPr>
                <w:p w14:paraId="2B49A83D">
                  <w:pPr>
                    <w:pStyle w:val="144"/>
                    <w:rPr>
                      <w:rFonts w:ascii="Times New Roman" w:hAnsi="Times New Roman"/>
                      <w:color w:val="000000" w:themeColor="text1"/>
                      <w:szCs w:val="21"/>
                      <w14:textFill>
                        <w14:solidFill>
                          <w14:schemeClr w14:val="tx1"/>
                        </w14:solidFill>
                      </w14:textFill>
                    </w:rPr>
                  </w:pPr>
                </w:p>
              </w:tc>
              <w:tc>
                <w:tcPr>
                  <w:tcW w:w="395" w:type="pct"/>
                  <w:vMerge w:val="continue"/>
                  <w:tcBorders>
                    <w:tl2br w:val="nil"/>
                    <w:tr2bl w:val="nil"/>
                  </w:tcBorders>
                  <w:vAlign w:val="center"/>
                </w:tcPr>
                <w:p w14:paraId="43C7F1EB">
                  <w:pPr>
                    <w:pStyle w:val="144"/>
                    <w:rPr>
                      <w:rFonts w:ascii="Times New Roman" w:hAnsi="Times New Roman"/>
                      <w:color w:val="000000" w:themeColor="text1"/>
                      <w:szCs w:val="21"/>
                      <w14:textFill>
                        <w14:solidFill>
                          <w14:schemeClr w14:val="tx1"/>
                        </w14:solidFill>
                      </w14:textFill>
                    </w:rPr>
                  </w:pPr>
                </w:p>
              </w:tc>
              <w:tc>
                <w:tcPr>
                  <w:tcW w:w="775" w:type="pct"/>
                  <w:tcBorders>
                    <w:tl2br w:val="nil"/>
                    <w:tr2bl w:val="nil"/>
                  </w:tcBorders>
                  <w:vAlign w:val="center"/>
                </w:tcPr>
                <w:p w14:paraId="6898A254">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东经</w:t>
                  </w:r>
                </w:p>
              </w:tc>
              <w:tc>
                <w:tcPr>
                  <w:tcW w:w="711" w:type="pct"/>
                  <w:tcBorders>
                    <w:tl2br w:val="nil"/>
                    <w:tr2bl w:val="nil"/>
                  </w:tcBorders>
                  <w:vAlign w:val="center"/>
                </w:tcPr>
                <w:p w14:paraId="4298682D">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北纬</w:t>
                  </w:r>
                </w:p>
              </w:tc>
              <w:tc>
                <w:tcPr>
                  <w:tcW w:w="353" w:type="pct"/>
                  <w:tcBorders>
                    <w:tl2br w:val="nil"/>
                    <w:tr2bl w:val="nil"/>
                  </w:tcBorders>
                  <w:vAlign w:val="center"/>
                </w:tcPr>
                <w:p w14:paraId="6BE16342">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方位</w:t>
                  </w:r>
                </w:p>
              </w:tc>
              <w:tc>
                <w:tcPr>
                  <w:tcW w:w="498" w:type="pct"/>
                  <w:tcBorders>
                    <w:tl2br w:val="nil"/>
                    <w:tr2bl w:val="nil"/>
                  </w:tcBorders>
                  <w:vAlign w:val="center"/>
                </w:tcPr>
                <w:p w14:paraId="40A9BDCF">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距离/m</w:t>
                  </w:r>
                </w:p>
              </w:tc>
              <w:tc>
                <w:tcPr>
                  <w:tcW w:w="495" w:type="pct"/>
                  <w:vMerge w:val="continue"/>
                  <w:tcBorders>
                    <w:tl2br w:val="nil"/>
                    <w:tr2bl w:val="nil"/>
                  </w:tcBorders>
                  <w:vAlign w:val="center"/>
                </w:tcPr>
                <w:p w14:paraId="4AE37827">
                  <w:pPr>
                    <w:pStyle w:val="144"/>
                    <w:rPr>
                      <w:rFonts w:ascii="Times New Roman" w:hAnsi="Times New Roman"/>
                      <w:color w:val="000000" w:themeColor="text1"/>
                      <w:szCs w:val="21"/>
                      <w14:textFill>
                        <w14:solidFill>
                          <w14:schemeClr w14:val="tx1"/>
                        </w14:solidFill>
                      </w14:textFill>
                    </w:rPr>
                  </w:pPr>
                </w:p>
              </w:tc>
              <w:tc>
                <w:tcPr>
                  <w:tcW w:w="1483" w:type="pct"/>
                  <w:vMerge w:val="continue"/>
                  <w:tcBorders>
                    <w:tl2br w:val="nil"/>
                    <w:tr2bl w:val="nil"/>
                  </w:tcBorders>
                  <w:vAlign w:val="center"/>
                </w:tcPr>
                <w:p w14:paraId="138554BA">
                  <w:pPr>
                    <w:pStyle w:val="144"/>
                    <w:rPr>
                      <w:rFonts w:ascii="Times New Roman" w:hAnsi="Times New Roman"/>
                      <w:color w:val="000000" w:themeColor="text1"/>
                      <w:szCs w:val="21"/>
                      <w14:textFill>
                        <w14:solidFill>
                          <w14:schemeClr w14:val="tx1"/>
                        </w14:solidFill>
                      </w14:textFill>
                    </w:rPr>
                  </w:pPr>
                </w:p>
              </w:tc>
            </w:tr>
            <w:tr w14:paraId="38A12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3" w:hRule="atLeast"/>
                <w:jc w:val="center"/>
              </w:trPr>
              <w:tc>
                <w:tcPr>
                  <w:tcW w:w="287" w:type="pct"/>
                  <w:vMerge w:val="restart"/>
                  <w:tcBorders>
                    <w:tl2br w:val="nil"/>
                    <w:tr2bl w:val="nil"/>
                  </w:tcBorders>
                  <w:vAlign w:val="center"/>
                </w:tcPr>
                <w:p w14:paraId="6BF248CE">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w:t>
                  </w:r>
                </w:p>
                <w:p w14:paraId="48E00AA2">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空气</w:t>
                  </w:r>
                </w:p>
              </w:tc>
              <w:tc>
                <w:tcPr>
                  <w:tcW w:w="395" w:type="pct"/>
                  <w:tcBorders>
                    <w:bottom w:val="single" w:color="auto" w:sz="4" w:space="0"/>
                    <w:tl2br w:val="nil"/>
                    <w:tr2bl w:val="nil"/>
                  </w:tcBorders>
                  <w:vAlign w:val="center"/>
                </w:tcPr>
                <w:p w14:paraId="5604D62C">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徐家</w:t>
                  </w:r>
                </w:p>
                <w:p w14:paraId="1299305A">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伙场</w:t>
                  </w:r>
                </w:p>
              </w:tc>
              <w:tc>
                <w:tcPr>
                  <w:tcW w:w="775" w:type="pct"/>
                  <w:tcBorders>
                    <w:bottom w:val="single" w:color="auto" w:sz="4" w:space="0"/>
                    <w:tl2br w:val="nil"/>
                    <w:tr2bl w:val="nil"/>
                  </w:tcBorders>
                  <w:vAlign w:val="center"/>
                </w:tcPr>
                <w:p w14:paraId="19E0A26C">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109°48′55"</w:t>
                  </w:r>
                </w:p>
              </w:tc>
              <w:tc>
                <w:tcPr>
                  <w:tcW w:w="711" w:type="pct"/>
                  <w:tcBorders>
                    <w:bottom w:val="single" w:color="auto" w:sz="4" w:space="0"/>
                    <w:tl2br w:val="nil"/>
                    <w:tr2bl w:val="nil"/>
                  </w:tcBorders>
                  <w:vAlign w:val="center"/>
                </w:tcPr>
                <w:p w14:paraId="59C3C5C6">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38°31′15"</w:t>
                  </w:r>
                </w:p>
              </w:tc>
              <w:tc>
                <w:tcPr>
                  <w:tcW w:w="353" w:type="pct"/>
                  <w:tcBorders>
                    <w:bottom w:val="single" w:color="auto" w:sz="4" w:space="0"/>
                    <w:tl2br w:val="nil"/>
                    <w:tr2bl w:val="nil"/>
                  </w:tcBorders>
                  <w:vAlign w:val="center"/>
                </w:tcPr>
                <w:p w14:paraId="46873424">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NW</w:t>
                  </w:r>
                </w:p>
              </w:tc>
              <w:tc>
                <w:tcPr>
                  <w:tcW w:w="498" w:type="pct"/>
                  <w:tcBorders>
                    <w:bottom w:val="single" w:color="auto" w:sz="4" w:space="0"/>
                    <w:tl2br w:val="nil"/>
                    <w:tr2bl w:val="nil"/>
                  </w:tcBorders>
                  <w:vAlign w:val="center"/>
                </w:tcPr>
                <w:p w14:paraId="4BE8228B">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60</w:t>
                  </w:r>
                </w:p>
              </w:tc>
              <w:tc>
                <w:tcPr>
                  <w:tcW w:w="495" w:type="pct"/>
                  <w:vMerge w:val="restart"/>
                  <w:tcBorders>
                    <w:tl2br w:val="nil"/>
                    <w:tr2bl w:val="nil"/>
                  </w:tcBorders>
                  <w:vAlign w:val="center"/>
                </w:tcPr>
                <w:p w14:paraId="238203B1">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w:t>
                  </w:r>
                </w:p>
                <w:p w14:paraId="4DD464EF">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空气</w:t>
                  </w:r>
                </w:p>
              </w:tc>
              <w:tc>
                <w:tcPr>
                  <w:tcW w:w="1483" w:type="pct"/>
                  <w:vMerge w:val="restart"/>
                  <w:tcBorders>
                    <w:tl2br w:val="nil"/>
                    <w:tr2bl w:val="nil"/>
                  </w:tcBorders>
                  <w:vAlign w:val="center"/>
                </w:tcPr>
                <w:p w14:paraId="6830F12D">
                  <w:pPr>
                    <w:pStyle w:val="144"/>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《环境空气质量标准》(GB3095-2012)二级标准</w:t>
                  </w:r>
                </w:p>
              </w:tc>
            </w:tr>
            <w:tr w14:paraId="23F57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36" w:hRule="atLeast"/>
                <w:jc w:val="center"/>
              </w:trPr>
              <w:tc>
                <w:tcPr>
                  <w:tcW w:w="287" w:type="pct"/>
                  <w:vMerge w:val="continue"/>
                  <w:tcBorders>
                    <w:tl2br w:val="nil"/>
                    <w:tr2bl w:val="nil"/>
                  </w:tcBorders>
                  <w:vAlign w:val="center"/>
                </w:tcPr>
                <w:p w14:paraId="19A38E09">
                  <w:pPr>
                    <w:pStyle w:val="144"/>
                    <w:rPr>
                      <w:rFonts w:ascii="Times New Roman" w:hAnsi="Times New Roman"/>
                      <w:color w:val="000000" w:themeColor="text1"/>
                      <w:szCs w:val="21"/>
                      <w14:textFill>
                        <w14:solidFill>
                          <w14:schemeClr w14:val="tx1"/>
                        </w14:solidFill>
                      </w14:textFill>
                    </w:rPr>
                  </w:pPr>
                </w:p>
              </w:tc>
              <w:tc>
                <w:tcPr>
                  <w:tcW w:w="395" w:type="pct"/>
                  <w:tcBorders>
                    <w:top w:val="single" w:color="auto" w:sz="4" w:space="0"/>
                    <w:tl2br w:val="nil"/>
                    <w:tr2bl w:val="nil"/>
                  </w:tcBorders>
                  <w:vAlign w:val="center"/>
                </w:tcPr>
                <w:p w14:paraId="328CA06C">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阎家</w:t>
                  </w:r>
                </w:p>
                <w:p w14:paraId="57F32F11">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伙场</w:t>
                  </w:r>
                </w:p>
              </w:tc>
              <w:tc>
                <w:tcPr>
                  <w:tcW w:w="775" w:type="pct"/>
                  <w:tcBorders>
                    <w:top w:val="single" w:color="auto" w:sz="4" w:space="0"/>
                    <w:tl2br w:val="nil"/>
                    <w:tr2bl w:val="nil"/>
                  </w:tcBorders>
                  <w:vAlign w:val="center"/>
                </w:tcPr>
                <w:p w14:paraId="2761853B">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109°48′30"</w:t>
                  </w:r>
                </w:p>
              </w:tc>
              <w:tc>
                <w:tcPr>
                  <w:tcW w:w="711" w:type="pct"/>
                  <w:tcBorders>
                    <w:top w:val="single" w:color="auto" w:sz="4" w:space="0"/>
                    <w:tl2br w:val="nil"/>
                    <w:tr2bl w:val="nil"/>
                  </w:tcBorders>
                  <w:vAlign w:val="center"/>
                </w:tcPr>
                <w:p w14:paraId="6340EB0B">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38°30′56"</w:t>
                  </w:r>
                </w:p>
              </w:tc>
              <w:tc>
                <w:tcPr>
                  <w:tcW w:w="353" w:type="pct"/>
                  <w:tcBorders>
                    <w:top w:val="single" w:color="auto" w:sz="4" w:space="0"/>
                    <w:tl2br w:val="nil"/>
                    <w:tr2bl w:val="nil"/>
                  </w:tcBorders>
                  <w:vAlign w:val="center"/>
                </w:tcPr>
                <w:p w14:paraId="4C85F131">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SW</w:t>
                  </w:r>
                </w:p>
              </w:tc>
              <w:tc>
                <w:tcPr>
                  <w:tcW w:w="498" w:type="pct"/>
                  <w:tcBorders>
                    <w:top w:val="single" w:color="auto" w:sz="4" w:space="0"/>
                    <w:tl2br w:val="nil"/>
                    <w:tr2bl w:val="nil"/>
                  </w:tcBorders>
                  <w:vAlign w:val="center"/>
                </w:tcPr>
                <w:p w14:paraId="4982C9BB">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330</w:t>
                  </w:r>
                </w:p>
              </w:tc>
              <w:tc>
                <w:tcPr>
                  <w:tcW w:w="495" w:type="pct"/>
                  <w:vMerge w:val="continue"/>
                  <w:tcBorders>
                    <w:tl2br w:val="nil"/>
                    <w:tr2bl w:val="nil"/>
                  </w:tcBorders>
                  <w:vAlign w:val="center"/>
                </w:tcPr>
                <w:p w14:paraId="3981D81C">
                  <w:pPr>
                    <w:pStyle w:val="144"/>
                    <w:rPr>
                      <w:rFonts w:ascii="Times New Roman" w:hAnsi="Times New Roman"/>
                      <w:color w:val="000000" w:themeColor="text1"/>
                      <w:szCs w:val="21"/>
                      <w14:textFill>
                        <w14:solidFill>
                          <w14:schemeClr w14:val="tx1"/>
                        </w14:solidFill>
                      </w14:textFill>
                    </w:rPr>
                  </w:pPr>
                </w:p>
              </w:tc>
              <w:tc>
                <w:tcPr>
                  <w:tcW w:w="1483" w:type="pct"/>
                  <w:vMerge w:val="continue"/>
                  <w:tcBorders>
                    <w:tl2br w:val="nil"/>
                    <w:tr2bl w:val="nil"/>
                  </w:tcBorders>
                  <w:vAlign w:val="center"/>
                </w:tcPr>
                <w:p w14:paraId="454C8775">
                  <w:pPr>
                    <w:pStyle w:val="144"/>
                    <w:jc w:val="center"/>
                    <w:rPr>
                      <w:rFonts w:ascii="Times New Roman" w:hAnsi="Times New Roman"/>
                      <w:color w:val="000000" w:themeColor="text1"/>
                      <w:szCs w:val="21"/>
                      <w14:textFill>
                        <w14:solidFill>
                          <w14:schemeClr w14:val="tx1"/>
                        </w14:solidFill>
                      </w14:textFill>
                    </w:rPr>
                  </w:pPr>
                </w:p>
              </w:tc>
            </w:tr>
            <w:tr w14:paraId="32D7F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287" w:type="pct"/>
                  <w:tcBorders>
                    <w:tl2br w:val="nil"/>
                    <w:tr2bl w:val="nil"/>
                  </w:tcBorders>
                  <w:vAlign w:val="center"/>
                </w:tcPr>
                <w:p w14:paraId="1A427134">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声环境</w:t>
                  </w:r>
                </w:p>
              </w:tc>
              <w:tc>
                <w:tcPr>
                  <w:tcW w:w="2734" w:type="pct"/>
                  <w:gridSpan w:val="5"/>
                  <w:tcBorders>
                    <w:tl2br w:val="nil"/>
                    <w:tr2bl w:val="nil"/>
                  </w:tcBorders>
                  <w:vAlign w:val="center"/>
                </w:tcPr>
                <w:p w14:paraId="01FD90FD">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厂界外50m范围内（无噪声敏感点）</w:t>
                  </w:r>
                </w:p>
              </w:tc>
              <w:tc>
                <w:tcPr>
                  <w:tcW w:w="495" w:type="pct"/>
                  <w:tcBorders>
                    <w:tl2br w:val="nil"/>
                    <w:tr2bl w:val="nil"/>
                  </w:tcBorders>
                  <w:vAlign w:val="center"/>
                </w:tcPr>
                <w:p w14:paraId="77AFFD1E">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声环境质量</w:t>
                  </w:r>
                </w:p>
              </w:tc>
              <w:tc>
                <w:tcPr>
                  <w:tcW w:w="1483" w:type="pct"/>
                  <w:tcBorders>
                    <w:tl2br w:val="nil"/>
                    <w:tr2bl w:val="nil"/>
                  </w:tcBorders>
                  <w:vAlign w:val="center"/>
                </w:tcPr>
                <w:p w14:paraId="358E657B">
                  <w:pPr>
                    <w:pStyle w:val="144"/>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《声环境质量标准》(GB3096-2008)中2类标准</w:t>
                  </w:r>
                </w:p>
              </w:tc>
            </w:tr>
            <w:tr w14:paraId="30048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287" w:type="pct"/>
                  <w:tcBorders>
                    <w:tl2br w:val="nil"/>
                    <w:tr2bl w:val="nil"/>
                  </w:tcBorders>
                  <w:vAlign w:val="center"/>
                </w:tcPr>
                <w:p w14:paraId="22BA5949">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地下水</w:t>
                  </w:r>
                </w:p>
              </w:tc>
              <w:tc>
                <w:tcPr>
                  <w:tcW w:w="2734" w:type="pct"/>
                  <w:gridSpan w:val="5"/>
                  <w:tcBorders>
                    <w:tl2br w:val="nil"/>
                    <w:tr2bl w:val="nil"/>
                  </w:tcBorders>
                  <w:vAlign w:val="center"/>
                </w:tcPr>
                <w:p w14:paraId="62000355">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评价范围内</w:t>
                  </w:r>
                </w:p>
              </w:tc>
              <w:tc>
                <w:tcPr>
                  <w:tcW w:w="495" w:type="pct"/>
                  <w:tcBorders>
                    <w:tl2br w:val="nil"/>
                    <w:tr2bl w:val="nil"/>
                  </w:tcBorders>
                  <w:vAlign w:val="center"/>
                </w:tcPr>
                <w:p w14:paraId="358CCE76">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潜水含水层</w:t>
                  </w:r>
                </w:p>
              </w:tc>
              <w:tc>
                <w:tcPr>
                  <w:tcW w:w="1483" w:type="pct"/>
                  <w:tcBorders>
                    <w:tl2br w:val="nil"/>
                    <w:tr2bl w:val="nil"/>
                  </w:tcBorders>
                  <w:vAlign w:val="center"/>
                </w:tcPr>
                <w:p w14:paraId="75D964FF">
                  <w:pPr>
                    <w:pStyle w:val="144"/>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《地下水质量标准》(GB/T14848-2017)Ⅲ类</w:t>
                  </w:r>
                </w:p>
              </w:tc>
            </w:tr>
            <w:tr w14:paraId="2B1A1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287" w:type="pct"/>
                  <w:tcBorders>
                    <w:tl2br w:val="nil"/>
                    <w:tr2bl w:val="nil"/>
                  </w:tcBorders>
                  <w:vAlign w:val="center"/>
                </w:tcPr>
                <w:p w14:paraId="399148F4">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土壤</w:t>
                  </w:r>
                </w:p>
              </w:tc>
              <w:tc>
                <w:tcPr>
                  <w:tcW w:w="2734" w:type="pct"/>
                  <w:gridSpan w:val="5"/>
                  <w:tcBorders>
                    <w:tl2br w:val="nil"/>
                    <w:tr2bl w:val="nil"/>
                  </w:tcBorders>
                  <w:vAlign w:val="center"/>
                </w:tcPr>
                <w:p w14:paraId="15A88DE9">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占地范围内</w:t>
                  </w:r>
                </w:p>
              </w:tc>
              <w:tc>
                <w:tcPr>
                  <w:tcW w:w="495" w:type="pct"/>
                  <w:tcBorders>
                    <w:tl2br w:val="nil"/>
                    <w:tr2bl w:val="nil"/>
                  </w:tcBorders>
                  <w:vAlign w:val="center"/>
                </w:tcPr>
                <w:p w14:paraId="7E58F23E">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土壤环境质量</w:t>
                  </w:r>
                </w:p>
              </w:tc>
              <w:tc>
                <w:tcPr>
                  <w:tcW w:w="1483" w:type="pct"/>
                  <w:tcBorders>
                    <w:tl2br w:val="nil"/>
                    <w:tr2bl w:val="nil"/>
                  </w:tcBorders>
                  <w:vAlign w:val="center"/>
                </w:tcPr>
                <w:p w14:paraId="3552231E">
                  <w:pPr>
                    <w:pStyle w:val="144"/>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《土壤环境质量 建设用地土壤污染风险管控标准》（GB36600-2018)</w:t>
                  </w:r>
                </w:p>
              </w:tc>
            </w:tr>
            <w:tr w14:paraId="4C46E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287" w:type="pct"/>
                  <w:tcBorders>
                    <w:tl2br w:val="nil"/>
                    <w:tr2bl w:val="nil"/>
                  </w:tcBorders>
                  <w:vAlign w:val="center"/>
                </w:tcPr>
                <w:p w14:paraId="2270109C">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生态</w:t>
                  </w:r>
                </w:p>
              </w:tc>
              <w:tc>
                <w:tcPr>
                  <w:tcW w:w="2734" w:type="pct"/>
                  <w:gridSpan w:val="5"/>
                  <w:tcBorders>
                    <w:tl2br w:val="nil"/>
                    <w:tr2bl w:val="nil"/>
                  </w:tcBorders>
                  <w:vAlign w:val="center"/>
                </w:tcPr>
                <w:p w14:paraId="4039F395">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占地范围及周边</w:t>
                  </w:r>
                </w:p>
              </w:tc>
              <w:tc>
                <w:tcPr>
                  <w:tcW w:w="495" w:type="pct"/>
                  <w:tcBorders>
                    <w:tl2br w:val="nil"/>
                    <w:tr2bl w:val="nil"/>
                  </w:tcBorders>
                  <w:vAlign w:val="center"/>
                </w:tcPr>
                <w:p w14:paraId="0A427CD7">
                  <w:pPr>
                    <w:pStyle w:val="14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植被、水土流失</w:t>
                  </w:r>
                </w:p>
              </w:tc>
              <w:tc>
                <w:tcPr>
                  <w:tcW w:w="1483" w:type="pct"/>
                  <w:tcBorders>
                    <w:tl2br w:val="nil"/>
                    <w:tr2bl w:val="nil"/>
                  </w:tcBorders>
                  <w:vAlign w:val="center"/>
                </w:tcPr>
                <w:p w14:paraId="33BBF230">
                  <w:pPr>
                    <w:pStyle w:val="144"/>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不会对周边生态环境产生明显影响</w:t>
                  </w:r>
                </w:p>
              </w:tc>
            </w:tr>
          </w:tbl>
          <w:p w14:paraId="579029BC">
            <w:pPr>
              <w:ind w:firstLine="480"/>
              <w:rPr>
                <w:rFonts w:ascii="宋体" w:hAnsi="Courier New"/>
                <w:color w:val="000000" w:themeColor="text1"/>
                <w:szCs w:val="32"/>
                <w14:textFill>
                  <w14:solidFill>
                    <w14:schemeClr w14:val="tx1"/>
                  </w14:solidFill>
                </w14:textFill>
              </w:rPr>
            </w:pPr>
          </w:p>
        </w:tc>
      </w:tr>
      <w:tr w14:paraId="5E863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97" w:hRule="atLeast"/>
          <w:jc w:val="center"/>
        </w:trPr>
        <w:tc>
          <w:tcPr>
            <w:tcW w:w="826" w:type="dxa"/>
            <w:vAlign w:val="center"/>
          </w:tcPr>
          <w:p w14:paraId="5549CFC6">
            <w:pPr>
              <w:spacing w:line="240" w:lineRule="auto"/>
              <w:ind w:firstLine="0" w:firstLineChars="0"/>
              <w:jc w:val="center"/>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污染</w:t>
            </w:r>
          </w:p>
          <w:p w14:paraId="0BB4C4B0">
            <w:pPr>
              <w:spacing w:line="240" w:lineRule="auto"/>
              <w:ind w:firstLine="0" w:firstLineChars="0"/>
              <w:jc w:val="center"/>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物排</w:t>
            </w:r>
          </w:p>
          <w:p w14:paraId="30EA3AAD">
            <w:pPr>
              <w:spacing w:line="240" w:lineRule="auto"/>
              <w:ind w:firstLine="0" w:firstLineChars="0"/>
              <w:jc w:val="center"/>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放控</w:t>
            </w:r>
          </w:p>
          <w:p w14:paraId="24D9D52B">
            <w:pPr>
              <w:spacing w:line="240" w:lineRule="auto"/>
              <w:ind w:firstLine="0" w:firstLineChars="0"/>
              <w:jc w:val="center"/>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制标</w:t>
            </w:r>
          </w:p>
          <w:p w14:paraId="53D38FB0">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14:textFill>
                  <w14:solidFill>
                    <w14:schemeClr w14:val="tx1"/>
                  </w14:solidFill>
                </w14:textFill>
              </w:rPr>
              <w:t>准</w:t>
            </w:r>
          </w:p>
        </w:tc>
        <w:tc>
          <w:tcPr>
            <w:tcW w:w="8460" w:type="dxa"/>
          </w:tcPr>
          <w:p w14:paraId="763C2E32">
            <w:pPr>
              <w:pStyle w:val="46"/>
              <w:spacing w:line="353" w:lineRule="auto"/>
              <w:ind w:firstLine="480"/>
              <w:rPr>
                <w:rFonts w:ascii="Times New Roman" w:hAnsi="Times New Roman"/>
                <w:color w:val="000000" w:themeColor="text1"/>
                <w:szCs w:val="32"/>
                <w14:textFill>
                  <w14:solidFill>
                    <w14:schemeClr w14:val="tx1"/>
                  </w14:solidFill>
                </w14:textFill>
              </w:rPr>
            </w:pPr>
            <w:r>
              <w:rPr>
                <w:rFonts w:ascii="Times New Roman" w:hAnsi="Times New Roman"/>
                <w:color w:val="000000" w:themeColor="text1"/>
                <w:szCs w:val="32"/>
                <w14:textFill>
                  <w14:solidFill>
                    <w14:schemeClr w14:val="tx1"/>
                  </w14:solidFill>
                </w14:textFill>
              </w:rPr>
              <w:t>1.废气</w:t>
            </w:r>
          </w:p>
          <w:p w14:paraId="7DC53D81">
            <w:pPr>
              <w:pStyle w:val="46"/>
              <w:spacing w:line="353" w:lineRule="auto"/>
              <w:ind w:firstLine="480"/>
              <w:rPr>
                <w:rFonts w:hint="eastAsia" w:ascii="Times New Roman" w:hAnsi="Times New Roman" w:cs="Times New Roman"/>
                <w:color w:val="000000" w:themeColor="text1"/>
                <w:szCs w:val="21"/>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大气污染物中煤矸石破碎筛分废气颗粒物排放执行《砖瓦工业大气污染物排放标准》（GB29620-2013）表3要求；隧道窑烟气排放执行《砖瓦工业大气污染物排放标准》（GB29620-2013）表2要求；厂界无组织颗粒物、二氧化硫排放执行《砖瓦工业大气污染物排放标准》（GB29620-2013）表3限值要求；水泥筒仓颗粒物排放执行《水泥工业大气污染物排放标准》（GB4915-2013）中相应的标准限值要求</w:t>
            </w:r>
            <w:r>
              <w:rPr>
                <w:rFonts w:hint="eastAsia" w:ascii="Times New Roman" w:hAnsi="Times New Roman" w:cs="Times New Roman"/>
                <w:color w:val="000000" w:themeColor="text1"/>
                <w:szCs w:val="21"/>
                <w:lang w:val="en-US" w:eastAsia="zh-CN"/>
                <w14:textFill>
                  <w14:solidFill>
                    <w14:schemeClr w14:val="tx1"/>
                  </w14:solidFill>
                </w14:textFill>
              </w:rPr>
              <w:t>。</w:t>
            </w:r>
          </w:p>
          <w:p w14:paraId="12D57C1F">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大气污染物排放标准</w:t>
            </w:r>
          </w:p>
          <w:tbl>
            <w:tblPr>
              <w:tblStyle w:val="8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1067"/>
              <w:gridCol w:w="1262"/>
              <w:gridCol w:w="1507"/>
              <w:gridCol w:w="2680"/>
            </w:tblGrid>
            <w:tr w14:paraId="3A80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vAlign w:val="center"/>
                </w:tcPr>
                <w:p w14:paraId="2307674A">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污染源</w:t>
                  </w:r>
                </w:p>
              </w:tc>
              <w:tc>
                <w:tcPr>
                  <w:tcW w:w="648" w:type="pct"/>
                  <w:vAlign w:val="center"/>
                </w:tcPr>
                <w:p w14:paraId="6E1233EF">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项目</w:t>
                  </w:r>
                </w:p>
              </w:tc>
              <w:tc>
                <w:tcPr>
                  <w:tcW w:w="766" w:type="pct"/>
                  <w:vAlign w:val="center"/>
                </w:tcPr>
                <w:p w14:paraId="4B5F3E8D">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标准值</w:t>
                  </w:r>
                </w:p>
              </w:tc>
              <w:tc>
                <w:tcPr>
                  <w:tcW w:w="915" w:type="pct"/>
                  <w:vAlign w:val="center"/>
                </w:tcPr>
                <w:p w14:paraId="1FEF8243">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单位</w:t>
                  </w:r>
                </w:p>
              </w:tc>
              <w:tc>
                <w:tcPr>
                  <w:tcW w:w="1627" w:type="pct"/>
                  <w:vAlign w:val="center"/>
                </w:tcPr>
                <w:p w14:paraId="4265126A">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标准来源</w:t>
                  </w:r>
                </w:p>
              </w:tc>
            </w:tr>
            <w:tr w14:paraId="6CEE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vMerge w:val="restart"/>
                  <w:vAlign w:val="center"/>
                </w:tcPr>
                <w:p w14:paraId="67A44428">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隧道窑烟气</w:t>
                  </w:r>
                </w:p>
              </w:tc>
              <w:tc>
                <w:tcPr>
                  <w:tcW w:w="648" w:type="pct"/>
                  <w:vAlign w:val="center"/>
                </w:tcPr>
                <w:p w14:paraId="23D792AB">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颗粒物</w:t>
                  </w:r>
                </w:p>
              </w:tc>
              <w:tc>
                <w:tcPr>
                  <w:tcW w:w="766" w:type="pct"/>
                  <w:vAlign w:val="center"/>
                </w:tcPr>
                <w:p w14:paraId="20225F53">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30</w:t>
                  </w:r>
                </w:p>
              </w:tc>
              <w:tc>
                <w:tcPr>
                  <w:tcW w:w="915" w:type="pct"/>
                  <w:vAlign w:val="center"/>
                </w:tcPr>
                <w:p w14:paraId="61AFA547">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mg/m</w:t>
                  </w:r>
                  <w:r>
                    <w:rPr>
                      <w:rFonts w:hint="eastAsia" w:ascii="Times New Roman" w:hAnsi="Times New Roman"/>
                      <w:color w:val="000000" w:themeColor="text1"/>
                      <w:szCs w:val="21"/>
                      <w:vertAlign w:val="superscript"/>
                      <w14:textFill>
                        <w14:solidFill>
                          <w14:schemeClr w14:val="tx1"/>
                        </w14:solidFill>
                      </w14:textFill>
                    </w:rPr>
                    <w:t>3</w:t>
                  </w:r>
                </w:p>
              </w:tc>
              <w:tc>
                <w:tcPr>
                  <w:tcW w:w="1627" w:type="pct"/>
                  <w:vMerge w:val="restart"/>
                  <w:vAlign w:val="center"/>
                </w:tcPr>
                <w:p w14:paraId="2A64827D">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《砖瓦工业大气污染物排放标准》（GB29620-2013）表2及修改单中标准</w:t>
                  </w:r>
                </w:p>
              </w:tc>
            </w:tr>
            <w:tr w14:paraId="55CC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vMerge w:val="continue"/>
                  <w:vAlign w:val="center"/>
                </w:tcPr>
                <w:p w14:paraId="201EA119">
                  <w:pPr>
                    <w:pStyle w:val="144"/>
                    <w:rPr>
                      <w:rFonts w:ascii="Times New Roman" w:hAnsi="Times New Roman"/>
                      <w:color w:val="000000" w:themeColor="text1"/>
                      <w:szCs w:val="21"/>
                      <w14:textFill>
                        <w14:solidFill>
                          <w14:schemeClr w14:val="tx1"/>
                        </w14:solidFill>
                      </w14:textFill>
                    </w:rPr>
                  </w:pPr>
                </w:p>
              </w:tc>
              <w:tc>
                <w:tcPr>
                  <w:tcW w:w="648" w:type="pct"/>
                  <w:vAlign w:val="center"/>
                </w:tcPr>
                <w:p w14:paraId="5216FAA5">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SO</w:t>
                  </w:r>
                  <w:r>
                    <w:rPr>
                      <w:rFonts w:hint="eastAsia" w:ascii="Times New Roman" w:hAnsi="Times New Roman"/>
                      <w:color w:val="000000" w:themeColor="text1"/>
                      <w:szCs w:val="21"/>
                      <w:vertAlign w:val="subscript"/>
                      <w14:textFill>
                        <w14:solidFill>
                          <w14:schemeClr w14:val="tx1"/>
                        </w14:solidFill>
                      </w14:textFill>
                    </w:rPr>
                    <w:t>2</w:t>
                  </w:r>
                </w:p>
              </w:tc>
              <w:tc>
                <w:tcPr>
                  <w:tcW w:w="766" w:type="pct"/>
                  <w:vAlign w:val="center"/>
                </w:tcPr>
                <w:p w14:paraId="569A7F7B">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150</w:t>
                  </w:r>
                </w:p>
              </w:tc>
              <w:tc>
                <w:tcPr>
                  <w:tcW w:w="915" w:type="pct"/>
                  <w:vAlign w:val="center"/>
                </w:tcPr>
                <w:p w14:paraId="00196EF9">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mg/m</w:t>
                  </w:r>
                  <w:r>
                    <w:rPr>
                      <w:rFonts w:hint="eastAsia" w:ascii="Times New Roman" w:hAnsi="Times New Roman"/>
                      <w:color w:val="000000" w:themeColor="text1"/>
                      <w:szCs w:val="21"/>
                      <w:vertAlign w:val="superscript"/>
                      <w14:textFill>
                        <w14:solidFill>
                          <w14:schemeClr w14:val="tx1"/>
                        </w14:solidFill>
                      </w14:textFill>
                    </w:rPr>
                    <w:t>3</w:t>
                  </w:r>
                </w:p>
              </w:tc>
              <w:tc>
                <w:tcPr>
                  <w:tcW w:w="1627" w:type="pct"/>
                  <w:vMerge w:val="continue"/>
                  <w:vAlign w:val="center"/>
                </w:tcPr>
                <w:p w14:paraId="6AC2FF66">
                  <w:pPr>
                    <w:pStyle w:val="144"/>
                    <w:rPr>
                      <w:rFonts w:ascii="Times New Roman" w:hAnsi="Times New Roman"/>
                      <w:color w:val="000000" w:themeColor="text1"/>
                      <w:szCs w:val="21"/>
                      <w14:textFill>
                        <w14:solidFill>
                          <w14:schemeClr w14:val="tx1"/>
                        </w14:solidFill>
                      </w14:textFill>
                    </w:rPr>
                  </w:pPr>
                </w:p>
              </w:tc>
            </w:tr>
            <w:tr w14:paraId="65BB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vMerge w:val="continue"/>
                  <w:vAlign w:val="center"/>
                </w:tcPr>
                <w:p w14:paraId="31D57C2F">
                  <w:pPr>
                    <w:pStyle w:val="144"/>
                    <w:rPr>
                      <w:rFonts w:ascii="Times New Roman" w:hAnsi="Times New Roman"/>
                      <w:color w:val="000000" w:themeColor="text1"/>
                      <w:szCs w:val="21"/>
                      <w14:textFill>
                        <w14:solidFill>
                          <w14:schemeClr w14:val="tx1"/>
                        </w14:solidFill>
                      </w14:textFill>
                    </w:rPr>
                  </w:pPr>
                </w:p>
              </w:tc>
              <w:tc>
                <w:tcPr>
                  <w:tcW w:w="648" w:type="pct"/>
                  <w:vAlign w:val="center"/>
                </w:tcPr>
                <w:p w14:paraId="6609DC88">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NOx</w:t>
                  </w:r>
                </w:p>
              </w:tc>
              <w:tc>
                <w:tcPr>
                  <w:tcW w:w="766" w:type="pct"/>
                  <w:vAlign w:val="center"/>
                </w:tcPr>
                <w:p w14:paraId="235E35DC">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200</w:t>
                  </w:r>
                </w:p>
              </w:tc>
              <w:tc>
                <w:tcPr>
                  <w:tcW w:w="915" w:type="pct"/>
                  <w:vAlign w:val="center"/>
                </w:tcPr>
                <w:p w14:paraId="7044F456">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mg/m</w:t>
                  </w:r>
                  <w:r>
                    <w:rPr>
                      <w:rFonts w:hint="eastAsia" w:ascii="Times New Roman" w:hAnsi="Times New Roman"/>
                      <w:color w:val="000000" w:themeColor="text1"/>
                      <w:szCs w:val="21"/>
                      <w:vertAlign w:val="superscript"/>
                      <w14:textFill>
                        <w14:solidFill>
                          <w14:schemeClr w14:val="tx1"/>
                        </w14:solidFill>
                      </w14:textFill>
                    </w:rPr>
                    <w:t>3</w:t>
                  </w:r>
                </w:p>
              </w:tc>
              <w:tc>
                <w:tcPr>
                  <w:tcW w:w="1627" w:type="pct"/>
                  <w:vMerge w:val="continue"/>
                  <w:vAlign w:val="center"/>
                </w:tcPr>
                <w:p w14:paraId="205E8905">
                  <w:pPr>
                    <w:pStyle w:val="144"/>
                    <w:rPr>
                      <w:rFonts w:ascii="Times New Roman" w:hAnsi="Times New Roman"/>
                      <w:color w:val="000000" w:themeColor="text1"/>
                      <w:szCs w:val="21"/>
                      <w14:textFill>
                        <w14:solidFill>
                          <w14:schemeClr w14:val="tx1"/>
                        </w14:solidFill>
                      </w14:textFill>
                    </w:rPr>
                  </w:pPr>
                </w:p>
              </w:tc>
            </w:tr>
            <w:tr w14:paraId="50C9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vMerge w:val="continue"/>
                  <w:vAlign w:val="center"/>
                </w:tcPr>
                <w:p w14:paraId="5DE0BF16">
                  <w:pPr>
                    <w:pStyle w:val="144"/>
                    <w:rPr>
                      <w:rFonts w:ascii="Times New Roman" w:hAnsi="Times New Roman"/>
                      <w:color w:val="000000" w:themeColor="text1"/>
                      <w:szCs w:val="21"/>
                      <w14:textFill>
                        <w14:solidFill>
                          <w14:schemeClr w14:val="tx1"/>
                        </w14:solidFill>
                      </w14:textFill>
                    </w:rPr>
                  </w:pPr>
                </w:p>
              </w:tc>
              <w:tc>
                <w:tcPr>
                  <w:tcW w:w="648" w:type="pct"/>
                  <w:vAlign w:val="center"/>
                </w:tcPr>
                <w:p w14:paraId="120F8517">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氟化物</w:t>
                  </w:r>
                </w:p>
              </w:tc>
              <w:tc>
                <w:tcPr>
                  <w:tcW w:w="766" w:type="pct"/>
                  <w:vAlign w:val="center"/>
                </w:tcPr>
                <w:p w14:paraId="78716B84">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3</w:t>
                  </w:r>
                </w:p>
              </w:tc>
              <w:tc>
                <w:tcPr>
                  <w:tcW w:w="915" w:type="pct"/>
                  <w:vAlign w:val="center"/>
                </w:tcPr>
                <w:p w14:paraId="32368E95">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mg/m</w:t>
                  </w:r>
                  <w:r>
                    <w:rPr>
                      <w:rFonts w:hint="eastAsia" w:ascii="Times New Roman" w:hAnsi="Times New Roman"/>
                      <w:color w:val="000000" w:themeColor="text1"/>
                      <w:szCs w:val="21"/>
                      <w:vertAlign w:val="superscript"/>
                      <w14:textFill>
                        <w14:solidFill>
                          <w14:schemeClr w14:val="tx1"/>
                        </w14:solidFill>
                      </w14:textFill>
                    </w:rPr>
                    <w:t>3</w:t>
                  </w:r>
                </w:p>
              </w:tc>
              <w:tc>
                <w:tcPr>
                  <w:tcW w:w="1627" w:type="pct"/>
                  <w:vMerge w:val="continue"/>
                  <w:vAlign w:val="center"/>
                </w:tcPr>
                <w:p w14:paraId="7208A5B2">
                  <w:pPr>
                    <w:pStyle w:val="144"/>
                    <w:rPr>
                      <w:rFonts w:ascii="Times New Roman" w:hAnsi="Times New Roman"/>
                      <w:color w:val="000000" w:themeColor="text1"/>
                      <w:szCs w:val="21"/>
                      <w14:textFill>
                        <w14:solidFill>
                          <w14:schemeClr w14:val="tx1"/>
                        </w14:solidFill>
                      </w14:textFill>
                    </w:rPr>
                  </w:pPr>
                </w:p>
              </w:tc>
            </w:tr>
            <w:tr w14:paraId="3931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vAlign w:val="center"/>
                </w:tcPr>
                <w:p w14:paraId="5E4D66EA">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水泥筒仓</w:t>
                  </w:r>
                </w:p>
              </w:tc>
              <w:tc>
                <w:tcPr>
                  <w:tcW w:w="648" w:type="pct"/>
                  <w:vAlign w:val="center"/>
                </w:tcPr>
                <w:p w14:paraId="322002E3">
                  <w:pPr>
                    <w:pStyle w:val="144"/>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颗粒物</w:t>
                  </w:r>
                </w:p>
                <w:p w14:paraId="183350A0">
                  <w:pPr>
                    <w:pStyle w:val="144"/>
                    <w:ind w:firstLine="0" w:firstLineChars="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无组织</w:t>
                  </w:r>
                </w:p>
              </w:tc>
              <w:tc>
                <w:tcPr>
                  <w:tcW w:w="766" w:type="pct"/>
                  <w:vAlign w:val="center"/>
                </w:tcPr>
                <w:p w14:paraId="620E06DF">
                  <w:pPr>
                    <w:pStyle w:val="144"/>
                    <w:ind w:firstLine="0" w:firstLineChars="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0.5</w:t>
                  </w:r>
                </w:p>
              </w:tc>
              <w:tc>
                <w:tcPr>
                  <w:tcW w:w="915" w:type="pct"/>
                  <w:vAlign w:val="center"/>
                </w:tcPr>
                <w:p w14:paraId="4F2A8BCD">
                  <w:pPr>
                    <w:pStyle w:val="144"/>
                    <w:ind w:firstLine="0" w:firstLineChars="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mg/m</w:t>
                  </w:r>
                  <w:r>
                    <w:rPr>
                      <w:rFonts w:hint="eastAsia" w:ascii="Times New Roman" w:hAnsi="Times New Roman"/>
                      <w:color w:val="000000" w:themeColor="text1"/>
                      <w:szCs w:val="21"/>
                      <w:vertAlign w:val="superscript"/>
                      <w14:textFill>
                        <w14:solidFill>
                          <w14:schemeClr w14:val="tx1"/>
                        </w14:solidFill>
                      </w14:textFill>
                    </w:rPr>
                    <w:t>3</w:t>
                  </w:r>
                </w:p>
              </w:tc>
              <w:tc>
                <w:tcPr>
                  <w:tcW w:w="1627" w:type="pct"/>
                  <w:vAlign w:val="center"/>
                </w:tcPr>
                <w:p w14:paraId="2E421BCE">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《水泥工业大气污染物排放标准》（GB4915-2013）</w:t>
                  </w:r>
                </w:p>
              </w:tc>
            </w:tr>
            <w:tr w14:paraId="0ED6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vMerge w:val="restart"/>
                  <w:vAlign w:val="center"/>
                </w:tcPr>
                <w:p w14:paraId="285DA75E">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企业边界</w:t>
                  </w:r>
                </w:p>
              </w:tc>
              <w:tc>
                <w:tcPr>
                  <w:tcW w:w="648" w:type="pct"/>
                  <w:vAlign w:val="center"/>
                </w:tcPr>
                <w:p w14:paraId="2BEA7B72">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颗粒物</w:t>
                  </w:r>
                </w:p>
              </w:tc>
              <w:tc>
                <w:tcPr>
                  <w:tcW w:w="766" w:type="pct"/>
                  <w:vAlign w:val="center"/>
                </w:tcPr>
                <w:p w14:paraId="5D8E8407">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p>
              </w:tc>
              <w:tc>
                <w:tcPr>
                  <w:tcW w:w="915" w:type="pct"/>
                  <w:vAlign w:val="center"/>
                </w:tcPr>
                <w:p w14:paraId="3F6BE28D">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mg/m</w:t>
                  </w:r>
                  <w:r>
                    <w:rPr>
                      <w:rFonts w:hint="eastAsia" w:ascii="Times New Roman" w:hAnsi="Times New Roman"/>
                      <w:color w:val="000000" w:themeColor="text1"/>
                      <w:szCs w:val="21"/>
                      <w:vertAlign w:val="superscript"/>
                      <w14:textFill>
                        <w14:solidFill>
                          <w14:schemeClr w14:val="tx1"/>
                        </w14:solidFill>
                      </w14:textFill>
                    </w:rPr>
                    <w:t>3</w:t>
                  </w:r>
                </w:p>
              </w:tc>
              <w:tc>
                <w:tcPr>
                  <w:tcW w:w="1627" w:type="pct"/>
                  <w:vMerge w:val="restart"/>
                  <w:vAlign w:val="center"/>
                </w:tcPr>
                <w:p w14:paraId="28DF052E">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《砖瓦工业大气污染物排放标准》（GB29620-2013）表3及修改单中标准</w:t>
                  </w:r>
                </w:p>
              </w:tc>
            </w:tr>
            <w:tr w14:paraId="7AC7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vMerge w:val="continue"/>
                  <w:vAlign w:val="center"/>
                </w:tcPr>
                <w:p w14:paraId="5429359D">
                  <w:pPr>
                    <w:pStyle w:val="144"/>
                    <w:rPr>
                      <w:rFonts w:ascii="Times New Roman" w:hAnsi="Times New Roman"/>
                      <w:color w:val="000000" w:themeColor="text1"/>
                      <w:szCs w:val="21"/>
                      <w14:textFill>
                        <w14:solidFill>
                          <w14:schemeClr w14:val="tx1"/>
                        </w14:solidFill>
                      </w14:textFill>
                    </w:rPr>
                  </w:pPr>
                </w:p>
              </w:tc>
              <w:tc>
                <w:tcPr>
                  <w:tcW w:w="648" w:type="pct"/>
                  <w:vAlign w:val="center"/>
                </w:tcPr>
                <w:p w14:paraId="4BFAB9ED">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SO</w:t>
                  </w:r>
                  <w:r>
                    <w:rPr>
                      <w:rFonts w:hint="eastAsia" w:ascii="Times New Roman" w:hAnsi="Times New Roman"/>
                      <w:color w:val="000000" w:themeColor="text1"/>
                      <w:szCs w:val="21"/>
                      <w:vertAlign w:val="subscript"/>
                      <w14:textFill>
                        <w14:solidFill>
                          <w14:schemeClr w14:val="tx1"/>
                        </w14:solidFill>
                      </w14:textFill>
                    </w:rPr>
                    <w:t>2</w:t>
                  </w:r>
                </w:p>
              </w:tc>
              <w:tc>
                <w:tcPr>
                  <w:tcW w:w="766" w:type="pct"/>
                  <w:vAlign w:val="center"/>
                </w:tcPr>
                <w:p w14:paraId="6CBB9688">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0.5</w:t>
                  </w:r>
                </w:p>
              </w:tc>
              <w:tc>
                <w:tcPr>
                  <w:tcW w:w="915" w:type="pct"/>
                  <w:vAlign w:val="center"/>
                </w:tcPr>
                <w:p w14:paraId="738ACCA6">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mg/m</w:t>
                  </w:r>
                  <w:r>
                    <w:rPr>
                      <w:rFonts w:hint="eastAsia" w:ascii="Times New Roman" w:hAnsi="Times New Roman"/>
                      <w:color w:val="000000" w:themeColor="text1"/>
                      <w:szCs w:val="21"/>
                      <w:vertAlign w:val="superscript"/>
                      <w14:textFill>
                        <w14:solidFill>
                          <w14:schemeClr w14:val="tx1"/>
                        </w14:solidFill>
                      </w14:textFill>
                    </w:rPr>
                    <w:t>3</w:t>
                  </w:r>
                </w:p>
              </w:tc>
              <w:tc>
                <w:tcPr>
                  <w:tcW w:w="1627" w:type="pct"/>
                  <w:vMerge w:val="continue"/>
                  <w:vAlign w:val="center"/>
                </w:tcPr>
                <w:p w14:paraId="2ED9F637">
                  <w:pPr>
                    <w:adjustRightInd/>
                    <w:snapToGrid/>
                    <w:ind w:firstLine="480"/>
                    <w:jc w:val="center"/>
                    <w:rPr>
                      <w:color w:val="000000" w:themeColor="text1"/>
                      <w14:textFill>
                        <w14:solidFill>
                          <w14:schemeClr w14:val="tx1"/>
                        </w14:solidFill>
                      </w14:textFill>
                    </w:rPr>
                  </w:pPr>
                </w:p>
              </w:tc>
            </w:tr>
            <w:tr w14:paraId="70F2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 w:type="pct"/>
                  <w:vMerge w:val="continue"/>
                  <w:vAlign w:val="center"/>
                </w:tcPr>
                <w:p w14:paraId="4E4DEA00">
                  <w:pPr>
                    <w:pStyle w:val="144"/>
                    <w:rPr>
                      <w:rFonts w:ascii="Times New Roman" w:hAnsi="Times New Roman"/>
                      <w:color w:val="000000" w:themeColor="text1"/>
                      <w:szCs w:val="21"/>
                      <w14:textFill>
                        <w14:solidFill>
                          <w14:schemeClr w14:val="tx1"/>
                        </w14:solidFill>
                      </w14:textFill>
                    </w:rPr>
                  </w:pPr>
                </w:p>
              </w:tc>
              <w:tc>
                <w:tcPr>
                  <w:tcW w:w="648" w:type="pct"/>
                  <w:vAlign w:val="center"/>
                </w:tcPr>
                <w:p w14:paraId="1E16D326">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氟化物</w:t>
                  </w:r>
                </w:p>
              </w:tc>
              <w:tc>
                <w:tcPr>
                  <w:tcW w:w="766" w:type="pct"/>
                  <w:vAlign w:val="center"/>
                </w:tcPr>
                <w:p w14:paraId="6CAF27C7">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0.02</w:t>
                  </w:r>
                </w:p>
              </w:tc>
              <w:tc>
                <w:tcPr>
                  <w:tcW w:w="915" w:type="pct"/>
                  <w:vAlign w:val="center"/>
                </w:tcPr>
                <w:p w14:paraId="1695E85E">
                  <w:pPr>
                    <w:pStyle w:val="14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mg/m</w:t>
                  </w:r>
                  <w:r>
                    <w:rPr>
                      <w:rFonts w:hint="eastAsia" w:ascii="Times New Roman" w:hAnsi="Times New Roman"/>
                      <w:color w:val="000000" w:themeColor="text1"/>
                      <w:szCs w:val="21"/>
                      <w:vertAlign w:val="superscript"/>
                      <w14:textFill>
                        <w14:solidFill>
                          <w14:schemeClr w14:val="tx1"/>
                        </w14:solidFill>
                      </w14:textFill>
                    </w:rPr>
                    <w:t>3</w:t>
                  </w:r>
                </w:p>
              </w:tc>
              <w:tc>
                <w:tcPr>
                  <w:tcW w:w="1627" w:type="pct"/>
                  <w:vMerge w:val="continue"/>
                  <w:vAlign w:val="center"/>
                </w:tcPr>
                <w:p w14:paraId="1000275B">
                  <w:pPr>
                    <w:adjustRightInd/>
                    <w:snapToGrid/>
                    <w:ind w:firstLine="480"/>
                    <w:jc w:val="center"/>
                    <w:rPr>
                      <w:color w:val="000000" w:themeColor="text1"/>
                      <w14:textFill>
                        <w14:solidFill>
                          <w14:schemeClr w14:val="tx1"/>
                        </w14:solidFill>
                      </w14:textFill>
                    </w:rPr>
                  </w:pPr>
                </w:p>
              </w:tc>
            </w:tr>
          </w:tbl>
          <w:p w14:paraId="5C1B1E55">
            <w:pPr>
              <w:pStyle w:val="312"/>
              <w:widowControl w:val="0"/>
              <w:spacing w:line="240" w:lineRule="auto"/>
              <w:ind w:firstLine="0" w:firstLineChars="0"/>
              <w:rPr>
                <w:rFonts w:hint="eastAsia" w:ascii="宋体" w:hAnsi="宋体" w:cs="宋体"/>
                <w:b/>
                <w:color w:val="000000" w:themeColor="text1"/>
                <w14:textFill>
                  <w14:solidFill>
                    <w14:schemeClr w14:val="tx1"/>
                  </w14:solidFill>
                </w14:textFill>
              </w:rPr>
            </w:pPr>
          </w:p>
          <w:p w14:paraId="77456E99">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color w:val="000000" w:themeColor="text1"/>
                <w:szCs w:val="21"/>
                <w14:textFill>
                  <w14:solidFill>
                    <w14:schemeClr w14:val="tx1"/>
                  </w14:solidFill>
                </w14:textFill>
              </w:rPr>
              <w:t>污（废）水全部综合利用，不外排</w:t>
            </w:r>
            <w:r>
              <w:rPr>
                <w:color w:val="000000" w:themeColor="text1"/>
                <w14:textFill>
                  <w14:solidFill>
                    <w14:schemeClr w14:val="tx1"/>
                  </w14:solidFill>
                </w14:textFill>
              </w:rPr>
              <w:t>。</w:t>
            </w:r>
          </w:p>
          <w:p w14:paraId="3DB0EB34">
            <w:pPr>
              <w:ind w:firstLine="480"/>
              <w:rPr>
                <w:color w:val="000000" w:themeColor="text1"/>
                <w14:textFill>
                  <w14:solidFill>
                    <w14:schemeClr w14:val="tx1"/>
                  </w14:solidFill>
                </w14:textFill>
              </w:rPr>
            </w:pPr>
            <w:r>
              <w:rPr>
                <w:color w:val="000000" w:themeColor="text1"/>
                <w14:textFill>
                  <w14:solidFill>
                    <w14:schemeClr w14:val="tx1"/>
                  </w14:solidFill>
                </w14:textFill>
              </w:rPr>
              <w:t>3.厂界噪声执行《工业企业厂界环境噪声排放标准》(GB12348-2008)中的2类标准。</w:t>
            </w:r>
          </w:p>
          <w:p w14:paraId="473BFB0A">
            <w:pPr>
              <w:pStyle w:val="312"/>
              <w:widowControl w:val="0"/>
              <w:numPr>
                <w:ilvl w:val="0"/>
                <w:numId w:val="14"/>
              </w:numPr>
              <w:spacing w:line="240" w:lineRule="auto"/>
              <w:ind w:left="-2" w:firstLine="482" w:firstLineChars="0"/>
              <w:rPr>
                <w:b/>
                <w:color w:val="000000" w:themeColor="text1"/>
                <w:szCs w:val="21"/>
                <w14:textFill>
                  <w14:solidFill>
                    <w14:schemeClr w14:val="tx1"/>
                  </w14:solidFill>
                </w14:textFill>
              </w:rPr>
            </w:pPr>
            <w:r>
              <w:rPr>
                <w:b/>
                <w:color w:val="000000" w:themeColor="text1"/>
                <w:szCs w:val="20"/>
                <w14:textFill>
                  <w14:solidFill>
                    <w14:schemeClr w14:val="tx1"/>
                  </w14:solidFill>
                </w14:textFill>
              </w:rPr>
              <w:t xml:space="preserve">       </w:t>
            </w:r>
            <w:r>
              <w:rPr>
                <w:rFonts w:hint="eastAsia"/>
                <w:b/>
                <w:color w:val="000000" w:themeColor="text1"/>
                <w:szCs w:val="20"/>
                <w:lang w:val="en-US" w:eastAsia="zh-CN"/>
                <w14:textFill>
                  <w14:solidFill>
                    <w14:schemeClr w14:val="tx1"/>
                  </w14:solidFill>
                </w14:textFill>
              </w:rPr>
              <w:t xml:space="preserve">      </w:t>
            </w:r>
            <w:r>
              <w:rPr>
                <w:b/>
                <w:color w:val="000000" w:themeColor="text1"/>
                <w:szCs w:val="20"/>
                <w14:textFill>
                  <w14:solidFill>
                    <w14:schemeClr w14:val="tx1"/>
                  </w14:solidFill>
                </w14:textFill>
              </w:rPr>
              <w:t>项目噪声排放标准一览表</w:t>
            </w:r>
          </w:p>
          <w:tbl>
            <w:tblPr>
              <w:tblStyle w:val="82"/>
              <w:tblW w:w="496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12"/>
              <w:gridCol w:w="1088"/>
              <w:gridCol w:w="3762"/>
              <w:gridCol w:w="1222"/>
              <w:gridCol w:w="1081"/>
            </w:tblGrid>
            <w:tr w14:paraId="186C6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255" w:hRule="atLeast"/>
                <w:jc w:val="center"/>
              </w:trPr>
              <w:tc>
                <w:tcPr>
                  <w:tcW w:w="620" w:type="pct"/>
                  <w:vMerge w:val="restart"/>
                  <w:tcBorders>
                    <w:tl2br w:val="nil"/>
                    <w:tr2bl w:val="nil"/>
                  </w:tcBorders>
                  <w:vAlign w:val="center"/>
                </w:tcPr>
                <w:p w14:paraId="631A7D9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时期</w:t>
                  </w:r>
                </w:p>
              </w:tc>
              <w:tc>
                <w:tcPr>
                  <w:tcW w:w="666" w:type="pct"/>
                  <w:vMerge w:val="restart"/>
                  <w:tcBorders>
                    <w:tl2br w:val="nil"/>
                    <w:tr2bl w:val="nil"/>
                  </w:tcBorders>
                  <w:vAlign w:val="center"/>
                </w:tcPr>
                <w:p w14:paraId="0A518E6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监测点</w:t>
                  </w:r>
                </w:p>
              </w:tc>
              <w:tc>
                <w:tcPr>
                  <w:tcW w:w="2303" w:type="pct"/>
                  <w:vMerge w:val="restart"/>
                  <w:tcBorders>
                    <w:tl2br w:val="nil"/>
                    <w:tr2bl w:val="nil"/>
                  </w:tcBorders>
                  <w:vAlign w:val="center"/>
                </w:tcPr>
                <w:p w14:paraId="75D00EB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执行标准</w:t>
                  </w:r>
                </w:p>
              </w:tc>
              <w:tc>
                <w:tcPr>
                  <w:tcW w:w="1410" w:type="pct"/>
                  <w:gridSpan w:val="2"/>
                  <w:tcBorders>
                    <w:tl2br w:val="nil"/>
                    <w:tr2bl w:val="nil"/>
                  </w:tcBorders>
                  <w:vAlign w:val="center"/>
                </w:tcPr>
                <w:p w14:paraId="49D2009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标准限值dB（A）</w:t>
                  </w:r>
                </w:p>
              </w:tc>
            </w:tr>
            <w:tr w14:paraId="7FE7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20" w:type="pct"/>
                  <w:vMerge w:val="continue"/>
                  <w:tcBorders>
                    <w:tl2br w:val="nil"/>
                    <w:tr2bl w:val="nil"/>
                  </w:tcBorders>
                  <w:vAlign w:val="center"/>
                </w:tcPr>
                <w:p w14:paraId="127A2377">
                  <w:pPr>
                    <w:pStyle w:val="144"/>
                    <w:rPr>
                      <w:rFonts w:ascii="Times New Roman" w:hAnsi="Times New Roman"/>
                      <w:color w:val="000000" w:themeColor="text1"/>
                      <w14:textFill>
                        <w14:solidFill>
                          <w14:schemeClr w14:val="tx1"/>
                        </w14:solidFill>
                      </w14:textFill>
                    </w:rPr>
                  </w:pPr>
                </w:p>
              </w:tc>
              <w:tc>
                <w:tcPr>
                  <w:tcW w:w="666" w:type="pct"/>
                  <w:vMerge w:val="continue"/>
                  <w:tcBorders>
                    <w:tl2br w:val="nil"/>
                    <w:tr2bl w:val="nil"/>
                  </w:tcBorders>
                  <w:vAlign w:val="center"/>
                </w:tcPr>
                <w:p w14:paraId="72AF3F8E">
                  <w:pPr>
                    <w:pStyle w:val="144"/>
                    <w:rPr>
                      <w:rFonts w:ascii="Times New Roman" w:hAnsi="Times New Roman"/>
                      <w:color w:val="000000" w:themeColor="text1"/>
                      <w14:textFill>
                        <w14:solidFill>
                          <w14:schemeClr w14:val="tx1"/>
                        </w14:solidFill>
                      </w14:textFill>
                    </w:rPr>
                  </w:pPr>
                </w:p>
              </w:tc>
              <w:tc>
                <w:tcPr>
                  <w:tcW w:w="2303" w:type="pct"/>
                  <w:vMerge w:val="continue"/>
                  <w:tcBorders>
                    <w:tl2br w:val="nil"/>
                    <w:tr2bl w:val="nil"/>
                  </w:tcBorders>
                  <w:vAlign w:val="center"/>
                </w:tcPr>
                <w:p w14:paraId="482614AF">
                  <w:pPr>
                    <w:pStyle w:val="144"/>
                    <w:rPr>
                      <w:rFonts w:ascii="Times New Roman" w:hAnsi="Times New Roman"/>
                      <w:color w:val="000000" w:themeColor="text1"/>
                      <w14:textFill>
                        <w14:solidFill>
                          <w14:schemeClr w14:val="tx1"/>
                        </w14:solidFill>
                      </w14:textFill>
                    </w:rPr>
                  </w:pPr>
                </w:p>
              </w:tc>
              <w:tc>
                <w:tcPr>
                  <w:tcW w:w="748" w:type="pct"/>
                  <w:tcBorders>
                    <w:tl2br w:val="nil"/>
                    <w:tr2bl w:val="nil"/>
                  </w:tcBorders>
                  <w:vAlign w:val="center"/>
                </w:tcPr>
                <w:p w14:paraId="77F45F3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昼间</w:t>
                  </w:r>
                </w:p>
              </w:tc>
              <w:tc>
                <w:tcPr>
                  <w:tcW w:w="661" w:type="pct"/>
                  <w:tcBorders>
                    <w:tl2br w:val="nil"/>
                    <w:tr2bl w:val="nil"/>
                  </w:tcBorders>
                  <w:vAlign w:val="center"/>
                </w:tcPr>
                <w:p w14:paraId="74F541B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夜间</w:t>
                  </w:r>
                </w:p>
              </w:tc>
            </w:tr>
            <w:tr w14:paraId="5ED1D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5" w:hRule="atLeast"/>
                <w:jc w:val="center"/>
              </w:trPr>
              <w:tc>
                <w:tcPr>
                  <w:tcW w:w="620" w:type="pct"/>
                  <w:tcBorders>
                    <w:tl2br w:val="nil"/>
                    <w:tr2bl w:val="nil"/>
                  </w:tcBorders>
                  <w:vAlign w:val="center"/>
                </w:tcPr>
                <w:p w14:paraId="6DA2159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运营期</w:t>
                  </w:r>
                </w:p>
              </w:tc>
              <w:tc>
                <w:tcPr>
                  <w:tcW w:w="666" w:type="pct"/>
                  <w:tcBorders>
                    <w:tl2br w:val="nil"/>
                    <w:tr2bl w:val="nil"/>
                  </w:tcBorders>
                  <w:vAlign w:val="center"/>
                </w:tcPr>
                <w:p w14:paraId="7E22845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厂界</w:t>
                  </w:r>
                </w:p>
              </w:tc>
              <w:tc>
                <w:tcPr>
                  <w:tcW w:w="2303" w:type="pct"/>
                  <w:tcBorders>
                    <w:tl2br w:val="nil"/>
                    <w:tr2bl w:val="nil"/>
                  </w:tcBorders>
                  <w:vAlign w:val="center"/>
                </w:tcPr>
                <w:p w14:paraId="0D3BD2A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《工业企业环境噪声排放标准》（GB12348-2008）2类</w:t>
                  </w:r>
                </w:p>
              </w:tc>
              <w:tc>
                <w:tcPr>
                  <w:tcW w:w="748" w:type="pct"/>
                  <w:tcBorders>
                    <w:tl2br w:val="nil"/>
                    <w:tr2bl w:val="nil"/>
                  </w:tcBorders>
                  <w:vAlign w:val="center"/>
                </w:tcPr>
                <w:p w14:paraId="4B0D0A7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661" w:type="pct"/>
                  <w:tcBorders>
                    <w:tl2br w:val="nil"/>
                    <w:tr2bl w:val="nil"/>
                  </w:tcBorders>
                  <w:vAlign w:val="center"/>
                </w:tcPr>
                <w:p w14:paraId="4E56464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r>
          </w:tbl>
          <w:p w14:paraId="3434895B">
            <w:pPr>
              <w:pStyle w:val="4"/>
              <w:numPr>
                <w:ilvl w:val="0"/>
                <w:numId w:val="0"/>
              </w:numPr>
              <w:spacing w:before="0" w:beforeLines="0" w:after="0" w:afterLines="0"/>
              <w:ind w:firstLine="480" w:firstLineChars="200"/>
              <w:rPr>
                <w:color w:val="000000" w:themeColor="text1"/>
                <w14:textFill>
                  <w14:solidFill>
                    <w14:schemeClr w14:val="tx1"/>
                  </w14:solidFill>
                </w14:textFill>
              </w:rPr>
            </w:pPr>
            <w:r>
              <w:rPr>
                <w:b w:val="0"/>
                <w:bCs w:val="0"/>
                <w:color w:val="000000" w:themeColor="text1"/>
                <w:sz w:val="24"/>
                <w:szCs w:val="22"/>
                <w14:textFill>
                  <w14:solidFill>
                    <w14:schemeClr w14:val="tx1"/>
                  </w14:solidFill>
                </w14:textFill>
              </w:rPr>
              <w:t>4.一般工业固体废物执行《一般工业固体废物贮存和填埋污染控制标准》（GB18599-2020）有关要求；危险废物执行《危险废物贮存污染控制标准》</w:t>
            </w:r>
            <w:r>
              <w:rPr>
                <w:rFonts w:hint="eastAsia"/>
                <w:b w:val="0"/>
                <w:bCs w:val="0"/>
                <w:color w:val="000000" w:themeColor="text1"/>
                <w:sz w:val="24"/>
                <w:szCs w:val="22"/>
                <w14:textFill>
                  <w14:solidFill>
                    <w14:schemeClr w14:val="tx1"/>
                  </w14:solidFill>
                </w14:textFill>
              </w:rPr>
              <w:t>（</w:t>
            </w:r>
            <w:r>
              <w:rPr>
                <w:b w:val="0"/>
                <w:bCs w:val="0"/>
                <w:color w:val="000000" w:themeColor="text1"/>
                <w:sz w:val="24"/>
                <w:szCs w:val="22"/>
                <w14:textFill>
                  <w14:solidFill>
                    <w14:schemeClr w14:val="tx1"/>
                  </w14:solidFill>
                </w14:textFill>
              </w:rPr>
              <w:t>GB18597-2023</w:t>
            </w:r>
            <w:r>
              <w:rPr>
                <w:rFonts w:hint="eastAsia"/>
                <w:b w:val="0"/>
                <w:bCs w:val="0"/>
                <w:color w:val="000000" w:themeColor="text1"/>
                <w:sz w:val="24"/>
                <w:szCs w:val="22"/>
                <w14:textFill>
                  <w14:solidFill>
                    <w14:schemeClr w14:val="tx1"/>
                  </w14:solidFill>
                </w14:textFill>
              </w:rPr>
              <w:t>）</w:t>
            </w:r>
            <w:r>
              <w:rPr>
                <w:b w:val="0"/>
                <w:bCs w:val="0"/>
                <w:color w:val="000000" w:themeColor="text1"/>
                <w:sz w:val="24"/>
                <w:szCs w:val="22"/>
                <w14:textFill>
                  <w14:solidFill>
                    <w14:schemeClr w14:val="tx1"/>
                  </w14:solidFill>
                </w14:textFill>
              </w:rPr>
              <w:t>中有关要求。</w:t>
            </w:r>
          </w:p>
        </w:tc>
      </w:tr>
      <w:tr w14:paraId="66EE0A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826" w:type="dxa"/>
            <w:vAlign w:val="center"/>
          </w:tcPr>
          <w:p w14:paraId="5F27EB66">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总量</w:t>
            </w:r>
          </w:p>
          <w:p w14:paraId="197E8CD6">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控制</w:t>
            </w:r>
          </w:p>
          <w:p w14:paraId="26EDACFC">
            <w:pPr>
              <w:widowControl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指标</w:t>
            </w:r>
          </w:p>
        </w:tc>
        <w:tc>
          <w:tcPr>
            <w:tcW w:w="8460" w:type="dxa"/>
            <w:vAlign w:val="center"/>
          </w:tcPr>
          <w:p w14:paraId="0711FEB7">
            <w:pPr>
              <w:widowControl w:val="0"/>
              <w:ind w:firstLine="48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企业已根据2022年8月1日榆林市生态环境局以榆政环交易函[2022]18号出具陕西汇荣禾能源环保科技有限公司排污权指标的函（见附件），取得总量指标二氧化硫28.64t/a，氮氧化物48.96t/a。</w:t>
            </w:r>
          </w:p>
          <w:p w14:paraId="58656AAD">
            <w:pPr>
              <w:ind w:firstLine="480"/>
              <w:jc w:val="left"/>
              <w:rPr>
                <w:rFonts w:hint="eastAsia" w:ascii="宋体" w:hAnsi="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结合项目工艺特征和排污特点，</w:t>
            </w:r>
            <w:r>
              <w:rPr>
                <w:rFonts w:hint="eastAsia"/>
                <w:color w:val="000000" w:themeColor="text1"/>
                <w:highlight w:val="none"/>
                <w14:textFill>
                  <w14:solidFill>
                    <w14:schemeClr w14:val="tx1"/>
                  </w14:solidFill>
                </w14:textFill>
              </w:rPr>
              <w:t>本项目主要污染物为SO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、NO</w:t>
            </w:r>
            <w:r>
              <w:rPr>
                <w:rFonts w:hint="eastAsia"/>
                <w:color w:val="000000" w:themeColor="text1"/>
                <w:highlight w:val="none"/>
                <w:vertAlign w:val="subscript"/>
                <w14:textFill>
                  <w14:solidFill>
                    <w14:schemeClr w14:val="tx1"/>
                  </w14:solidFill>
                </w14:textFill>
              </w:rPr>
              <w:t>X</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新增</w:t>
            </w:r>
            <w:r>
              <w:rPr>
                <w:rFonts w:hint="eastAsia"/>
                <w:color w:val="000000" w:themeColor="text1"/>
                <w:highlight w:val="none"/>
                <w14:textFill>
                  <w14:solidFill>
                    <w14:schemeClr w14:val="tx1"/>
                  </w14:solidFill>
                </w14:textFill>
              </w:rPr>
              <w:t>总量控制指标为SO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123.05</w:t>
            </w:r>
            <w:r>
              <w:rPr>
                <w:rFonts w:hint="eastAsia"/>
                <w:color w:val="000000" w:themeColor="text1"/>
                <w:highlight w:val="none"/>
                <w14:textFill>
                  <w14:solidFill>
                    <w14:schemeClr w14:val="tx1"/>
                  </w14:solidFill>
                </w14:textFill>
              </w:rPr>
              <w:t>t/a、NO</w:t>
            </w:r>
            <w:r>
              <w:rPr>
                <w:rFonts w:hint="eastAsia"/>
                <w:color w:val="000000" w:themeColor="text1"/>
                <w:highlight w:val="none"/>
                <w:vertAlign w:val="subscript"/>
                <w14:textFill>
                  <w14:solidFill>
                    <w14:schemeClr w14:val="tx1"/>
                  </w14:solidFill>
                </w14:textFill>
              </w:rPr>
              <w:t>X</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196.21</w:t>
            </w:r>
            <w:r>
              <w:rPr>
                <w:rFonts w:hint="eastAsia"/>
                <w:color w:val="000000" w:themeColor="text1"/>
                <w:highlight w:val="none"/>
                <w14:textFill>
                  <w14:solidFill>
                    <w14:schemeClr w14:val="tx1"/>
                  </w14:solidFill>
                </w14:textFill>
              </w:rPr>
              <w:t>t/a、氟化物：</w:t>
            </w:r>
            <w:r>
              <w:rPr>
                <w:rFonts w:hint="eastAsia"/>
                <w:color w:val="000000" w:themeColor="text1"/>
                <w:highlight w:val="none"/>
                <w:lang w:val="en-US" w:eastAsia="zh-CN"/>
                <w14:textFill>
                  <w14:solidFill>
                    <w14:schemeClr w14:val="tx1"/>
                  </w14:solidFill>
                </w14:textFill>
              </w:rPr>
              <w:t>7.48</w:t>
            </w:r>
            <w:r>
              <w:rPr>
                <w:rFonts w:hint="eastAsia"/>
                <w:color w:val="000000" w:themeColor="text1"/>
                <w:highlight w:val="none"/>
                <w14:textFill>
                  <w14:solidFill>
                    <w14:schemeClr w14:val="tx1"/>
                  </w14:solidFill>
                </w14:textFill>
              </w:rPr>
              <w:t>t/a</w:t>
            </w:r>
            <w:r>
              <w:rPr>
                <w:rFonts w:hint="eastAsia" w:ascii="宋体" w:hAnsi="宋体" w:cs="宋体"/>
                <w:color w:val="000000" w:themeColor="text1"/>
                <w:szCs w:val="21"/>
                <w:highlight w:val="none"/>
                <w14:textFill>
                  <w14:solidFill>
                    <w14:schemeClr w14:val="tx1"/>
                  </w14:solidFill>
                </w14:textFill>
              </w:rPr>
              <w:t>。</w:t>
            </w:r>
          </w:p>
          <w:p w14:paraId="61CB1910">
            <w:pPr>
              <w:ind w:firstLine="480"/>
              <w:jc w:val="left"/>
              <w:rPr>
                <w:rFonts w:hint="eastAsia" w:ascii="宋体" w:hAnsi="宋体" w:cs="宋体"/>
                <w:color w:val="000000" w:themeColor="text1"/>
                <w:szCs w:val="21"/>
                <w:highlight w:val="none"/>
                <w14:textFill>
                  <w14:solidFill>
                    <w14:schemeClr w14:val="tx1"/>
                  </w14:solidFill>
                </w14:textFill>
              </w:rPr>
            </w:pPr>
          </w:p>
          <w:p w14:paraId="0D9C784A">
            <w:pPr>
              <w:pStyle w:val="312"/>
              <w:widowControl w:val="0"/>
              <w:numPr>
                <w:ilvl w:val="0"/>
                <w:numId w:val="14"/>
              </w:numPr>
              <w:spacing w:line="240" w:lineRule="auto"/>
              <w:ind w:left="-2" w:firstLine="482" w:firstLineChars="0"/>
              <w:rPr>
                <w:b/>
                <w:color w:val="000000" w:themeColor="text1"/>
                <w:szCs w:val="21"/>
                <w14:textFill>
                  <w14:solidFill>
                    <w14:schemeClr w14:val="tx1"/>
                  </w14:solidFill>
                </w14:textFill>
              </w:rPr>
            </w:pPr>
            <w:r>
              <w:rPr>
                <w:b/>
                <w:color w:val="000000" w:themeColor="text1"/>
                <w:szCs w:val="20"/>
                <w14:textFill>
                  <w14:solidFill>
                    <w14:schemeClr w14:val="tx1"/>
                  </w14:solidFill>
                </w14:textFill>
              </w:rPr>
              <w:t xml:space="preserve">       </w:t>
            </w:r>
            <w:r>
              <w:rPr>
                <w:rFonts w:hint="eastAsia"/>
                <w:b/>
                <w:color w:val="000000" w:themeColor="text1"/>
                <w:szCs w:val="20"/>
                <w:lang w:val="en-US" w:eastAsia="zh-CN"/>
                <w14:textFill>
                  <w14:solidFill>
                    <w14:schemeClr w14:val="tx1"/>
                  </w14:solidFill>
                </w14:textFill>
              </w:rPr>
              <w:t xml:space="preserve">      总量情况表           单位：t/a</w:t>
            </w:r>
          </w:p>
          <w:tbl>
            <w:tblPr>
              <w:tblStyle w:val="8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335"/>
              <w:gridCol w:w="1335"/>
              <w:gridCol w:w="1113"/>
              <w:gridCol w:w="1556"/>
              <w:gridCol w:w="1778"/>
            </w:tblGrid>
            <w:tr w14:paraId="1ACB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6" w:type="pct"/>
                  <w:vAlign w:val="center"/>
                </w:tcPr>
                <w:p w14:paraId="5E4DC4B7">
                  <w:pPr>
                    <w:pStyle w:val="144"/>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污染因子</w:t>
                  </w:r>
                </w:p>
              </w:tc>
              <w:tc>
                <w:tcPr>
                  <w:tcW w:w="811" w:type="pct"/>
                  <w:vAlign w:val="center"/>
                </w:tcPr>
                <w:p w14:paraId="42706DC4">
                  <w:pPr>
                    <w:pStyle w:val="144"/>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实际排放量</w:t>
                  </w:r>
                </w:p>
              </w:tc>
              <w:tc>
                <w:tcPr>
                  <w:tcW w:w="811" w:type="pct"/>
                  <w:vAlign w:val="center"/>
                </w:tcPr>
                <w:p w14:paraId="30D966D7">
                  <w:pPr>
                    <w:pStyle w:val="14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许可排放量</w:t>
                  </w:r>
                </w:p>
              </w:tc>
              <w:tc>
                <w:tcPr>
                  <w:tcW w:w="676" w:type="pct"/>
                  <w:vAlign w:val="center"/>
                </w:tcPr>
                <w:p w14:paraId="4C67044B">
                  <w:pPr>
                    <w:pStyle w:val="144"/>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购买总量</w:t>
                  </w:r>
                </w:p>
              </w:tc>
              <w:tc>
                <w:tcPr>
                  <w:tcW w:w="945" w:type="pct"/>
                  <w:vAlign w:val="center"/>
                </w:tcPr>
                <w:p w14:paraId="577965EB">
                  <w:pPr>
                    <w:pStyle w:val="144"/>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本项目新增量</w:t>
                  </w:r>
                </w:p>
              </w:tc>
              <w:tc>
                <w:tcPr>
                  <w:tcW w:w="1080" w:type="pct"/>
                  <w:vAlign w:val="center"/>
                </w:tcPr>
                <w:p w14:paraId="2EBA3651">
                  <w:pPr>
                    <w:pStyle w:val="144"/>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本项目建成后</w:t>
                  </w:r>
                </w:p>
                <w:p w14:paraId="2DA271C2">
                  <w:pPr>
                    <w:pStyle w:val="144"/>
                    <w:rPr>
                      <w:rFonts w:hint="default" w:ascii="Times New Roman" w:hAnsi="Times New Roman"/>
                      <w:color w:val="000000" w:themeColor="text1"/>
                      <w:szCs w:val="21"/>
                      <w:lang w:val="en-US" w:eastAsia="zh-CN"/>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全厂排放量</w:t>
                  </w:r>
                </w:p>
              </w:tc>
            </w:tr>
            <w:tr w14:paraId="109B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vAlign w:val="center"/>
                </w:tcPr>
                <w:p w14:paraId="558EBDA4">
                  <w:pPr>
                    <w:pStyle w:val="14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SO</w:t>
                  </w:r>
                  <w:r>
                    <w:rPr>
                      <w:rFonts w:hint="eastAsia" w:ascii="Times New Roman" w:hAnsi="Times New Roman"/>
                      <w:color w:val="000000" w:themeColor="text1"/>
                      <w:szCs w:val="21"/>
                      <w:vertAlign w:val="subscript"/>
                      <w:lang w:val="en-US" w:eastAsia="zh-CN"/>
                      <w14:textFill>
                        <w14:solidFill>
                          <w14:schemeClr w14:val="tx1"/>
                        </w14:solidFill>
                      </w14:textFill>
                    </w:rPr>
                    <w:t>2</w:t>
                  </w:r>
                </w:p>
              </w:tc>
              <w:tc>
                <w:tcPr>
                  <w:tcW w:w="1335" w:type="dxa"/>
                  <w:vAlign w:val="center"/>
                </w:tcPr>
                <w:p w14:paraId="0EF52D86">
                  <w:pPr>
                    <w:pStyle w:val="144"/>
                    <w:ind w:firstLine="0" w:firstLineChars="0"/>
                    <w:textAlignment w:val="baseline"/>
                    <w:rPr>
                      <w:rFonts w:hint="eastAsia" w:ascii="Times New Roman" w:hAnsi="Times New Roman"/>
                      <w:color w:val="000000" w:themeColor="text1"/>
                      <w:szCs w:val="21"/>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20.15</w:t>
                  </w:r>
                </w:p>
              </w:tc>
              <w:tc>
                <w:tcPr>
                  <w:tcW w:w="1335" w:type="dxa"/>
                  <w:vAlign w:val="center"/>
                </w:tcPr>
                <w:p w14:paraId="1CECE508">
                  <w:pPr>
                    <w:pStyle w:val="144"/>
                    <w:ind w:firstLine="0" w:firstLineChars="0"/>
                    <w:textAlignment w:val="baseline"/>
                    <w:rPr>
                      <w:rFonts w:hint="eastAsia" w:ascii="Times New Roman" w:hAnsi="Times New Roman"/>
                      <w:color w:val="000000" w:themeColor="text1"/>
                      <w:szCs w:val="21"/>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28.64</w:t>
                  </w:r>
                </w:p>
              </w:tc>
              <w:tc>
                <w:tcPr>
                  <w:tcW w:w="676" w:type="pct"/>
                  <w:vAlign w:val="center"/>
                </w:tcPr>
                <w:p w14:paraId="1124FFBF">
                  <w:pPr>
                    <w:pStyle w:val="144"/>
                    <w:ind w:firstLine="0" w:firstLineChars="0"/>
                    <w:textAlignment w:val="baseline"/>
                    <w:rPr>
                      <w:rFonts w:hint="eastAsia"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28.64</w:t>
                  </w:r>
                </w:p>
              </w:tc>
              <w:tc>
                <w:tcPr>
                  <w:tcW w:w="1556" w:type="dxa"/>
                  <w:vAlign w:val="center"/>
                </w:tcPr>
                <w:p w14:paraId="1709261B">
                  <w:pPr>
                    <w:pStyle w:val="144"/>
                    <w:ind w:firstLine="0" w:firstLineChars="0"/>
                    <w:textAlignment w:val="baseline"/>
                    <w:rPr>
                      <w:rFonts w:hint="eastAsia" w:ascii="Times New Roman" w:hAnsi="Times New Roman" w:eastAsiaTheme="minorEastAsia"/>
                      <w:color w:val="000000" w:themeColor="text1"/>
                      <w:highlight w:val="none"/>
                      <w14:textFill>
                        <w14:solidFill>
                          <w14:schemeClr w14:val="tx1"/>
                        </w14:solidFill>
                      </w14:textFill>
                    </w:rPr>
                  </w:pPr>
                  <w:r>
                    <w:rPr>
                      <w:rFonts w:hint="eastAsia" w:ascii="Times New Roman" w:hAnsi="Times New Roman" w:eastAsiaTheme="minorEastAsia"/>
                      <w:color w:val="000000" w:themeColor="text1"/>
                      <w:highlight w:val="none"/>
                      <w:lang w:val="en-US" w:eastAsia="zh-CN"/>
                      <w14:textFill>
                        <w14:solidFill>
                          <w14:schemeClr w14:val="tx1"/>
                        </w14:solidFill>
                      </w14:textFill>
                    </w:rPr>
                    <w:t>123.05</w:t>
                  </w:r>
                </w:p>
              </w:tc>
              <w:tc>
                <w:tcPr>
                  <w:tcW w:w="1778" w:type="dxa"/>
                  <w:vAlign w:val="center"/>
                </w:tcPr>
                <w:p w14:paraId="1A3789EF">
                  <w:pPr>
                    <w:pStyle w:val="144"/>
                    <w:ind w:firstLine="0" w:firstLineChars="0"/>
                    <w:textAlignment w:val="baseline"/>
                    <w:rPr>
                      <w:rFonts w:hint="eastAsia" w:ascii="Times New Roman" w:hAnsi="Times New Roman" w:eastAsiaTheme="minorEastAsia"/>
                      <w:color w:val="000000" w:themeColor="text1"/>
                      <w:highlight w:val="none"/>
                      <w14:textFill>
                        <w14:solidFill>
                          <w14:schemeClr w14:val="tx1"/>
                        </w14:solidFill>
                      </w14:textFill>
                    </w:rPr>
                  </w:pPr>
                  <w:r>
                    <w:rPr>
                      <w:rFonts w:hint="eastAsia" w:ascii="Times New Roman" w:hAnsi="Times New Roman" w:eastAsiaTheme="minorEastAsia"/>
                      <w:color w:val="000000" w:themeColor="text1"/>
                      <w:highlight w:val="none"/>
                      <w:lang w:val="en-US" w:eastAsia="zh-CN"/>
                      <w14:textFill>
                        <w14:solidFill>
                          <w14:schemeClr w14:val="tx1"/>
                        </w14:solidFill>
                      </w14:textFill>
                    </w:rPr>
                    <w:t>143.2</w:t>
                  </w:r>
                </w:p>
              </w:tc>
            </w:tr>
            <w:tr w14:paraId="70E2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vAlign w:val="center"/>
                </w:tcPr>
                <w:p w14:paraId="1AEFEBE6">
                  <w:pPr>
                    <w:pStyle w:val="14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NO</w:t>
                  </w:r>
                  <w:r>
                    <w:rPr>
                      <w:rFonts w:hint="eastAsia" w:ascii="Times New Roman" w:hAnsi="Times New Roman"/>
                      <w:color w:val="000000" w:themeColor="text1"/>
                      <w:szCs w:val="21"/>
                      <w:vertAlign w:val="subscript"/>
                      <w:lang w:val="en-US" w:eastAsia="zh-CN"/>
                      <w14:textFill>
                        <w14:solidFill>
                          <w14:schemeClr w14:val="tx1"/>
                        </w14:solidFill>
                      </w14:textFill>
                    </w:rPr>
                    <w:t>X</w:t>
                  </w:r>
                </w:p>
              </w:tc>
              <w:tc>
                <w:tcPr>
                  <w:tcW w:w="1335" w:type="dxa"/>
                  <w:vAlign w:val="center"/>
                </w:tcPr>
                <w:p w14:paraId="2696FD51">
                  <w:pPr>
                    <w:pStyle w:val="144"/>
                    <w:ind w:firstLine="0" w:firstLineChars="0"/>
                    <w:textAlignment w:val="baseline"/>
                    <w:rPr>
                      <w:rFonts w:hint="eastAsia" w:ascii="Times New Roman" w:hAnsi="Times New Roman"/>
                      <w:color w:val="000000" w:themeColor="text1"/>
                      <w:szCs w:val="21"/>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48.59</w:t>
                  </w:r>
                </w:p>
              </w:tc>
              <w:tc>
                <w:tcPr>
                  <w:tcW w:w="1335" w:type="dxa"/>
                  <w:vAlign w:val="center"/>
                </w:tcPr>
                <w:p w14:paraId="5FA4FC83">
                  <w:pPr>
                    <w:pStyle w:val="144"/>
                    <w:ind w:firstLine="0" w:firstLineChars="0"/>
                    <w:textAlignment w:val="baseline"/>
                    <w:rPr>
                      <w:rFonts w:hint="eastAsia" w:ascii="Times New Roman" w:hAnsi="Times New Roman"/>
                      <w:color w:val="000000" w:themeColor="text1"/>
                      <w:szCs w:val="21"/>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48.96</w:t>
                  </w:r>
                </w:p>
              </w:tc>
              <w:tc>
                <w:tcPr>
                  <w:tcW w:w="676" w:type="pct"/>
                  <w:vAlign w:val="center"/>
                </w:tcPr>
                <w:p w14:paraId="661FF3A2">
                  <w:pPr>
                    <w:pStyle w:val="144"/>
                    <w:ind w:firstLine="0" w:firstLineChars="0"/>
                    <w:textAlignment w:val="baseline"/>
                    <w:rPr>
                      <w:rFonts w:hint="eastAsia" w:ascii="Times New Roman" w:hAnsi="Times New Roman" w:eastAsiaTheme="minorEastAsia"/>
                      <w:color w:val="000000" w:themeColor="text1"/>
                      <w:highlight w:val="none"/>
                      <w14:textFill>
                        <w14:solidFill>
                          <w14:schemeClr w14:val="tx1"/>
                        </w14:solidFill>
                      </w14:textFill>
                    </w:rPr>
                  </w:pPr>
                  <w:r>
                    <w:rPr>
                      <w:rFonts w:ascii="Times New Roman" w:hAnsi="Times New Roman" w:eastAsiaTheme="minorEastAsia"/>
                      <w:color w:val="000000" w:themeColor="text1"/>
                      <w:highlight w:val="none"/>
                      <w14:textFill>
                        <w14:solidFill>
                          <w14:schemeClr w14:val="tx1"/>
                        </w14:solidFill>
                      </w14:textFill>
                    </w:rPr>
                    <w:t>48.96</w:t>
                  </w:r>
                </w:p>
              </w:tc>
              <w:tc>
                <w:tcPr>
                  <w:tcW w:w="1556" w:type="dxa"/>
                  <w:vAlign w:val="center"/>
                </w:tcPr>
                <w:p w14:paraId="6B38FE93">
                  <w:pPr>
                    <w:pStyle w:val="144"/>
                    <w:ind w:firstLine="0" w:firstLineChars="0"/>
                    <w:textAlignment w:val="baseline"/>
                    <w:rPr>
                      <w:rFonts w:hint="eastAsia" w:ascii="Times New Roman" w:hAnsi="Times New Roman" w:eastAsiaTheme="minorEastAsia"/>
                      <w:color w:val="000000" w:themeColor="text1"/>
                      <w:highlight w:val="none"/>
                      <w14:textFill>
                        <w14:solidFill>
                          <w14:schemeClr w14:val="tx1"/>
                        </w14:solidFill>
                      </w14:textFill>
                    </w:rPr>
                  </w:pPr>
                  <w:r>
                    <w:rPr>
                      <w:rFonts w:hint="eastAsia" w:ascii="Times New Roman" w:hAnsi="Times New Roman" w:eastAsiaTheme="minorEastAsia"/>
                      <w:color w:val="000000" w:themeColor="text1"/>
                      <w:highlight w:val="none"/>
                      <w:lang w:val="en-US" w:eastAsia="zh-CN"/>
                      <w14:textFill>
                        <w14:solidFill>
                          <w14:schemeClr w14:val="tx1"/>
                        </w14:solidFill>
                      </w14:textFill>
                    </w:rPr>
                    <w:t>196.21</w:t>
                  </w:r>
                </w:p>
              </w:tc>
              <w:tc>
                <w:tcPr>
                  <w:tcW w:w="1778" w:type="dxa"/>
                  <w:vAlign w:val="center"/>
                </w:tcPr>
                <w:p w14:paraId="74D5D80B">
                  <w:pPr>
                    <w:pStyle w:val="144"/>
                    <w:ind w:firstLine="0" w:firstLineChars="0"/>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244.8</w:t>
                  </w:r>
                </w:p>
              </w:tc>
            </w:tr>
            <w:tr w14:paraId="1122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pct"/>
                  <w:vAlign w:val="center"/>
                </w:tcPr>
                <w:p w14:paraId="7367CA87">
                  <w:pPr>
                    <w:pStyle w:val="144"/>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氟化物</w:t>
                  </w:r>
                </w:p>
              </w:tc>
              <w:tc>
                <w:tcPr>
                  <w:tcW w:w="811" w:type="pct"/>
                  <w:vAlign w:val="center"/>
                </w:tcPr>
                <w:p w14:paraId="32F97C11">
                  <w:pPr>
                    <w:pStyle w:val="14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1.44</w:t>
                  </w:r>
                </w:p>
              </w:tc>
              <w:tc>
                <w:tcPr>
                  <w:tcW w:w="811" w:type="pct"/>
                  <w:vAlign w:val="center"/>
                </w:tcPr>
                <w:p w14:paraId="08B49DC3">
                  <w:pPr>
                    <w:pStyle w:val="144"/>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w:t>
                  </w:r>
                </w:p>
              </w:tc>
              <w:tc>
                <w:tcPr>
                  <w:tcW w:w="676" w:type="pct"/>
                  <w:vAlign w:val="center"/>
                </w:tcPr>
                <w:p w14:paraId="377F47AC">
                  <w:pPr>
                    <w:pStyle w:val="144"/>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w:t>
                  </w:r>
                </w:p>
              </w:tc>
              <w:tc>
                <w:tcPr>
                  <w:tcW w:w="1556" w:type="dxa"/>
                  <w:vAlign w:val="center"/>
                </w:tcPr>
                <w:p w14:paraId="1232C65D">
                  <w:pPr>
                    <w:pStyle w:val="144"/>
                    <w:ind w:firstLine="0" w:firstLineChars="0"/>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7.48</w:t>
                  </w:r>
                </w:p>
              </w:tc>
              <w:tc>
                <w:tcPr>
                  <w:tcW w:w="1778" w:type="dxa"/>
                  <w:vAlign w:val="center"/>
                </w:tcPr>
                <w:p w14:paraId="68B07C5B">
                  <w:pPr>
                    <w:pStyle w:val="144"/>
                    <w:ind w:firstLine="0" w:firstLineChars="0"/>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8.92</w:t>
                  </w:r>
                </w:p>
              </w:tc>
            </w:tr>
          </w:tbl>
          <w:p w14:paraId="25315685">
            <w:pPr>
              <w:ind w:left="0" w:leftChars="0" w:firstLine="0" w:firstLineChars="0"/>
              <w:jc w:val="left"/>
              <w:rPr>
                <w:rFonts w:hint="eastAsia" w:ascii="宋体" w:hAnsi="宋体" w:cs="宋体"/>
                <w:color w:val="000000" w:themeColor="text1"/>
                <w:szCs w:val="21"/>
                <w14:textFill>
                  <w14:solidFill>
                    <w14:schemeClr w14:val="tx1"/>
                  </w14:solidFill>
                </w14:textFill>
              </w:rPr>
            </w:pPr>
          </w:p>
          <w:p w14:paraId="17D68A5A">
            <w:pPr>
              <w:ind w:firstLine="480"/>
              <w:jc w:val="left"/>
              <w:rPr>
                <w:rFonts w:hint="eastAsia" w:ascii="宋体" w:hAnsi="宋体" w:cs="宋体"/>
                <w:color w:val="000000" w:themeColor="text1"/>
                <w:szCs w:val="21"/>
                <w14:textFill>
                  <w14:solidFill>
                    <w14:schemeClr w14:val="tx1"/>
                  </w14:solidFill>
                </w14:textFill>
              </w:rPr>
            </w:pPr>
          </w:p>
          <w:p w14:paraId="1C865E29">
            <w:pPr>
              <w:ind w:firstLine="480"/>
              <w:jc w:val="left"/>
              <w:rPr>
                <w:rFonts w:hint="eastAsia" w:ascii="宋体" w:hAnsi="宋体" w:cs="宋体"/>
                <w:color w:val="000000" w:themeColor="text1"/>
                <w:szCs w:val="21"/>
                <w14:textFill>
                  <w14:solidFill>
                    <w14:schemeClr w14:val="tx1"/>
                  </w14:solidFill>
                </w14:textFill>
              </w:rPr>
            </w:pPr>
          </w:p>
          <w:p w14:paraId="69D71EF6">
            <w:pPr>
              <w:ind w:firstLine="480"/>
              <w:jc w:val="left"/>
              <w:rPr>
                <w:rFonts w:hint="eastAsia" w:ascii="宋体" w:hAnsi="宋体" w:cs="宋体"/>
                <w:color w:val="000000" w:themeColor="text1"/>
                <w:szCs w:val="21"/>
                <w14:textFill>
                  <w14:solidFill>
                    <w14:schemeClr w14:val="tx1"/>
                  </w14:solidFill>
                </w14:textFill>
              </w:rPr>
            </w:pPr>
          </w:p>
          <w:p w14:paraId="411FCF38">
            <w:pPr>
              <w:ind w:firstLine="480"/>
              <w:jc w:val="left"/>
              <w:rPr>
                <w:rFonts w:hint="eastAsia" w:ascii="宋体" w:hAnsi="宋体" w:cs="宋体"/>
                <w:color w:val="000000" w:themeColor="text1"/>
                <w:szCs w:val="21"/>
                <w14:textFill>
                  <w14:solidFill>
                    <w14:schemeClr w14:val="tx1"/>
                  </w14:solidFill>
                </w14:textFill>
              </w:rPr>
            </w:pPr>
          </w:p>
          <w:p w14:paraId="42F93213">
            <w:pPr>
              <w:ind w:firstLine="480"/>
              <w:jc w:val="left"/>
              <w:rPr>
                <w:rFonts w:hint="eastAsia" w:ascii="宋体" w:hAnsi="宋体" w:cs="宋体"/>
                <w:color w:val="000000" w:themeColor="text1"/>
                <w:szCs w:val="21"/>
                <w14:textFill>
                  <w14:solidFill>
                    <w14:schemeClr w14:val="tx1"/>
                  </w14:solidFill>
                </w14:textFill>
              </w:rPr>
            </w:pPr>
          </w:p>
          <w:p w14:paraId="478C2711">
            <w:pPr>
              <w:ind w:firstLine="480"/>
              <w:jc w:val="left"/>
              <w:rPr>
                <w:rFonts w:hint="eastAsia" w:ascii="宋体" w:hAnsi="宋体" w:cs="宋体"/>
                <w:color w:val="000000" w:themeColor="text1"/>
                <w:szCs w:val="21"/>
                <w14:textFill>
                  <w14:solidFill>
                    <w14:schemeClr w14:val="tx1"/>
                  </w14:solidFill>
                </w14:textFill>
              </w:rPr>
            </w:pPr>
          </w:p>
          <w:p w14:paraId="1920A554">
            <w:pPr>
              <w:ind w:firstLine="480"/>
              <w:jc w:val="left"/>
              <w:rPr>
                <w:rFonts w:hint="eastAsia" w:ascii="宋体" w:hAnsi="宋体" w:cs="宋体"/>
                <w:color w:val="000000" w:themeColor="text1"/>
                <w:szCs w:val="21"/>
                <w14:textFill>
                  <w14:solidFill>
                    <w14:schemeClr w14:val="tx1"/>
                  </w14:solidFill>
                </w14:textFill>
              </w:rPr>
            </w:pPr>
          </w:p>
          <w:p w14:paraId="454C7BF8">
            <w:pPr>
              <w:ind w:firstLine="480"/>
              <w:jc w:val="left"/>
              <w:rPr>
                <w:rFonts w:hint="eastAsia" w:ascii="宋体" w:hAnsi="宋体" w:cs="宋体"/>
                <w:color w:val="000000" w:themeColor="text1"/>
                <w:szCs w:val="21"/>
                <w14:textFill>
                  <w14:solidFill>
                    <w14:schemeClr w14:val="tx1"/>
                  </w14:solidFill>
                </w14:textFill>
              </w:rPr>
            </w:pPr>
          </w:p>
          <w:p w14:paraId="205B883A">
            <w:pPr>
              <w:ind w:firstLine="480"/>
              <w:jc w:val="left"/>
              <w:rPr>
                <w:rFonts w:hint="eastAsia" w:ascii="宋体" w:hAnsi="宋体" w:cs="宋体"/>
                <w:color w:val="000000" w:themeColor="text1"/>
                <w:szCs w:val="21"/>
                <w14:textFill>
                  <w14:solidFill>
                    <w14:schemeClr w14:val="tx1"/>
                  </w14:solidFill>
                </w14:textFill>
              </w:rPr>
            </w:pPr>
          </w:p>
          <w:p w14:paraId="5428E5EE">
            <w:pPr>
              <w:ind w:firstLine="480"/>
              <w:jc w:val="left"/>
              <w:rPr>
                <w:rFonts w:hint="eastAsia" w:ascii="宋体" w:hAnsi="宋体" w:cs="宋体"/>
                <w:color w:val="000000" w:themeColor="text1"/>
                <w:szCs w:val="21"/>
                <w14:textFill>
                  <w14:solidFill>
                    <w14:schemeClr w14:val="tx1"/>
                  </w14:solidFill>
                </w14:textFill>
              </w:rPr>
            </w:pPr>
          </w:p>
          <w:p w14:paraId="34A88A61">
            <w:pPr>
              <w:ind w:firstLine="480"/>
              <w:jc w:val="left"/>
              <w:rPr>
                <w:rFonts w:hint="eastAsia" w:ascii="宋体" w:hAnsi="宋体" w:cs="宋体"/>
                <w:color w:val="000000" w:themeColor="text1"/>
                <w:szCs w:val="21"/>
                <w14:textFill>
                  <w14:solidFill>
                    <w14:schemeClr w14:val="tx1"/>
                  </w14:solidFill>
                </w14:textFill>
              </w:rPr>
            </w:pPr>
          </w:p>
          <w:p w14:paraId="3BED692D">
            <w:pPr>
              <w:ind w:firstLine="480"/>
              <w:jc w:val="left"/>
              <w:rPr>
                <w:rFonts w:hint="eastAsia" w:ascii="宋体" w:hAnsi="宋体" w:cs="宋体"/>
                <w:color w:val="000000" w:themeColor="text1"/>
                <w:szCs w:val="21"/>
                <w14:textFill>
                  <w14:solidFill>
                    <w14:schemeClr w14:val="tx1"/>
                  </w14:solidFill>
                </w14:textFill>
              </w:rPr>
            </w:pPr>
          </w:p>
          <w:p w14:paraId="5C9969FD">
            <w:pPr>
              <w:ind w:firstLine="480"/>
              <w:jc w:val="left"/>
              <w:rPr>
                <w:rFonts w:hint="eastAsia" w:ascii="宋体" w:hAnsi="宋体" w:cs="宋体"/>
                <w:color w:val="000000" w:themeColor="text1"/>
                <w:szCs w:val="21"/>
                <w14:textFill>
                  <w14:solidFill>
                    <w14:schemeClr w14:val="tx1"/>
                  </w14:solidFill>
                </w14:textFill>
              </w:rPr>
            </w:pPr>
          </w:p>
          <w:p w14:paraId="12715700">
            <w:pPr>
              <w:ind w:firstLine="480"/>
              <w:jc w:val="left"/>
              <w:rPr>
                <w:rFonts w:hint="eastAsia" w:ascii="宋体" w:hAnsi="宋体" w:cs="宋体"/>
                <w:color w:val="000000" w:themeColor="text1"/>
                <w:szCs w:val="21"/>
                <w14:textFill>
                  <w14:solidFill>
                    <w14:schemeClr w14:val="tx1"/>
                  </w14:solidFill>
                </w14:textFill>
              </w:rPr>
            </w:pPr>
          </w:p>
          <w:p w14:paraId="1C314594">
            <w:pPr>
              <w:ind w:firstLine="480"/>
              <w:jc w:val="left"/>
              <w:rPr>
                <w:rFonts w:hint="eastAsia" w:ascii="宋体" w:hAnsi="宋体" w:cs="宋体"/>
                <w:color w:val="000000" w:themeColor="text1"/>
                <w:szCs w:val="21"/>
                <w14:textFill>
                  <w14:solidFill>
                    <w14:schemeClr w14:val="tx1"/>
                  </w14:solidFill>
                </w14:textFill>
              </w:rPr>
            </w:pPr>
          </w:p>
          <w:p w14:paraId="5C957C02">
            <w:pPr>
              <w:ind w:firstLine="480"/>
              <w:jc w:val="left"/>
              <w:rPr>
                <w:rFonts w:hint="eastAsia" w:ascii="宋体" w:hAnsi="宋体" w:cs="宋体"/>
                <w:color w:val="000000" w:themeColor="text1"/>
                <w:szCs w:val="21"/>
                <w14:textFill>
                  <w14:solidFill>
                    <w14:schemeClr w14:val="tx1"/>
                  </w14:solidFill>
                </w14:textFill>
              </w:rPr>
            </w:pPr>
          </w:p>
          <w:p w14:paraId="194E6103">
            <w:pPr>
              <w:ind w:firstLine="480"/>
              <w:jc w:val="left"/>
              <w:rPr>
                <w:rFonts w:hint="eastAsia" w:ascii="宋体" w:hAnsi="宋体" w:cs="宋体"/>
                <w:color w:val="000000" w:themeColor="text1"/>
                <w:szCs w:val="21"/>
                <w14:textFill>
                  <w14:solidFill>
                    <w14:schemeClr w14:val="tx1"/>
                  </w14:solidFill>
                </w14:textFill>
              </w:rPr>
            </w:pPr>
          </w:p>
          <w:p w14:paraId="7EF688FE">
            <w:pPr>
              <w:ind w:firstLine="480"/>
              <w:jc w:val="left"/>
              <w:rPr>
                <w:rFonts w:hint="eastAsia" w:ascii="宋体" w:hAnsi="宋体" w:cs="宋体"/>
                <w:color w:val="000000" w:themeColor="text1"/>
                <w:szCs w:val="21"/>
                <w14:textFill>
                  <w14:solidFill>
                    <w14:schemeClr w14:val="tx1"/>
                  </w14:solidFill>
                </w14:textFill>
              </w:rPr>
            </w:pPr>
          </w:p>
          <w:p w14:paraId="34E78393">
            <w:pPr>
              <w:ind w:firstLine="480"/>
              <w:jc w:val="left"/>
              <w:rPr>
                <w:rFonts w:hint="eastAsia" w:ascii="宋体" w:hAnsi="宋体" w:cs="宋体"/>
                <w:color w:val="000000" w:themeColor="text1"/>
                <w:szCs w:val="21"/>
                <w14:textFill>
                  <w14:solidFill>
                    <w14:schemeClr w14:val="tx1"/>
                  </w14:solidFill>
                </w14:textFill>
              </w:rPr>
            </w:pPr>
          </w:p>
          <w:p w14:paraId="3B17FD07">
            <w:pPr>
              <w:ind w:firstLine="480"/>
              <w:jc w:val="left"/>
              <w:rPr>
                <w:rFonts w:hint="eastAsia" w:ascii="宋体" w:hAnsi="宋体" w:cs="宋体"/>
                <w:color w:val="000000" w:themeColor="text1"/>
                <w:szCs w:val="21"/>
                <w14:textFill>
                  <w14:solidFill>
                    <w14:schemeClr w14:val="tx1"/>
                  </w14:solidFill>
                </w14:textFill>
              </w:rPr>
            </w:pPr>
          </w:p>
          <w:p w14:paraId="4A307EDF">
            <w:pPr>
              <w:ind w:firstLine="480"/>
              <w:jc w:val="left"/>
              <w:rPr>
                <w:rFonts w:hint="eastAsia" w:ascii="宋体" w:hAnsi="宋体" w:cs="宋体"/>
                <w:color w:val="000000" w:themeColor="text1"/>
                <w:szCs w:val="21"/>
                <w14:textFill>
                  <w14:solidFill>
                    <w14:schemeClr w14:val="tx1"/>
                  </w14:solidFill>
                </w14:textFill>
              </w:rPr>
            </w:pPr>
          </w:p>
          <w:p w14:paraId="44C8457E">
            <w:pPr>
              <w:ind w:firstLine="480"/>
              <w:jc w:val="left"/>
              <w:rPr>
                <w:rFonts w:hint="eastAsia" w:ascii="宋体" w:hAnsi="宋体" w:cs="宋体"/>
                <w:color w:val="000000" w:themeColor="text1"/>
                <w:szCs w:val="21"/>
                <w14:textFill>
                  <w14:solidFill>
                    <w14:schemeClr w14:val="tx1"/>
                  </w14:solidFill>
                </w14:textFill>
              </w:rPr>
            </w:pPr>
          </w:p>
          <w:p w14:paraId="7CCBBBEC">
            <w:pPr>
              <w:ind w:firstLine="480"/>
              <w:jc w:val="left"/>
              <w:rPr>
                <w:rFonts w:hint="eastAsia" w:ascii="宋体" w:hAnsi="宋体" w:cs="宋体"/>
                <w:color w:val="000000" w:themeColor="text1"/>
                <w:szCs w:val="21"/>
                <w14:textFill>
                  <w14:solidFill>
                    <w14:schemeClr w14:val="tx1"/>
                  </w14:solidFill>
                </w14:textFill>
              </w:rPr>
            </w:pPr>
          </w:p>
          <w:p w14:paraId="2EF556E7">
            <w:pPr>
              <w:ind w:firstLine="480"/>
              <w:jc w:val="left"/>
              <w:rPr>
                <w:rFonts w:hint="eastAsia" w:ascii="宋体" w:hAnsi="宋体" w:cs="宋体"/>
                <w:color w:val="000000" w:themeColor="text1"/>
                <w:szCs w:val="21"/>
                <w14:textFill>
                  <w14:solidFill>
                    <w14:schemeClr w14:val="tx1"/>
                  </w14:solidFill>
                </w14:textFill>
              </w:rPr>
            </w:pPr>
          </w:p>
          <w:p w14:paraId="4DF263DE">
            <w:pPr>
              <w:ind w:firstLine="0" w:firstLineChars="0"/>
              <w:jc w:val="left"/>
              <w:rPr>
                <w:rFonts w:hint="eastAsia" w:ascii="宋体" w:hAnsi="宋体" w:cs="宋体"/>
                <w:color w:val="000000" w:themeColor="text1"/>
                <w:szCs w:val="21"/>
                <w14:textFill>
                  <w14:solidFill>
                    <w14:schemeClr w14:val="tx1"/>
                  </w14:solidFill>
                </w14:textFill>
              </w:rPr>
            </w:pPr>
          </w:p>
        </w:tc>
      </w:tr>
    </w:tbl>
    <w:p w14:paraId="5514A118">
      <w:pPr>
        <w:pStyle w:val="312"/>
        <w:keepNext/>
        <w:keepLines/>
        <w:pageBreakBefore/>
        <w:numPr>
          <w:ilvl w:val="0"/>
          <w:numId w:val="13"/>
        </w:numPr>
        <w:ind w:firstLineChars="0"/>
        <w:jc w:val="center"/>
        <w:outlineLvl w:val="0"/>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主要环境影响和保护措施</w:t>
      </w:r>
    </w:p>
    <w:tbl>
      <w:tblPr>
        <w:tblStyle w:val="82"/>
        <w:tblW w:w="508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00"/>
        <w:gridCol w:w="8864"/>
      </w:tblGrid>
      <w:tr w14:paraId="56040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1" w:hRule="atLeast"/>
          <w:jc w:val="center"/>
        </w:trPr>
        <w:tc>
          <w:tcPr>
            <w:tcW w:w="267" w:type="pct"/>
            <w:tcMar>
              <w:left w:w="28" w:type="dxa"/>
              <w:right w:w="28" w:type="dxa"/>
            </w:tcMar>
            <w:vAlign w:val="center"/>
          </w:tcPr>
          <w:p w14:paraId="1374E718">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施工</w:t>
            </w:r>
          </w:p>
          <w:p w14:paraId="06D2413D">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期环</w:t>
            </w:r>
          </w:p>
          <w:p w14:paraId="4B1D7982">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境保</w:t>
            </w:r>
          </w:p>
          <w:p w14:paraId="44CB3A7B">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护措</w:t>
            </w:r>
          </w:p>
          <w:p w14:paraId="438F5ABF">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施</w:t>
            </w:r>
          </w:p>
        </w:tc>
        <w:tc>
          <w:tcPr>
            <w:tcW w:w="4732" w:type="pct"/>
          </w:tcPr>
          <w:p w14:paraId="6D9937F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本项目依托现有设备设施进行生产，仅机制砂生产线需要搬入设备并进行调试，无土建及装修过程，故本次评价不再对施工期影响进行分析。</w:t>
            </w:r>
          </w:p>
          <w:p w14:paraId="2A04CBC2">
            <w:pPr>
              <w:pStyle w:val="31"/>
              <w:ind w:firstLine="480"/>
              <w:rPr>
                <w:color w:val="000000" w:themeColor="text1"/>
                <w14:textFill>
                  <w14:solidFill>
                    <w14:schemeClr w14:val="tx1"/>
                  </w14:solidFill>
                </w14:textFill>
              </w:rPr>
            </w:pPr>
          </w:p>
          <w:p w14:paraId="1509A0D4">
            <w:pPr>
              <w:ind w:firstLine="480"/>
              <w:rPr>
                <w:color w:val="000000" w:themeColor="text1"/>
                <w14:textFill>
                  <w14:solidFill>
                    <w14:schemeClr w14:val="tx1"/>
                  </w14:solidFill>
                </w14:textFill>
              </w:rPr>
            </w:pPr>
          </w:p>
          <w:p w14:paraId="2D6BA634">
            <w:pPr>
              <w:pStyle w:val="31"/>
              <w:ind w:firstLine="480"/>
              <w:rPr>
                <w:color w:val="000000" w:themeColor="text1"/>
                <w14:textFill>
                  <w14:solidFill>
                    <w14:schemeClr w14:val="tx1"/>
                  </w14:solidFill>
                </w14:textFill>
              </w:rPr>
            </w:pPr>
          </w:p>
          <w:p w14:paraId="15D3F3C8">
            <w:pPr>
              <w:ind w:firstLine="480"/>
              <w:rPr>
                <w:color w:val="000000" w:themeColor="text1"/>
                <w14:textFill>
                  <w14:solidFill>
                    <w14:schemeClr w14:val="tx1"/>
                  </w14:solidFill>
                </w14:textFill>
              </w:rPr>
            </w:pPr>
          </w:p>
          <w:p w14:paraId="7F3BFFCB">
            <w:pPr>
              <w:pStyle w:val="31"/>
              <w:ind w:firstLine="480"/>
              <w:rPr>
                <w:color w:val="000000" w:themeColor="text1"/>
                <w14:textFill>
                  <w14:solidFill>
                    <w14:schemeClr w14:val="tx1"/>
                  </w14:solidFill>
                </w14:textFill>
              </w:rPr>
            </w:pPr>
          </w:p>
          <w:p w14:paraId="3BD0FB2B">
            <w:pPr>
              <w:ind w:firstLine="480"/>
              <w:rPr>
                <w:color w:val="000000" w:themeColor="text1"/>
                <w14:textFill>
                  <w14:solidFill>
                    <w14:schemeClr w14:val="tx1"/>
                  </w14:solidFill>
                </w14:textFill>
              </w:rPr>
            </w:pPr>
          </w:p>
          <w:p w14:paraId="5B40742A">
            <w:pPr>
              <w:pStyle w:val="31"/>
              <w:ind w:firstLine="480"/>
              <w:rPr>
                <w:color w:val="000000" w:themeColor="text1"/>
                <w14:textFill>
                  <w14:solidFill>
                    <w14:schemeClr w14:val="tx1"/>
                  </w14:solidFill>
                </w14:textFill>
              </w:rPr>
            </w:pPr>
          </w:p>
          <w:p w14:paraId="52B55D67">
            <w:pPr>
              <w:ind w:firstLine="480"/>
              <w:rPr>
                <w:color w:val="000000" w:themeColor="text1"/>
                <w14:textFill>
                  <w14:solidFill>
                    <w14:schemeClr w14:val="tx1"/>
                  </w14:solidFill>
                </w14:textFill>
              </w:rPr>
            </w:pPr>
          </w:p>
          <w:p w14:paraId="12CD12B6">
            <w:pPr>
              <w:pStyle w:val="31"/>
              <w:ind w:firstLine="480"/>
              <w:rPr>
                <w:color w:val="000000" w:themeColor="text1"/>
                <w14:textFill>
                  <w14:solidFill>
                    <w14:schemeClr w14:val="tx1"/>
                  </w14:solidFill>
                </w14:textFill>
              </w:rPr>
            </w:pPr>
          </w:p>
          <w:p w14:paraId="60537EDF">
            <w:pPr>
              <w:ind w:firstLine="480"/>
              <w:rPr>
                <w:color w:val="000000" w:themeColor="text1"/>
                <w14:textFill>
                  <w14:solidFill>
                    <w14:schemeClr w14:val="tx1"/>
                  </w14:solidFill>
                </w14:textFill>
              </w:rPr>
            </w:pPr>
          </w:p>
          <w:p w14:paraId="7E371809">
            <w:pPr>
              <w:pStyle w:val="31"/>
              <w:ind w:firstLine="480"/>
              <w:rPr>
                <w:color w:val="000000" w:themeColor="text1"/>
                <w14:textFill>
                  <w14:solidFill>
                    <w14:schemeClr w14:val="tx1"/>
                  </w14:solidFill>
                </w14:textFill>
              </w:rPr>
            </w:pPr>
          </w:p>
          <w:p w14:paraId="22A2081C">
            <w:pPr>
              <w:ind w:firstLine="480"/>
              <w:rPr>
                <w:color w:val="000000" w:themeColor="text1"/>
                <w14:textFill>
                  <w14:solidFill>
                    <w14:schemeClr w14:val="tx1"/>
                  </w14:solidFill>
                </w14:textFill>
              </w:rPr>
            </w:pPr>
          </w:p>
          <w:p w14:paraId="3D1DD0F2">
            <w:pPr>
              <w:pStyle w:val="31"/>
              <w:ind w:firstLine="480"/>
              <w:rPr>
                <w:color w:val="000000" w:themeColor="text1"/>
                <w14:textFill>
                  <w14:solidFill>
                    <w14:schemeClr w14:val="tx1"/>
                  </w14:solidFill>
                </w14:textFill>
              </w:rPr>
            </w:pPr>
          </w:p>
          <w:p w14:paraId="3BE5A549">
            <w:pPr>
              <w:ind w:firstLine="480"/>
              <w:rPr>
                <w:color w:val="000000" w:themeColor="text1"/>
                <w14:textFill>
                  <w14:solidFill>
                    <w14:schemeClr w14:val="tx1"/>
                  </w14:solidFill>
                </w14:textFill>
              </w:rPr>
            </w:pPr>
          </w:p>
          <w:p w14:paraId="7402C565">
            <w:pPr>
              <w:pStyle w:val="31"/>
              <w:ind w:firstLine="480"/>
              <w:rPr>
                <w:color w:val="000000" w:themeColor="text1"/>
                <w14:textFill>
                  <w14:solidFill>
                    <w14:schemeClr w14:val="tx1"/>
                  </w14:solidFill>
                </w14:textFill>
              </w:rPr>
            </w:pPr>
          </w:p>
          <w:p w14:paraId="295BB8C4">
            <w:pPr>
              <w:ind w:firstLine="480"/>
              <w:rPr>
                <w:color w:val="000000" w:themeColor="text1"/>
                <w14:textFill>
                  <w14:solidFill>
                    <w14:schemeClr w14:val="tx1"/>
                  </w14:solidFill>
                </w14:textFill>
              </w:rPr>
            </w:pPr>
          </w:p>
          <w:p w14:paraId="3ECC0175">
            <w:pPr>
              <w:pStyle w:val="31"/>
              <w:ind w:firstLine="480"/>
              <w:rPr>
                <w:color w:val="000000" w:themeColor="text1"/>
                <w14:textFill>
                  <w14:solidFill>
                    <w14:schemeClr w14:val="tx1"/>
                  </w14:solidFill>
                </w14:textFill>
              </w:rPr>
            </w:pPr>
          </w:p>
          <w:p w14:paraId="3360BF92">
            <w:pPr>
              <w:ind w:firstLine="480"/>
              <w:rPr>
                <w:color w:val="000000" w:themeColor="text1"/>
                <w14:textFill>
                  <w14:solidFill>
                    <w14:schemeClr w14:val="tx1"/>
                  </w14:solidFill>
                </w14:textFill>
              </w:rPr>
            </w:pPr>
          </w:p>
          <w:p w14:paraId="21A20441">
            <w:pPr>
              <w:pStyle w:val="31"/>
              <w:ind w:firstLine="480"/>
              <w:rPr>
                <w:color w:val="000000" w:themeColor="text1"/>
                <w14:textFill>
                  <w14:solidFill>
                    <w14:schemeClr w14:val="tx1"/>
                  </w14:solidFill>
                </w14:textFill>
              </w:rPr>
            </w:pPr>
          </w:p>
          <w:p w14:paraId="5F89FEA3">
            <w:pPr>
              <w:ind w:firstLine="480"/>
              <w:rPr>
                <w:color w:val="000000" w:themeColor="text1"/>
                <w14:textFill>
                  <w14:solidFill>
                    <w14:schemeClr w14:val="tx1"/>
                  </w14:solidFill>
                </w14:textFill>
              </w:rPr>
            </w:pPr>
          </w:p>
          <w:p w14:paraId="4BFAA8ED">
            <w:pPr>
              <w:pStyle w:val="31"/>
              <w:ind w:firstLine="480"/>
              <w:rPr>
                <w:color w:val="000000" w:themeColor="text1"/>
                <w14:textFill>
                  <w14:solidFill>
                    <w14:schemeClr w14:val="tx1"/>
                  </w14:solidFill>
                </w14:textFill>
              </w:rPr>
            </w:pPr>
          </w:p>
          <w:p w14:paraId="6A2F73A5">
            <w:pPr>
              <w:ind w:firstLine="480"/>
              <w:rPr>
                <w:color w:val="000000" w:themeColor="text1"/>
                <w14:textFill>
                  <w14:solidFill>
                    <w14:schemeClr w14:val="tx1"/>
                  </w14:solidFill>
                </w14:textFill>
              </w:rPr>
            </w:pPr>
          </w:p>
          <w:p w14:paraId="39748232">
            <w:pPr>
              <w:pStyle w:val="31"/>
              <w:ind w:firstLine="480"/>
              <w:rPr>
                <w:color w:val="000000" w:themeColor="text1"/>
                <w14:textFill>
                  <w14:solidFill>
                    <w14:schemeClr w14:val="tx1"/>
                  </w14:solidFill>
                </w14:textFill>
              </w:rPr>
            </w:pPr>
          </w:p>
          <w:p w14:paraId="45B3784D">
            <w:pPr>
              <w:ind w:firstLine="480"/>
              <w:rPr>
                <w:color w:val="000000" w:themeColor="text1"/>
                <w14:textFill>
                  <w14:solidFill>
                    <w14:schemeClr w14:val="tx1"/>
                  </w14:solidFill>
                </w14:textFill>
              </w:rPr>
            </w:pPr>
          </w:p>
          <w:p w14:paraId="111B0E66">
            <w:pPr>
              <w:ind w:firstLine="0" w:firstLineChars="0"/>
              <w:rPr>
                <w:color w:val="000000" w:themeColor="text1"/>
                <w14:textFill>
                  <w14:solidFill>
                    <w14:schemeClr w14:val="tx1"/>
                  </w14:solidFill>
                </w14:textFill>
              </w:rPr>
            </w:pPr>
          </w:p>
        </w:tc>
      </w:tr>
    </w:tbl>
    <w:p w14:paraId="74536811">
      <w:pPr>
        <w:snapToGrid/>
        <w:ind w:firstLine="0" w:firstLineChars="0"/>
        <w:jc w:val="center"/>
        <w:rPr>
          <w:rFonts w:hint="eastAsia" w:ascii="宋体" w:hAnsi="宋体" w:cs="宋体"/>
          <w:b/>
          <w:bCs/>
          <w:color w:val="000000" w:themeColor="text1"/>
          <w:szCs w:val="24"/>
          <w14:textFill>
            <w14:solidFill>
              <w14:schemeClr w14:val="tx1"/>
            </w14:solidFill>
          </w14:textFill>
        </w:rPr>
        <w:sectPr>
          <w:footerReference r:id="rId11" w:type="default"/>
          <w:footerReference r:id="rId12" w:type="even"/>
          <w:pgSz w:w="11906" w:h="16838"/>
          <w:pgMar w:top="1418" w:right="1418" w:bottom="1418" w:left="1418" w:header="851" w:footer="992" w:gutter="0"/>
          <w:pgBorders>
            <w:top w:val="none" w:sz="0" w:space="0"/>
            <w:left w:val="none" w:sz="0" w:space="0"/>
            <w:bottom w:val="none" w:sz="0" w:space="0"/>
            <w:right w:val="none" w:sz="0" w:space="0"/>
          </w:pgBorders>
          <w:pgNumType w:fmt="numberInDash" w:start="1"/>
          <w:cols w:space="720" w:num="1"/>
          <w:docGrid w:type="lines" w:linePitch="342" w:charSpace="0"/>
        </w:sectPr>
      </w:pPr>
    </w:p>
    <w:tbl>
      <w:tblPr>
        <w:tblStyle w:val="82"/>
        <w:tblW w:w="515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7"/>
        <w:gridCol w:w="9194"/>
      </w:tblGrid>
      <w:tr w14:paraId="433A7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72" w:hRule="atLeast"/>
          <w:jc w:val="center"/>
        </w:trPr>
        <w:tc>
          <w:tcPr>
            <w:tcW w:w="156" w:type="pct"/>
            <w:tcMar>
              <w:left w:w="28" w:type="dxa"/>
              <w:right w:w="28" w:type="dxa"/>
            </w:tcMar>
            <w:vAlign w:val="center"/>
          </w:tcPr>
          <w:p w14:paraId="3ECC58F3">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运营</w:t>
            </w:r>
          </w:p>
          <w:p w14:paraId="407D3706">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期环</w:t>
            </w:r>
          </w:p>
          <w:p w14:paraId="1EB4A55E">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境影</w:t>
            </w:r>
          </w:p>
          <w:p w14:paraId="1338C5DE">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响和</w:t>
            </w:r>
          </w:p>
          <w:p w14:paraId="040B8A67">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保护</w:t>
            </w:r>
          </w:p>
          <w:p w14:paraId="49C94019">
            <w:pPr>
              <w:snapToGrid/>
              <w:ind w:firstLine="0" w:firstLineChars="0"/>
              <w:jc w:val="center"/>
              <w:rPr>
                <w:rFonts w:hint="eastAsia"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措施</w:t>
            </w:r>
          </w:p>
        </w:tc>
        <w:tc>
          <w:tcPr>
            <w:tcW w:w="4844" w:type="pct"/>
          </w:tcPr>
          <w:p w14:paraId="48ACDF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1.大气</w:t>
            </w:r>
          </w:p>
          <w:p w14:paraId="2AF93CAC">
            <w:pPr>
              <w:ind w:firstLine="480"/>
              <w:rPr>
                <w:color w:val="000000" w:themeColor="text1"/>
                <w14:textFill>
                  <w14:solidFill>
                    <w14:schemeClr w14:val="tx1"/>
                  </w14:solidFill>
                </w14:textFill>
              </w:rPr>
            </w:pPr>
            <w:r>
              <w:rPr>
                <w:color w:val="000000" w:themeColor="text1"/>
                <w14:textFill>
                  <w14:solidFill>
                    <w14:schemeClr w14:val="tx1"/>
                  </w14:solidFill>
                </w14:textFill>
              </w:rPr>
              <w:t>（1）污染工序及源强分析</w:t>
            </w:r>
          </w:p>
          <w:p w14:paraId="36996F1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本项目大气污染源主要包括：隧道窑</w:t>
            </w:r>
            <w:r>
              <w:rPr>
                <w:rFonts w:hint="eastAsia"/>
                <w:color w:val="000000" w:themeColor="text1"/>
                <w14:textFill>
                  <w14:solidFill>
                    <w14:schemeClr w14:val="tx1"/>
                  </w14:solidFill>
                </w14:textFill>
              </w:rPr>
              <w:t>烟气、破碎筛分</w:t>
            </w:r>
            <w:r>
              <w:rPr>
                <w:color w:val="000000" w:themeColor="text1"/>
                <w14:textFill>
                  <w14:solidFill>
                    <w14:schemeClr w14:val="tx1"/>
                  </w14:solidFill>
                </w14:textFill>
              </w:rPr>
              <w:t>过程产生的粉尘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车辆运输产生的扬尘。</w:t>
            </w:r>
          </w:p>
          <w:p w14:paraId="3747D90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有组织</w:t>
            </w:r>
            <w:r>
              <w:rPr>
                <w:rFonts w:hint="eastAsia"/>
                <w:color w:val="000000" w:themeColor="text1"/>
                <w14:textFill>
                  <w14:solidFill>
                    <w14:schemeClr w14:val="tx1"/>
                  </w14:solidFill>
                </w14:textFill>
              </w:rPr>
              <w:t>排放</w:t>
            </w:r>
          </w:p>
          <w:p w14:paraId="5A5E2EFF">
            <w:pPr>
              <w:ind w:firstLine="480"/>
              <w:rPr>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隧道窑排气筒</w:t>
            </w:r>
          </w:p>
          <w:p w14:paraId="09877D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厂区现有2条相同的隧道窑生产线，每条生产线</w:t>
            </w:r>
            <w:r>
              <w:rPr>
                <w:color w:val="000000" w:themeColor="text1"/>
                <w14:textFill>
                  <w14:solidFill>
                    <w14:schemeClr w14:val="tx1"/>
                  </w14:solidFill>
                </w14:textFill>
              </w:rPr>
              <w:t>年产烧结砖（折标）</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亿</w:t>
            </w:r>
            <w:r>
              <w:rPr>
                <w:color w:val="000000" w:themeColor="text1"/>
                <w14:textFill>
                  <w14:solidFill>
                    <w14:schemeClr w14:val="tx1"/>
                  </w14:solidFill>
                </w14:textFill>
              </w:rPr>
              <w:t>块</w:t>
            </w:r>
            <w:r>
              <w:rPr>
                <w:rFonts w:hint="eastAsia"/>
                <w:color w:val="000000" w:themeColor="text1"/>
                <w14:textFill>
                  <w14:solidFill>
                    <w14:schemeClr w14:val="tx1"/>
                  </w14:solidFill>
                </w14:textFill>
              </w:rPr>
              <w:t>，2条共计</w:t>
            </w:r>
            <w:r>
              <w:rPr>
                <w:color w:val="000000" w:themeColor="text1"/>
                <w14:textFill>
                  <w14:solidFill>
                    <w14:schemeClr w14:val="tx1"/>
                  </w14:solidFill>
                </w14:textFill>
              </w:rPr>
              <w:t>年产烧结砖（折标）</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亿</w:t>
            </w:r>
            <w:r>
              <w:rPr>
                <w:color w:val="000000" w:themeColor="text1"/>
                <w14:textFill>
                  <w14:solidFill>
                    <w14:schemeClr w14:val="tx1"/>
                  </w14:solidFill>
                </w14:textFill>
              </w:rPr>
              <w:t>块</w:t>
            </w:r>
            <w:r>
              <w:rPr>
                <w:rFonts w:hint="eastAsia"/>
                <w:color w:val="000000" w:themeColor="text1"/>
                <w14:textFill>
                  <w14:solidFill>
                    <w14:schemeClr w14:val="tx1"/>
                  </w14:solidFill>
                </w14:textFill>
              </w:rPr>
              <w:t>，隧道窑年运行时间5040h，热源为砖坯内</w:t>
            </w:r>
            <w:r>
              <w:rPr>
                <w:rFonts w:hint="eastAsia"/>
                <w:color w:val="000000" w:themeColor="text1"/>
                <w:lang w:val="en-US" w:eastAsia="zh-CN"/>
                <w14:textFill>
                  <w14:solidFill>
                    <w14:schemeClr w14:val="tx1"/>
                  </w14:solidFill>
                </w14:textFill>
              </w:rPr>
              <w:t>煤矸石</w:t>
            </w:r>
            <w:r>
              <w:rPr>
                <w:rFonts w:hint="eastAsia"/>
                <w:color w:val="000000" w:themeColor="text1"/>
                <w14:textFill>
                  <w14:solidFill>
                    <w14:schemeClr w14:val="tx1"/>
                  </w14:solidFill>
                </w14:textFill>
              </w:rPr>
              <w:t>提供烧结、干燥用热。烟气通过双碱法脱硫除尘处理后，由28m高烟囱（1#、2#）排放。</w:t>
            </w:r>
          </w:p>
          <w:p w14:paraId="7D2963F5">
            <w:pPr>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A、类比法</w:t>
            </w:r>
          </w:p>
          <w:p w14:paraId="5F4A441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本项目相比《新建300万吨/年矿物固废煤矸石综合处置再利用项目》竣工验收时，隧道窑工艺、设备、处理措施工作时间均未发生变化。</w:t>
            </w:r>
          </w:p>
          <w:p w14:paraId="5DF0D21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单条生产线</w:t>
            </w:r>
            <w:r>
              <w:rPr>
                <w:rFonts w:hint="eastAsia"/>
                <w:color w:val="000000" w:themeColor="text1"/>
                <w14:textFill>
                  <w14:solidFill>
                    <w14:schemeClr w14:val="tx1"/>
                  </w14:solidFill>
                </w14:textFill>
              </w:rPr>
              <w:t>烧结砖产能由3000万块/年，提升至1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000万块/年，验收监测期间脱硫塔1#、2#排气筒出口颗粒物排放浓度最大值为16mg/m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排放浓度最大值为35.3mg/m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排放浓度最大值为87mg/m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、氟化物排放浓度最大值为2.74mg/m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。本项目改建后取1#、2#排气筒颗粒物排放浓度为16mg/m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排放浓度取值为36mg/m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排放浓度最大值为87mg/m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、氟化物排放浓度最大值为2.8mg/m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，满足《砖瓦工业大气污染物排放标准》（GB29620-2013）表2及修改单中标准，污染物排放量根据产能扩大比例提升，则本项目污染物排放量为颗粒物</w:t>
            </w:r>
            <w:r>
              <w:rPr>
                <w:rFonts w:hint="eastAsia"/>
                <w:color w:val="000000" w:themeColor="text1"/>
                <w:lang w:eastAsia="zh-CN"/>
                <w14:textFill>
                  <w14:solidFill>
                    <w14:schemeClr w14:val="tx1"/>
                  </w14:solidFill>
                </w14:textFill>
              </w:rPr>
              <w:t>8.67</w:t>
            </w:r>
            <w:r>
              <w:rPr>
                <w:rFonts w:hint="eastAsia"/>
                <w:color w:val="000000" w:themeColor="text1"/>
                <w14:textFill>
                  <w14:solidFill>
                    <w14:schemeClr w14:val="tx1"/>
                  </w14:solidFill>
                </w14:textFill>
              </w:rPr>
              <w:t>kg/h（</w:t>
            </w:r>
            <w:r>
              <w:rPr>
                <w:rFonts w:hint="eastAsia"/>
                <w:color w:val="000000" w:themeColor="text1"/>
                <w:lang w:val="en-US" w:eastAsia="zh-CN"/>
                <w14:textFill>
                  <w14:solidFill>
                    <w14:schemeClr w14:val="tx1"/>
                  </w14:solidFill>
                </w14:textFill>
              </w:rPr>
              <w:t>43.7</w:t>
            </w:r>
            <w:r>
              <w:rPr>
                <w:rFonts w:hint="eastAsia"/>
                <w:color w:val="000000" w:themeColor="text1"/>
                <w14:textFill>
                  <w14:solidFill>
                    <w14:schemeClr w14:val="tx1"/>
                  </w14:solidFill>
                </w14:textFill>
              </w:rPr>
              <w:t>t/a）、SO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19.83</w:t>
            </w:r>
            <w:r>
              <w:rPr>
                <w:rFonts w:hint="eastAsia"/>
                <w:color w:val="000000" w:themeColor="text1"/>
                <w14:textFill>
                  <w14:solidFill>
                    <w14:schemeClr w14:val="tx1"/>
                  </w14:solidFill>
                </w14:textFill>
              </w:rPr>
              <w:t>kg/h（</w:t>
            </w:r>
            <w:r>
              <w:rPr>
                <w:rFonts w:hint="eastAsia"/>
                <w:color w:val="000000" w:themeColor="text1"/>
                <w:lang w:val="en-US" w:eastAsia="zh-CN"/>
                <w14:textFill>
                  <w14:solidFill>
                    <w14:schemeClr w14:val="tx1"/>
                  </w14:solidFill>
                </w14:textFill>
              </w:rPr>
              <w:t>99.94</w:t>
            </w:r>
            <w:r>
              <w:rPr>
                <w:rFonts w:hint="eastAsia"/>
                <w:color w:val="000000" w:themeColor="text1"/>
                <w14:textFill>
                  <w14:solidFill>
                    <w14:schemeClr w14:val="tx1"/>
                  </w14:solidFill>
                </w14:textFill>
              </w:rPr>
              <w:t>t/a）、NO</w:t>
            </w:r>
            <w:r>
              <w:rPr>
                <w:rFonts w:hint="eastAsia"/>
                <w:color w:val="000000" w:themeColor="text1"/>
                <w:vertAlign w:val="subscript"/>
                <w14:textFill>
                  <w14:solidFill>
                    <w14:schemeClr w14:val="tx1"/>
                  </w14:solidFill>
                </w14:textFill>
              </w:rPr>
              <w:t>X</w:t>
            </w:r>
            <w:r>
              <w:rPr>
                <w:rFonts w:hint="eastAsia"/>
                <w:color w:val="000000" w:themeColor="text1"/>
                <w:lang w:val="en-US" w:eastAsia="zh-CN"/>
                <w14:textFill>
                  <w14:solidFill>
                    <w14:schemeClr w14:val="tx1"/>
                  </w14:solidFill>
                </w14:textFill>
              </w:rPr>
              <w:t>42.84</w:t>
            </w:r>
            <w:r>
              <w:rPr>
                <w:rFonts w:hint="eastAsia"/>
                <w:color w:val="000000" w:themeColor="text1"/>
                <w14:textFill>
                  <w14:solidFill>
                    <w14:schemeClr w14:val="tx1"/>
                  </w14:solidFill>
                </w14:textFill>
              </w:rPr>
              <w:t>kg/h（</w:t>
            </w:r>
            <w:r>
              <w:rPr>
                <w:rFonts w:hint="eastAsia"/>
                <w:color w:val="000000" w:themeColor="text1"/>
                <w:lang w:val="en-US" w:eastAsia="zh-CN"/>
                <w14:textFill>
                  <w14:solidFill>
                    <w14:schemeClr w14:val="tx1"/>
                  </w14:solidFill>
                </w14:textFill>
              </w:rPr>
              <w:t>215.91</w:t>
            </w:r>
            <w:r>
              <w:rPr>
                <w:rFonts w:hint="eastAsia"/>
                <w:color w:val="000000" w:themeColor="text1"/>
                <w14:textFill>
                  <w14:solidFill>
                    <w14:schemeClr w14:val="tx1"/>
                  </w14:solidFill>
                </w14:textFill>
              </w:rPr>
              <w:t>t/a）、氟化物</w:t>
            </w:r>
            <w:r>
              <w:rPr>
                <w:rFonts w:hint="eastAsia"/>
                <w:color w:val="000000" w:themeColor="text1"/>
                <w:lang w:val="en-US" w:eastAsia="zh-CN"/>
                <w14:textFill>
                  <w14:solidFill>
                    <w14:schemeClr w14:val="tx1"/>
                  </w14:solidFill>
                </w14:textFill>
              </w:rPr>
              <w:t>1.77</w:t>
            </w:r>
            <w:r>
              <w:rPr>
                <w:rFonts w:hint="eastAsia"/>
                <w:color w:val="000000" w:themeColor="text1"/>
                <w14:textFill>
                  <w14:solidFill>
                    <w14:schemeClr w14:val="tx1"/>
                  </w14:solidFill>
                </w14:textFill>
              </w:rPr>
              <w:t>kg/h（</w:t>
            </w:r>
            <w:r>
              <w:rPr>
                <w:rFonts w:hint="eastAsia"/>
                <w:color w:val="000000" w:themeColor="text1"/>
                <w:lang w:val="en-US" w:eastAsia="zh-CN"/>
                <w14:textFill>
                  <w14:solidFill>
                    <w14:schemeClr w14:val="tx1"/>
                  </w14:solidFill>
                </w14:textFill>
              </w:rPr>
              <w:t>8.92</w:t>
            </w:r>
            <w:r>
              <w:rPr>
                <w:rFonts w:hint="eastAsia"/>
                <w:color w:val="000000" w:themeColor="text1"/>
                <w14:textFill>
                  <w14:solidFill>
                    <w14:schemeClr w14:val="tx1"/>
                  </w14:solidFill>
                </w14:textFill>
              </w:rPr>
              <w:t>t/a）。</w:t>
            </w:r>
          </w:p>
          <w:p w14:paraId="3549AA58">
            <w:pPr>
              <w:pStyle w:val="1256"/>
              <w:tabs>
                <w:tab w:val="left" w:pos="420"/>
              </w:tabs>
              <w:adjustRightInd/>
              <w:snapToGrid/>
              <w:ind w:firstLine="482"/>
              <w:rPr>
                <w:rFonts w:hint="default" w:eastAsia="宋体"/>
                <w:b w:val="0"/>
                <w:bCs w:val="0"/>
                <w:color w:val="000000" w:themeColor="text1"/>
                <w:kern w:val="2"/>
                <w:szCs w:val="24"/>
                <w:lang w:val="en-US" w:eastAsia="zh-CN"/>
                <w14:textFill>
                  <w14:solidFill>
                    <w14:schemeClr w14:val="tx1"/>
                  </w14:solidFill>
                </w14:textFill>
              </w:rPr>
            </w:pPr>
            <w:bookmarkStart w:id="4" w:name="_Toc25467"/>
            <w:bookmarkStart w:id="5" w:name="_Toc24102"/>
            <w:bookmarkStart w:id="6" w:name="_Toc16674"/>
            <w:bookmarkStart w:id="7" w:name="_Toc8832"/>
            <w:bookmarkStart w:id="8" w:name="_Toc30334"/>
            <w:bookmarkStart w:id="9" w:name="_Toc13973"/>
            <w:r>
              <w:rPr>
                <w:rFonts w:hint="eastAsia"/>
                <w:b w:val="0"/>
                <w:bCs w:val="0"/>
                <w:color w:val="000000" w:themeColor="text1"/>
                <w:kern w:val="2"/>
                <w:szCs w:val="24"/>
                <w:lang w:val="en-US" w:eastAsia="zh-CN"/>
                <w14:textFill>
                  <w14:solidFill>
                    <w14:schemeClr w14:val="tx1"/>
                  </w14:solidFill>
                </w14:textFill>
              </w:rPr>
              <w:t>B、系数法</w:t>
            </w:r>
          </w:p>
          <w:p w14:paraId="4953F152">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a</w:t>
            </w:r>
            <w:r>
              <w:rPr>
                <w:rFonts w:hint="eastAsia" w:ascii="Times New Roman" w:hAnsi="Times New Roman" w:cs="Times New Roman"/>
                <w:color w:val="000000" w:themeColor="text1"/>
                <w14:textFill>
                  <w14:solidFill>
                    <w14:schemeClr w14:val="tx1"/>
                  </w14:solidFill>
                </w14:textFill>
              </w:rPr>
              <w:t>：颗粒物</w:t>
            </w:r>
          </w:p>
          <w:p w14:paraId="7D42EF80">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根据《排放源统计调查产排污核算方法和系数手册》（生态环境部公告2021年第24号）中303砖瓦、石材等建筑材料制造行业系数手册中煤矸石砖颗粒物产尘系数，煤矸石砖产排污系数见</w:t>
            </w:r>
            <w:r>
              <w:rPr>
                <w:rFonts w:hint="eastAsia" w:ascii="Times New Roman" w:hAnsi="Times New Roman" w:cs="Times New Roman"/>
                <w:color w:val="000000" w:themeColor="text1"/>
                <w:lang w:val="en-US" w:eastAsia="zh-CN"/>
                <w14:textFill>
                  <w14:solidFill>
                    <w14:schemeClr w14:val="tx1"/>
                  </w14:solidFill>
                </w14:textFill>
              </w:rPr>
              <w:t>下</w:t>
            </w:r>
            <w:r>
              <w:rPr>
                <w:rFonts w:hint="eastAsia" w:ascii="Times New Roman" w:hAnsi="Times New Roman" w:cs="Times New Roman"/>
                <w:color w:val="000000" w:themeColor="text1"/>
                <w14:textFill>
                  <w14:solidFill>
                    <w14:schemeClr w14:val="tx1"/>
                  </w14:solidFill>
                </w14:textFill>
              </w:rPr>
              <w:t>表。</w:t>
            </w:r>
          </w:p>
          <w:p w14:paraId="27DD3ABD">
            <w:pPr>
              <w:ind w:firstLine="480"/>
              <w:rPr>
                <w:rFonts w:hint="eastAsia" w:ascii="Times New Roman" w:hAnsi="Times New Roman" w:cs="Times New Roman"/>
                <w:color w:val="000000" w:themeColor="text1"/>
                <w14:textFill>
                  <w14:solidFill>
                    <w14:schemeClr w14:val="tx1"/>
                  </w14:solidFill>
                </w14:textFill>
              </w:rPr>
            </w:pPr>
          </w:p>
          <w:p w14:paraId="6081DC6C">
            <w:pPr>
              <w:ind w:firstLine="480"/>
              <w:rPr>
                <w:rFonts w:hint="eastAsia" w:ascii="Times New Roman" w:hAnsi="Times New Roman" w:cs="Times New Roman"/>
                <w:color w:val="000000" w:themeColor="text1"/>
                <w14:textFill>
                  <w14:solidFill>
                    <w14:schemeClr w14:val="tx1"/>
                  </w14:solidFill>
                </w14:textFill>
              </w:rPr>
            </w:pPr>
          </w:p>
          <w:p w14:paraId="65BA3689">
            <w:pPr>
              <w:ind w:firstLine="480"/>
              <w:rPr>
                <w:rFonts w:hint="eastAsia" w:ascii="Times New Roman" w:hAnsi="Times New Roman" w:cs="Times New Roman"/>
                <w:color w:val="000000" w:themeColor="text1"/>
                <w14:textFill>
                  <w14:solidFill>
                    <w14:schemeClr w14:val="tx1"/>
                  </w14:solidFill>
                </w14:textFill>
              </w:rPr>
            </w:pPr>
          </w:p>
          <w:p w14:paraId="2277E8A9">
            <w:pPr>
              <w:ind w:firstLine="480"/>
              <w:rPr>
                <w:rFonts w:hint="eastAsia" w:ascii="Times New Roman" w:hAnsi="Times New Roman" w:cs="Times New Roman"/>
                <w:color w:val="000000" w:themeColor="text1"/>
                <w14:textFill>
                  <w14:solidFill>
                    <w14:schemeClr w14:val="tx1"/>
                  </w14:solidFill>
                </w14:textFill>
              </w:rPr>
            </w:pPr>
          </w:p>
          <w:p w14:paraId="5BC6944A">
            <w:pPr>
              <w:ind w:firstLine="480"/>
              <w:rPr>
                <w:rFonts w:hint="eastAsia" w:ascii="Times New Roman" w:hAnsi="Times New Roman" w:cs="Times New Roman"/>
                <w:color w:val="000000" w:themeColor="text1"/>
                <w14:textFill>
                  <w14:solidFill>
                    <w14:schemeClr w14:val="tx1"/>
                  </w14:solidFill>
                </w14:textFill>
              </w:rPr>
            </w:pPr>
          </w:p>
          <w:p w14:paraId="30239274">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lang w:val="en-US" w:eastAsia="zh-CN"/>
                <w14:textFill>
                  <w14:solidFill>
                    <w14:schemeClr w14:val="tx1"/>
                  </w14:solidFill>
                </w14:textFill>
              </w:rPr>
              <w:t xml:space="preserve">                  </w:t>
            </w:r>
            <w:r>
              <w:rPr>
                <w:rFonts w:hint="eastAsia" w:ascii="宋体" w:hAnsi="宋体" w:cs="宋体"/>
                <w:b/>
                <w:color w:val="000000" w:themeColor="text1"/>
                <w14:textFill>
                  <w14:solidFill>
                    <w14:schemeClr w14:val="tx1"/>
                  </w14:solidFill>
                </w14:textFill>
              </w:rPr>
              <w:t>粘土砖瓦及建筑砌块制造（续3）</w:t>
            </w:r>
          </w:p>
          <w:tbl>
            <w:tblPr>
              <w:tblStyle w:val="1297"/>
              <w:tblW w:w="4997" w:type="pct"/>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37"/>
              <w:gridCol w:w="1031"/>
              <w:gridCol w:w="1117"/>
              <w:gridCol w:w="1176"/>
              <w:gridCol w:w="1490"/>
              <w:gridCol w:w="2036"/>
              <w:gridCol w:w="1056"/>
            </w:tblGrid>
            <w:tr w14:paraId="684A70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579" w:type="pct"/>
                  <w:tcBorders>
                    <w:tl2br w:val="nil"/>
                    <w:tr2bl w:val="nil"/>
                  </w:tcBorders>
                  <w:noWrap w:val="0"/>
                  <w:vAlign w:val="center"/>
                </w:tcPr>
                <w:p w14:paraId="3DBBF9C9">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产品名称</w:t>
                  </w:r>
                </w:p>
              </w:tc>
              <w:tc>
                <w:tcPr>
                  <w:tcW w:w="576" w:type="pct"/>
                  <w:tcBorders>
                    <w:tl2br w:val="nil"/>
                    <w:tr2bl w:val="nil"/>
                  </w:tcBorders>
                  <w:noWrap w:val="0"/>
                  <w:vAlign w:val="center"/>
                </w:tcPr>
                <w:p w14:paraId="5EDC3F6B">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原料名称</w:t>
                  </w:r>
                </w:p>
              </w:tc>
              <w:tc>
                <w:tcPr>
                  <w:tcW w:w="624" w:type="pct"/>
                  <w:tcBorders>
                    <w:tl2br w:val="nil"/>
                    <w:tr2bl w:val="nil"/>
                  </w:tcBorders>
                  <w:noWrap w:val="0"/>
                  <w:vAlign w:val="center"/>
                </w:tcPr>
                <w:p w14:paraId="2917C941">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工艺名称</w:t>
                  </w:r>
                </w:p>
              </w:tc>
              <w:tc>
                <w:tcPr>
                  <w:tcW w:w="657" w:type="pct"/>
                  <w:tcBorders>
                    <w:tl2br w:val="nil"/>
                    <w:tr2bl w:val="nil"/>
                  </w:tcBorders>
                  <w:noWrap w:val="0"/>
                  <w:vAlign w:val="center"/>
                </w:tcPr>
                <w:p w14:paraId="5176DCFB">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规模等级</w:t>
                  </w:r>
                </w:p>
              </w:tc>
              <w:tc>
                <w:tcPr>
                  <w:tcW w:w="832" w:type="pct"/>
                  <w:tcBorders>
                    <w:tl2br w:val="nil"/>
                    <w:tr2bl w:val="nil"/>
                  </w:tcBorders>
                  <w:noWrap w:val="0"/>
                  <w:vAlign w:val="center"/>
                </w:tcPr>
                <w:p w14:paraId="7C7EC3E5">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污染物指标</w:t>
                  </w:r>
                </w:p>
              </w:tc>
              <w:tc>
                <w:tcPr>
                  <w:tcW w:w="1137" w:type="pct"/>
                  <w:tcBorders>
                    <w:tl2br w:val="nil"/>
                    <w:tr2bl w:val="nil"/>
                  </w:tcBorders>
                  <w:noWrap w:val="0"/>
                  <w:vAlign w:val="center"/>
                </w:tcPr>
                <w:p w14:paraId="51E9ACBC">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单位</w:t>
                  </w:r>
                </w:p>
              </w:tc>
              <w:tc>
                <w:tcPr>
                  <w:tcW w:w="590" w:type="pct"/>
                  <w:tcBorders>
                    <w:tl2br w:val="nil"/>
                    <w:tr2bl w:val="nil"/>
                  </w:tcBorders>
                  <w:noWrap w:val="0"/>
                  <w:vAlign w:val="center"/>
                </w:tcPr>
                <w:p w14:paraId="4E397776">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产污系数</w:t>
                  </w:r>
                </w:p>
              </w:tc>
            </w:tr>
            <w:tr w14:paraId="5E75CE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79" w:type="pct"/>
                  <w:vMerge w:val="restart"/>
                  <w:tcBorders>
                    <w:tl2br w:val="nil"/>
                    <w:tr2bl w:val="nil"/>
                  </w:tcBorders>
                  <w:noWrap w:val="0"/>
                  <w:vAlign w:val="center"/>
                </w:tcPr>
                <w:p w14:paraId="2F4B347F">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煤矸石砖</w:t>
                  </w:r>
                </w:p>
              </w:tc>
              <w:tc>
                <w:tcPr>
                  <w:tcW w:w="576" w:type="pct"/>
                  <w:vMerge w:val="restart"/>
                  <w:tcBorders>
                    <w:tl2br w:val="nil"/>
                    <w:tr2bl w:val="nil"/>
                  </w:tcBorders>
                  <w:noWrap w:val="0"/>
                  <w:vAlign w:val="center"/>
                </w:tcPr>
                <w:p w14:paraId="6F8A7C94">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煤矸石、污泥等</w:t>
                  </w:r>
                </w:p>
              </w:tc>
              <w:tc>
                <w:tcPr>
                  <w:tcW w:w="624" w:type="pct"/>
                  <w:vMerge w:val="restart"/>
                  <w:tcBorders>
                    <w:tl2br w:val="nil"/>
                    <w:tr2bl w:val="nil"/>
                  </w:tcBorders>
                  <w:noWrap w:val="0"/>
                  <w:vAlign w:val="center"/>
                </w:tcPr>
                <w:p w14:paraId="1D36175D">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砖瓦工业焙烧窑炉（硬塑成型等）</w:t>
                  </w:r>
                </w:p>
              </w:tc>
              <w:tc>
                <w:tcPr>
                  <w:tcW w:w="657" w:type="pct"/>
                  <w:vMerge w:val="restart"/>
                  <w:tcBorders>
                    <w:tl2br w:val="nil"/>
                    <w:tr2bl w:val="nil"/>
                  </w:tcBorders>
                  <w:noWrap w:val="0"/>
                  <w:vAlign w:val="center"/>
                </w:tcPr>
                <w:p w14:paraId="40C90D32">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所有规模</w:t>
                  </w:r>
                </w:p>
              </w:tc>
              <w:tc>
                <w:tcPr>
                  <w:tcW w:w="832" w:type="pct"/>
                  <w:tcBorders>
                    <w:tl2br w:val="nil"/>
                    <w:tr2bl w:val="nil"/>
                  </w:tcBorders>
                  <w:noWrap w:val="0"/>
                  <w:vAlign w:val="center"/>
                </w:tcPr>
                <w:p w14:paraId="4773A304">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工业废气量</w:t>
                  </w:r>
                </w:p>
              </w:tc>
              <w:tc>
                <w:tcPr>
                  <w:tcW w:w="1137" w:type="pct"/>
                  <w:tcBorders>
                    <w:tl2br w:val="nil"/>
                    <w:tr2bl w:val="nil"/>
                  </w:tcBorders>
                  <w:noWrap w:val="0"/>
                  <w:vAlign w:val="center"/>
                </w:tcPr>
                <w:p w14:paraId="78AD1FF7">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标立方米/万块标砖</w:t>
                  </w:r>
                </w:p>
              </w:tc>
              <w:tc>
                <w:tcPr>
                  <w:tcW w:w="590" w:type="pct"/>
                  <w:tcBorders>
                    <w:tl2br w:val="nil"/>
                    <w:tr2bl w:val="nil"/>
                  </w:tcBorders>
                  <w:noWrap w:val="0"/>
                  <w:vAlign w:val="center"/>
                </w:tcPr>
                <w:p w14:paraId="70E7BAF9">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152000</w:t>
                  </w:r>
                </w:p>
              </w:tc>
            </w:tr>
            <w:tr w14:paraId="590E37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79" w:type="pct"/>
                  <w:vMerge w:val="continue"/>
                  <w:tcBorders>
                    <w:tl2br w:val="nil"/>
                    <w:tr2bl w:val="nil"/>
                  </w:tcBorders>
                  <w:noWrap w:val="0"/>
                  <w:vAlign w:val="center"/>
                </w:tcPr>
                <w:p w14:paraId="6D0427D0">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p>
              </w:tc>
              <w:tc>
                <w:tcPr>
                  <w:tcW w:w="576" w:type="pct"/>
                  <w:vMerge w:val="continue"/>
                  <w:tcBorders>
                    <w:tl2br w:val="nil"/>
                    <w:tr2bl w:val="nil"/>
                  </w:tcBorders>
                  <w:noWrap w:val="0"/>
                  <w:vAlign w:val="center"/>
                </w:tcPr>
                <w:p w14:paraId="4E8C6227">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p>
              </w:tc>
              <w:tc>
                <w:tcPr>
                  <w:tcW w:w="624" w:type="pct"/>
                  <w:vMerge w:val="continue"/>
                  <w:tcBorders>
                    <w:tl2br w:val="nil"/>
                    <w:tr2bl w:val="nil"/>
                  </w:tcBorders>
                  <w:noWrap w:val="0"/>
                  <w:vAlign w:val="center"/>
                </w:tcPr>
                <w:p w14:paraId="7572F7D1">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p>
              </w:tc>
              <w:tc>
                <w:tcPr>
                  <w:tcW w:w="657" w:type="pct"/>
                  <w:vMerge w:val="continue"/>
                  <w:tcBorders>
                    <w:tl2br w:val="nil"/>
                    <w:tr2bl w:val="nil"/>
                  </w:tcBorders>
                  <w:noWrap w:val="0"/>
                  <w:vAlign w:val="center"/>
                </w:tcPr>
                <w:p w14:paraId="62FEA8F4">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p>
              </w:tc>
              <w:tc>
                <w:tcPr>
                  <w:tcW w:w="832" w:type="pct"/>
                  <w:tcBorders>
                    <w:tl2br w:val="nil"/>
                    <w:tr2bl w:val="nil"/>
                  </w:tcBorders>
                  <w:noWrap w:val="0"/>
                  <w:vAlign w:val="center"/>
                </w:tcPr>
                <w:p w14:paraId="29A70AC6">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颗粒物</w:t>
                  </w:r>
                </w:p>
              </w:tc>
              <w:tc>
                <w:tcPr>
                  <w:tcW w:w="1137" w:type="pct"/>
                  <w:tcBorders>
                    <w:tl2br w:val="nil"/>
                    <w:tr2bl w:val="nil"/>
                  </w:tcBorders>
                  <w:noWrap w:val="0"/>
                  <w:vAlign w:val="center"/>
                </w:tcPr>
                <w:p w14:paraId="4B70385F">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千克/万块标砖</w:t>
                  </w:r>
                </w:p>
              </w:tc>
              <w:tc>
                <w:tcPr>
                  <w:tcW w:w="590" w:type="pct"/>
                  <w:tcBorders>
                    <w:tl2br w:val="nil"/>
                    <w:tr2bl w:val="nil"/>
                  </w:tcBorders>
                  <w:noWrap w:val="0"/>
                  <w:vAlign w:val="center"/>
                </w:tcPr>
                <w:p w14:paraId="792CE13C">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6.5</w:t>
                  </w:r>
                </w:p>
              </w:tc>
            </w:tr>
            <w:tr w14:paraId="6D362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579" w:type="pct"/>
                  <w:vMerge w:val="continue"/>
                  <w:tcBorders>
                    <w:tl2br w:val="nil"/>
                    <w:tr2bl w:val="nil"/>
                  </w:tcBorders>
                  <w:noWrap w:val="0"/>
                  <w:vAlign w:val="center"/>
                </w:tcPr>
                <w:p w14:paraId="57520444">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p>
              </w:tc>
              <w:tc>
                <w:tcPr>
                  <w:tcW w:w="576" w:type="pct"/>
                  <w:vMerge w:val="continue"/>
                  <w:tcBorders>
                    <w:tl2br w:val="nil"/>
                    <w:tr2bl w:val="nil"/>
                  </w:tcBorders>
                  <w:noWrap w:val="0"/>
                  <w:vAlign w:val="center"/>
                </w:tcPr>
                <w:p w14:paraId="2E372B91">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p>
              </w:tc>
              <w:tc>
                <w:tcPr>
                  <w:tcW w:w="624" w:type="pct"/>
                  <w:vMerge w:val="continue"/>
                  <w:tcBorders>
                    <w:tl2br w:val="nil"/>
                    <w:tr2bl w:val="nil"/>
                  </w:tcBorders>
                  <w:noWrap w:val="0"/>
                  <w:vAlign w:val="center"/>
                </w:tcPr>
                <w:p w14:paraId="2E882CD0">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p>
              </w:tc>
              <w:tc>
                <w:tcPr>
                  <w:tcW w:w="657" w:type="pct"/>
                  <w:vMerge w:val="continue"/>
                  <w:tcBorders>
                    <w:tl2br w:val="nil"/>
                    <w:tr2bl w:val="nil"/>
                  </w:tcBorders>
                  <w:noWrap w:val="0"/>
                  <w:vAlign w:val="center"/>
                </w:tcPr>
                <w:p w14:paraId="47BBC940">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p>
              </w:tc>
              <w:tc>
                <w:tcPr>
                  <w:tcW w:w="832" w:type="pct"/>
                  <w:tcBorders>
                    <w:tl2br w:val="nil"/>
                    <w:tr2bl w:val="nil"/>
                  </w:tcBorders>
                  <w:noWrap w:val="0"/>
                  <w:vAlign w:val="center"/>
                </w:tcPr>
                <w:p w14:paraId="724DE278">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氮氧化物</w:t>
                  </w:r>
                </w:p>
              </w:tc>
              <w:tc>
                <w:tcPr>
                  <w:tcW w:w="1137" w:type="pct"/>
                  <w:tcBorders>
                    <w:tl2br w:val="nil"/>
                    <w:tr2bl w:val="nil"/>
                  </w:tcBorders>
                  <w:noWrap w:val="0"/>
                  <w:vAlign w:val="center"/>
                </w:tcPr>
                <w:p w14:paraId="7CBFABC4">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千克/万块标砖</w:t>
                  </w:r>
                </w:p>
              </w:tc>
              <w:tc>
                <w:tcPr>
                  <w:tcW w:w="590" w:type="pct"/>
                  <w:tcBorders>
                    <w:tl2br w:val="nil"/>
                    <w:tr2bl w:val="nil"/>
                  </w:tcBorders>
                  <w:noWrap w:val="0"/>
                  <w:vAlign w:val="center"/>
                </w:tcPr>
                <w:p w14:paraId="6EBA17A0">
                  <w:pPr>
                    <w:pStyle w:val="1305"/>
                    <w:widowControl w:val="0"/>
                    <w:autoSpaceDE w:val="0"/>
                    <w:autoSpaceDN w:val="0"/>
                    <w:jc w:val="center"/>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8.16</w:t>
                  </w:r>
                </w:p>
              </w:tc>
            </w:tr>
          </w:tbl>
          <w:p w14:paraId="08C5600B">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单条隧道窑年产烧结砖（折标）</w:t>
            </w:r>
            <w:r>
              <w:rPr>
                <w:rFonts w:hint="eastAsia" w:cs="Times New Roman"/>
                <w:color w:val="000000" w:themeColor="text1"/>
                <w:lang w:val="en-US" w:eastAsia="zh-CN"/>
                <w14:textFill>
                  <w14:solidFill>
                    <w14:schemeClr w14:val="tx1"/>
                  </w14:solidFill>
                </w14:textFill>
              </w:rPr>
              <w:t>15</w:t>
            </w:r>
            <w:r>
              <w:rPr>
                <w:rFonts w:hint="eastAsia" w:ascii="Times New Roman" w:hAnsi="Times New Roman" w:cs="Times New Roman"/>
                <w:color w:val="000000" w:themeColor="text1"/>
                <w14:textFill>
                  <w14:solidFill>
                    <w14:schemeClr w14:val="tx1"/>
                  </w14:solidFill>
                </w14:textFill>
              </w:rPr>
              <w:t>000万块，工业废气量产尘系数152000标立方米/万块标砖，则烟气的产生量为</w:t>
            </w:r>
            <w:r>
              <w:rPr>
                <w:rFonts w:hint="eastAsia" w:ascii="Times New Roman" w:hAnsi="Times New Roman" w:cs="Times New Roman"/>
                <w:color w:val="000000" w:themeColor="text1"/>
                <w:lang w:val="en-US" w:eastAsia="zh-CN"/>
                <w14:textFill>
                  <w14:solidFill>
                    <w14:schemeClr w14:val="tx1"/>
                  </w14:solidFill>
                </w14:textFill>
              </w:rPr>
              <w:t>452380.95</w:t>
            </w:r>
            <w:r>
              <w:rPr>
                <w:rFonts w:hint="eastAsia"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/h，单条隧道窑年产烧结砖（折标）</w:t>
            </w:r>
            <w:r>
              <w:rPr>
                <w:rFonts w:hint="eastAsia" w:ascii="Times New Roman" w:hAnsi="Times New Roman" w:cs="Times New Roman"/>
                <w:color w:val="000000" w:themeColor="text1"/>
                <w:lang w:val="en-US" w:eastAsia="zh-CN"/>
                <w14:textFill>
                  <w14:solidFill>
                    <w14:schemeClr w14:val="tx1"/>
                  </w14:solidFill>
                </w14:textFill>
              </w:rPr>
              <w:t>15</w:t>
            </w:r>
            <w:r>
              <w:rPr>
                <w:rFonts w:hint="eastAsia" w:ascii="Times New Roman" w:hAnsi="Times New Roman" w:cs="Times New Roman"/>
                <w:color w:val="000000" w:themeColor="text1"/>
                <w14:textFill>
                  <w14:solidFill>
                    <w14:schemeClr w14:val="tx1"/>
                  </w14:solidFill>
                </w14:textFill>
              </w:rPr>
              <w:t>000万块，颗粒物产尘系数6.50千克/万块标砖，颗粒物产生量为</w:t>
            </w:r>
            <w:r>
              <w:rPr>
                <w:rFonts w:hint="eastAsia" w:ascii="Times New Roman" w:hAnsi="Times New Roman" w:cs="Times New Roman"/>
                <w:color w:val="000000" w:themeColor="text1"/>
                <w:lang w:val="en-US" w:eastAsia="zh-CN"/>
                <w14:textFill>
                  <w14:solidFill>
                    <w14:schemeClr w14:val="tx1"/>
                  </w14:solidFill>
                </w14:textFill>
              </w:rPr>
              <w:t>97.5</w:t>
            </w:r>
            <w:r>
              <w:rPr>
                <w:rFonts w:hint="eastAsia" w:ascii="Times New Roman" w:hAnsi="Times New Roman" w:cs="Times New Roman"/>
                <w:color w:val="000000" w:themeColor="text1"/>
                <w14:textFill>
                  <w14:solidFill>
                    <w14:schemeClr w14:val="tx1"/>
                  </w14:solidFill>
                </w14:textFill>
              </w:rPr>
              <w:t>t/a，隧道窑年运行时间5040h，则产生速率为</w:t>
            </w:r>
            <w:r>
              <w:rPr>
                <w:rFonts w:hint="eastAsia" w:ascii="Times New Roman" w:hAnsi="Times New Roman" w:cs="Times New Roman"/>
                <w:color w:val="000000" w:themeColor="text1"/>
                <w:lang w:val="en-US" w:eastAsia="zh-CN"/>
                <w14:textFill>
                  <w14:solidFill>
                    <w14:schemeClr w14:val="tx1"/>
                  </w14:solidFill>
                </w14:textFill>
              </w:rPr>
              <w:t>19.35</w:t>
            </w:r>
            <w:r>
              <w:rPr>
                <w:rFonts w:hint="eastAsia" w:ascii="Times New Roman" w:hAnsi="Times New Roman" w:cs="Times New Roman"/>
                <w:color w:val="000000" w:themeColor="text1"/>
                <w14:textFill>
                  <w14:solidFill>
                    <w14:schemeClr w14:val="tx1"/>
                  </w14:solidFill>
                </w14:textFill>
              </w:rPr>
              <w:t>kg/h，产生浓度为42.76mg/m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。焙烧烟气经双碱法处理装置处理，布袋除尘器除尘处理效率为90%，排放浓度4.28mg/m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，排放速率为</w:t>
            </w:r>
            <w:r>
              <w:rPr>
                <w:rFonts w:hint="eastAsia" w:ascii="Times New Roman" w:hAnsi="Times New Roman" w:cs="Times New Roman"/>
                <w:color w:val="000000" w:themeColor="text1"/>
                <w:lang w:val="en-US" w:eastAsia="zh-CN"/>
                <w14:textFill>
                  <w14:solidFill>
                    <w14:schemeClr w14:val="tx1"/>
                  </w14:solidFill>
                </w14:textFill>
              </w:rPr>
              <w:t>1.935</w:t>
            </w:r>
            <w:r>
              <w:rPr>
                <w:rFonts w:hint="eastAsia" w:ascii="Times New Roman" w:hAnsi="Times New Roman" w:cs="Times New Roman"/>
                <w:color w:val="000000" w:themeColor="text1"/>
                <w14:textFill>
                  <w14:solidFill>
                    <w14:schemeClr w14:val="tx1"/>
                  </w14:solidFill>
                </w14:textFill>
              </w:rPr>
              <w:t>kg/h，排放量</w:t>
            </w:r>
            <w:r>
              <w:rPr>
                <w:rFonts w:hint="eastAsia" w:ascii="Times New Roman" w:hAnsi="Times New Roman" w:cs="Times New Roman"/>
                <w:color w:val="000000" w:themeColor="text1"/>
                <w:lang w:val="en-US" w:eastAsia="zh-CN"/>
                <w14:textFill>
                  <w14:solidFill>
                    <w14:schemeClr w14:val="tx1"/>
                  </w14:solidFill>
                </w14:textFill>
              </w:rPr>
              <w:t>9.75</w:t>
            </w:r>
            <w:r>
              <w:rPr>
                <w:rFonts w:hint="eastAsia" w:ascii="Times New Roman" w:hAnsi="Times New Roman" w:cs="Times New Roman"/>
                <w:color w:val="000000" w:themeColor="text1"/>
                <w14:textFill>
                  <w14:solidFill>
                    <w14:schemeClr w14:val="tx1"/>
                  </w14:solidFill>
                </w14:textFill>
              </w:rPr>
              <w:t>t/a，则两条隧道窑的排放量为</w:t>
            </w:r>
            <w:r>
              <w:rPr>
                <w:rFonts w:hint="eastAsia" w:ascii="Times New Roman" w:hAnsi="Times New Roman" w:cs="Times New Roman"/>
                <w:color w:val="000000" w:themeColor="text1"/>
                <w:lang w:val="en-US" w:eastAsia="zh-CN"/>
                <w14:textFill>
                  <w14:solidFill>
                    <w14:schemeClr w14:val="tx1"/>
                  </w14:solidFill>
                </w14:textFill>
              </w:rPr>
              <w:t>19.5</w:t>
            </w:r>
            <w:r>
              <w:rPr>
                <w:rFonts w:hint="eastAsia" w:ascii="Times New Roman" w:hAnsi="Times New Roman" w:cs="Times New Roman"/>
                <w:color w:val="000000" w:themeColor="text1"/>
                <w14:textFill>
                  <w14:solidFill>
                    <w14:schemeClr w14:val="tx1"/>
                  </w14:solidFill>
                </w14:textFill>
              </w:rPr>
              <w:t>t/a，满足《砖瓦工业大气污染物排放标准》（GB29620-2013）表2及修改单限值要求。</w:t>
            </w:r>
          </w:p>
          <w:p w14:paraId="24D34F1D">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B</w:t>
            </w:r>
            <w:r>
              <w:rPr>
                <w:rFonts w:hint="eastAsia" w:ascii="Times New Roman" w:hAnsi="Times New Roman" w:cs="Times New Roman"/>
                <w:color w:val="000000" w:themeColor="text1"/>
                <w14:textFill>
                  <w14:solidFill>
                    <w14:schemeClr w14:val="tx1"/>
                  </w14:solidFill>
                </w14:textFill>
              </w:rPr>
              <w:t>：SO</w:t>
            </w:r>
            <w:r>
              <w:rPr>
                <w:rFonts w:hint="eastAsia" w:ascii="Times New Roman" w:hAnsi="Times New Roman" w:cs="Times New Roman"/>
                <w:color w:val="000000" w:themeColor="text1"/>
                <w:vertAlign w:val="subscript"/>
                <w14:textFill>
                  <w14:solidFill>
                    <w14:schemeClr w14:val="tx1"/>
                  </w14:solidFill>
                </w14:textFill>
              </w:rPr>
              <w:t>2</w:t>
            </w:r>
          </w:p>
          <w:p w14:paraId="20240A7E">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根据《排放源统计调查产排污核算方法和系数手册》中工业源重点调查单位污染物产生量或排放量核算方法有两种，参考同类企业，用《排放源统计调查产排污核算方法和系数手册》中SO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的系数偏大，物料衡算法是指根据物质质量守衡原理，利用物料投入量总和与产出量总和相等，对生产过程中使用的物料变化情况进行定量核算的一种方法。物料衡算法属于产排污系数法的一种特殊形式。故本次使用物料核算法计算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p>
          <w:p w14:paraId="791D61DE">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本项目砖坯使用</w:t>
            </w:r>
            <w:r>
              <w:rPr>
                <w:rFonts w:hint="eastAsia" w:cs="Times New Roman"/>
                <w:color w:val="000000" w:themeColor="text1"/>
                <w:lang w:val="en-US" w:eastAsia="zh-CN"/>
                <w14:textFill>
                  <w14:solidFill>
                    <w14:schemeClr w14:val="tx1"/>
                  </w14:solidFill>
                </w14:textFill>
              </w:rPr>
              <w:t>煤矸石</w:t>
            </w:r>
            <w:r>
              <w:rPr>
                <w:rFonts w:hint="eastAsia" w:ascii="Times New Roman" w:hAnsi="Times New Roman" w:cs="Times New Roman"/>
                <w:color w:val="000000" w:themeColor="text1"/>
                <w14:textFill>
                  <w14:solidFill>
                    <w14:schemeClr w14:val="tx1"/>
                  </w14:solidFill>
                </w14:textFill>
              </w:rPr>
              <w:t>制成，采用内燃工艺焙烧，烟气中SO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主要由</w:t>
            </w:r>
            <w:r>
              <w:rPr>
                <w:rFonts w:hint="eastAsia" w:cs="Times New Roman"/>
                <w:color w:val="000000" w:themeColor="text1"/>
                <w:lang w:val="en-US" w:eastAsia="zh-CN"/>
                <w14:textFill>
                  <w14:solidFill>
                    <w14:schemeClr w14:val="tx1"/>
                  </w14:solidFill>
                </w14:textFill>
              </w:rPr>
              <w:t>煤矸石</w:t>
            </w:r>
            <w:r>
              <w:rPr>
                <w:rFonts w:hint="eastAsia" w:ascii="Times New Roman" w:hAnsi="Times New Roman" w:cs="Times New Roman"/>
                <w:color w:val="000000" w:themeColor="text1"/>
                <w14:textFill>
                  <w14:solidFill>
                    <w14:schemeClr w14:val="tx1"/>
                  </w14:solidFill>
                </w14:textFill>
              </w:rPr>
              <w:t>中的可燃硫成分燃烧产生，烟气通过双碱法脱硫除尘系统处理，脱硫效率不低于90%。SO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产生及排放量采用物料衡算法，具体公式如下：具体如下：</w:t>
            </w:r>
          </w:p>
          <w:p w14:paraId="1DB0FF7D">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GSO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=B×（1-Mt）×Std×（1-η</w:t>
            </w:r>
            <w:r>
              <w:rPr>
                <w:rFonts w:hint="eastAsia" w:ascii="Times New Roman" w:hAnsi="Times New Roman" w:cs="Times New Roman"/>
                <w:color w:val="000000" w:themeColor="text1"/>
                <w:vertAlign w:val="subscript"/>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）×2</w:t>
            </w:r>
          </w:p>
          <w:p w14:paraId="514342C4">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GSO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=GSO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×（1-η</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p>
          <w:p w14:paraId="68D65803">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式中：GSO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产生量，t/a；GSO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排放量，t/a；</w:t>
            </w:r>
          </w:p>
          <w:p w14:paraId="390F5C73">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B—燃料消耗量t/a，本项目单条隧道窑尾矸消耗量</w:t>
            </w:r>
            <w:r>
              <w:rPr>
                <w:rFonts w:hint="eastAsia" w:ascii="Times New Roman" w:hAnsi="Times New Roman" w:cs="Times New Roman"/>
                <w:color w:val="000000" w:themeColor="text1"/>
                <w:lang w:val="en-US" w:eastAsia="zh-CN"/>
                <w14:textFill>
                  <w14:solidFill>
                    <w14:schemeClr w14:val="tx1"/>
                  </w14:solidFill>
                </w14:textFill>
              </w:rPr>
              <w:t>约366</w:t>
            </w:r>
            <w:r>
              <w:rPr>
                <w:rFonts w:hint="eastAsia" w:ascii="Times New Roman" w:hAnsi="Times New Roman" w:cs="Times New Roman"/>
                <w:color w:val="000000" w:themeColor="text1"/>
                <w14:textFill>
                  <w14:solidFill>
                    <w14:schemeClr w14:val="tx1"/>
                  </w14:solidFill>
                </w14:textFill>
              </w:rPr>
              <w:t>000t/a。</w:t>
            </w:r>
          </w:p>
          <w:p w14:paraId="202B8A4D">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Mt——全水分，%，</w:t>
            </w:r>
            <w:r>
              <w:rPr>
                <w:rFonts w:hint="eastAsia" w:cs="Times New Roman"/>
                <w:color w:val="000000" w:themeColor="text1"/>
                <w:lang w:val="en-US" w:eastAsia="zh-CN"/>
                <w14:textFill>
                  <w14:solidFill>
                    <w14:schemeClr w14:val="tx1"/>
                  </w14:solidFill>
                </w14:textFill>
              </w:rPr>
              <w:t>矸石</w:t>
            </w:r>
            <w:r>
              <w:rPr>
                <w:rFonts w:hint="eastAsia" w:ascii="Times New Roman" w:hAnsi="Times New Roman" w:cs="Times New Roman"/>
                <w:color w:val="000000" w:themeColor="text1"/>
                <w14:textFill>
                  <w14:solidFill>
                    <w14:schemeClr w14:val="tx1"/>
                  </w14:solidFill>
                </w14:textFill>
              </w:rPr>
              <w:t>全水分</w:t>
            </w:r>
            <w:r>
              <w:rPr>
                <w:rFonts w:hint="eastAsia" w:cs="Times New Roman"/>
                <w:color w:val="000000" w:themeColor="text1"/>
                <w:lang w:val="en-US" w:eastAsia="zh-CN"/>
                <w14:textFill>
                  <w14:solidFill>
                    <w14:schemeClr w14:val="tx1"/>
                  </w14:solidFill>
                </w14:textFill>
              </w:rPr>
              <w:t>4.2</w:t>
            </w:r>
            <w:r>
              <w:rPr>
                <w:rFonts w:hint="eastAsia" w:ascii="Times New Roman" w:hAnsi="Times New Roman" w:cs="Times New Roman"/>
                <w:color w:val="000000" w:themeColor="text1"/>
                <w14:textFill>
                  <w14:solidFill>
                    <w14:schemeClr w14:val="tx1"/>
                  </w14:solidFill>
                </w14:textFill>
              </w:rPr>
              <w:t>%；</w:t>
            </w:r>
          </w:p>
          <w:p w14:paraId="30009DA8">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Std——可燃硫含量，%，尾矸为0.15%</w:t>
            </w:r>
          </w:p>
          <w:p w14:paraId="12474849">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η</w:t>
            </w:r>
            <w:r>
              <w:rPr>
                <w:rFonts w:hint="eastAsia" w:ascii="Times New Roman" w:hAnsi="Times New Roman" w:cs="Times New Roman"/>
                <w:color w:val="000000" w:themeColor="text1"/>
                <w:vertAlign w:val="subscript"/>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——砖坯固硫率，取20%</w:t>
            </w:r>
          </w:p>
          <w:p w14:paraId="16197E7C">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η</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——双碱法脱硫系统去除率，90%</w:t>
            </w:r>
          </w:p>
          <w:p w14:paraId="2902F2E3">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由上式计算可知，单条隧道窑的SO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产生量为</w:t>
            </w:r>
            <w:r>
              <w:rPr>
                <w:rFonts w:hint="eastAsia" w:ascii="Times New Roman" w:hAnsi="Times New Roman" w:cs="Times New Roman"/>
                <w:color w:val="000000" w:themeColor="text1"/>
                <w:lang w:val="en-US" w:eastAsia="zh-CN"/>
                <w14:textFill>
                  <w14:solidFill>
                    <w14:schemeClr w14:val="tx1"/>
                  </w14:solidFill>
                </w14:textFill>
              </w:rPr>
              <w:t>716.2</w:t>
            </w:r>
            <w:r>
              <w:rPr>
                <w:rFonts w:hint="eastAsia" w:ascii="Times New Roman" w:hAnsi="Times New Roman" w:cs="Times New Roman"/>
                <w:color w:val="000000" w:themeColor="text1"/>
                <w14:textFill>
                  <w14:solidFill>
                    <w14:schemeClr w14:val="tx1"/>
                  </w14:solidFill>
                </w14:textFill>
              </w:rPr>
              <w:t>t/a，隧道窑年运行时间5040h，烟气量为</w:t>
            </w:r>
            <w:r>
              <w:rPr>
                <w:rFonts w:hint="eastAsia" w:ascii="Times New Roman" w:hAnsi="Times New Roman" w:cs="Times New Roman"/>
                <w:color w:val="000000" w:themeColor="text1"/>
                <w:lang w:val="en-US" w:eastAsia="zh-CN"/>
                <w14:textFill>
                  <w14:solidFill>
                    <w14:schemeClr w14:val="tx1"/>
                  </w14:solidFill>
                </w14:textFill>
              </w:rPr>
              <w:t>452380.59</w:t>
            </w:r>
            <w:r>
              <w:rPr>
                <w:rFonts w:hint="eastAsia" w:ascii="Times New Roman" w:hAnsi="Times New Roman" w:cs="Times New Roman"/>
                <w:color w:val="000000" w:themeColor="text1"/>
                <w14:textFill>
                  <w14:solidFill>
                    <w14:schemeClr w14:val="tx1"/>
                  </w14:solidFill>
                </w14:textFill>
              </w:rPr>
              <w:t>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/h，则SO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产生速率为</w:t>
            </w:r>
            <w:r>
              <w:rPr>
                <w:rFonts w:hint="eastAsia" w:ascii="Times New Roman" w:hAnsi="Times New Roman" w:cs="Times New Roman"/>
                <w:color w:val="000000" w:themeColor="text1"/>
                <w:lang w:val="en-US" w:eastAsia="zh-CN"/>
                <w14:textFill>
                  <w14:solidFill>
                    <w14:schemeClr w14:val="tx1"/>
                  </w14:solidFill>
                </w14:textFill>
              </w:rPr>
              <w:t>142.1</w:t>
            </w:r>
            <w:r>
              <w:rPr>
                <w:rFonts w:hint="eastAsia" w:ascii="Times New Roman" w:hAnsi="Times New Roman" w:cs="Times New Roman"/>
                <w:color w:val="000000" w:themeColor="text1"/>
                <w14:textFill>
                  <w14:solidFill>
                    <w14:schemeClr w14:val="tx1"/>
                  </w14:solidFill>
                </w14:textFill>
              </w:rPr>
              <w:t>kg/h，产生浓度为314.12mg/m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，双碱法脱硫除尘系统脱硫效率为90%，经脱硫塔处理后SO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排放量为</w:t>
            </w:r>
            <w:r>
              <w:rPr>
                <w:rFonts w:hint="eastAsia" w:ascii="Times New Roman" w:hAnsi="Times New Roman" w:cs="Times New Roman"/>
                <w:color w:val="000000" w:themeColor="text1"/>
                <w:lang w:val="en-US" w:eastAsia="zh-CN"/>
                <w14:textFill>
                  <w14:solidFill>
                    <w14:schemeClr w14:val="tx1"/>
                  </w14:solidFill>
                </w14:textFill>
              </w:rPr>
              <w:t>71.6</w:t>
            </w:r>
            <w:r>
              <w:rPr>
                <w:rFonts w:hint="eastAsia" w:ascii="Times New Roman" w:hAnsi="Times New Roman" w:cs="Times New Roman"/>
                <w:color w:val="000000" w:themeColor="text1"/>
                <w14:textFill>
                  <w14:solidFill>
                    <w14:schemeClr w14:val="tx1"/>
                  </w14:solidFill>
                </w14:textFill>
              </w:rPr>
              <w:t>t/a，排放速率</w:t>
            </w:r>
            <w:r>
              <w:rPr>
                <w:rFonts w:hint="eastAsia" w:ascii="Times New Roman" w:hAnsi="Times New Roman" w:cs="Times New Roman"/>
                <w:color w:val="000000" w:themeColor="text1"/>
                <w:lang w:val="en-US" w:eastAsia="zh-CN"/>
                <w14:textFill>
                  <w14:solidFill>
                    <w14:schemeClr w14:val="tx1"/>
                  </w14:solidFill>
                </w14:textFill>
              </w:rPr>
              <w:t>14.2</w:t>
            </w:r>
            <w:r>
              <w:rPr>
                <w:rFonts w:hint="eastAsia" w:ascii="Times New Roman" w:hAnsi="Times New Roman" w:cs="Times New Roman"/>
                <w:color w:val="000000" w:themeColor="text1"/>
                <w14:textFill>
                  <w14:solidFill>
                    <w14:schemeClr w14:val="tx1"/>
                  </w14:solidFill>
                </w14:textFill>
              </w:rPr>
              <w:t>kg/h，排放浓度31.41mg/m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，则两条隧道窑的SO</w:t>
            </w:r>
            <w:r>
              <w:rPr>
                <w:rFonts w:hint="eastAsia" w:ascii="Times New Roman" w:hAnsi="Times New Roman" w:cs="Times New Roman"/>
                <w:color w:val="000000" w:themeColor="text1"/>
                <w:vertAlign w:val="sub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排放量为</w:t>
            </w:r>
            <w:r>
              <w:rPr>
                <w:rFonts w:hint="eastAsia" w:ascii="Times New Roman" w:hAnsi="Times New Roman" w:cs="Times New Roman"/>
                <w:color w:val="000000" w:themeColor="text1"/>
                <w:lang w:val="en-US" w:eastAsia="zh-CN"/>
                <w14:textFill>
                  <w14:solidFill>
                    <w14:schemeClr w14:val="tx1"/>
                  </w14:solidFill>
                </w14:textFill>
              </w:rPr>
              <w:t>143.2</w:t>
            </w:r>
            <w:r>
              <w:rPr>
                <w:rFonts w:hint="eastAsia" w:ascii="Times New Roman" w:hAnsi="Times New Roman" w:cs="Times New Roman"/>
                <w:color w:val="000000" w:themeColor="text1"/>
                <w14:textFill>
                  <w14:solidFill>
                    <w14:schemeClr w14:val="tx1"/>
                  </w14:solidFill>
                </w14:textFill>
              </w:rPr>
              <w:t>t/a。满足《砖瓦工业大气污染物排放标准》（GB29620-2013）表2及修改单排放限值要求。</w:t>
            </w:r>
          </w:p>
          <w:p w14:paraId="38D50F59">
            <w:pPr>
              <w:ind w:firstLine="480"/>
              <w:rPr>
                <w:rFonts w:ascii="Times New Roman" w:hAnsi="Times New Roman" w:eastAsia="Times New Roman" w:cs="Times New Roman"/>
                <w:color w:val="000000" w:themeColor="text1"/>
                <w:sz w:val="15"/>
                <w:szCs w:val="15"/>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w:t>
            </w:r>
            <w:r>
              <w:rPr>
                <w:color w:val="000000" w:themeColor="text1"/>
                <w:sz w:val="24"/>
                <w:szCs w:val="24"/>
                <w14:textFill>
                  <w14:solidFill>
                    <w14:schemeClr w14:val="tx1"/>
                  </w14:solidFill>
                </w14:textFill>
              </w:rPr>
              <w:t>：</w:t>
            </w:r>
            <w:r>
              <w:rPr>
                <w:rFonts w:ascii="Times New Roman" w:hAnsi="Times New Roman" w:eastAsia="Times New Roman" w:cs="Times New Roman"/>
                <w:b/>
                <w:bCs/>
                <w:color w:val="000000" w:themeColor="text1"/>
                <w:sz w:val="24"/>
                <w:szCs w:val="24"/>
                <w14:textFill>
                  <w14:solidFill>
                    <w14:schemeClr w14:val="tx1"/>
                  </w14:solidFill>
                </w14:textFill>
              </w:rPr>
              <w:t>NO</w:t>
            </w:r>
            <w:r>
              <w:rPr>
                <w:rFonts w:ascii="Times New Roman" w:hAnsi="Times New Roman" w:eastAsia="Times New Roman" w:cs="Times New Roman"/>
                <w:b/>
                <w:bCs/>
                <w:color w:val="000000" w:themeColor="text1"/>
                <w:position w:val="-1"/>
                <w:sz w:val="15"/>
                <w:szCs w:val="15"/>
                <w14:textFill>
                  <w14:solidFill>
                    <w14:schemeClr w14:val="tx1"/>
                  </w14:solidFill>
                </w14:textFill>
              </w:rPr>
              <w:t>X</w:t>
            </w:r>
          </w:p>
          <w:p w14:paraId="54D39818">
            <w:pPr>
              <w:ind w:firstLine="48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单条隧道窑年产烧结砖（折标）</w:t>
            </w:r>
            <w:r>
              <w:rPr>
                <w:rFonts w:hint="eastAsia" w:cs="Times New Roman"/>
                <w:color w:val="000000" w:themeColor="text1"/>
                <w:lang w:val="en-US" w:eastAsia="zh-CN"/>
                <w14:textFill>
                  <w14:solidFill>
                    <w14:schemeClr w14:val="tx1"/>
                  </w14:solidFill>
                </w14:textFill>
              </w:rPr>
              <w:t>15</w:t>
            </w:r>
            <w:r>
              <w:rPr>
                <w:rFonts w:hint="eastAsia" w:ascii="Times New Roman" w:hAnsi="Times New Roman" w:cs="Times New Roman"/>
                <w:color w:val="000000" w:themeColor="text1"/>
                <w14:textFill>
                  <w14:solidFill>
                    <w14:schemeClr w14:val="tx1"/>
                  </w14:solidFill>
                </w14:textFill>
              </w:rPr>
              <w:t>000万块，氮氧化物系数8.16千克/万块标砖，则氮氧化物的产生量为</w:t>
            </w:r>
            <w:r>
              <w:rPr>
                <w:rFonts w:hint="eastAsia" w:ascii="Times New Roman" w:hAnsi="Times New Roman" w:cs="Times New Roman"/>
                <w:color w:val="000000" w:themeColor="text1"/>
                <w:lang w:val="en-US" w:eastAsia="zh-CN"/>
                <w14:textFill>
                  <w14:solidFill>
                    <w14:schemeClr w14:val="tx1"/>
                  </w14:solidFill>
                </w14:textFill>
              </w:rPr>
              <w:t>122.4</w:t>
            </w:r>
            <w:r>
              <w:rPr>
                <w:rFonts w:hint="eastAsia" w:ascii="Times New Roman" w:hAnsi="Times New Roman" w:cs="Times New Roman"/>
                <w:color w:val="000000" w:themeColor="text1"/>
                <w14:textFill>
                  <w14:solidFill>
                    <w14:schemeClr w14:val="tx1"/>
                  </w14:solidFill>
                </w14:textFill>
              </w:rPr>
              <w:t>t/a，产生速率为</w:t>
            </w:r>
            <w:r>
              <w:rPr>
                <w:rFonts w:hint="eastAsia" w:ascii="Times New Roman" w:hAnsi="Times New Roman" w:cs="Times New Roman"/>
                <w:color w:val="000000" w:themeColor="text1"/>
                <w:lang w:val="en-US" w:eastAsia="zh-CN"/>
                <w14:textFill>
                  <w14:solidFill>
                    <w14:schemeClr w14:val="tx1"/>
                  </w14:solidFill>
                </w14:textFill>
              </w:rPr>
              <w:t>24.3</w:t>
            </w:r>
            <w:r>
              <w:rPr>
                <w:rFonts w:hint="eastAsia" w:ascii="Times New Roman" w:hAnsi="Times New Roman" w:cs="Times New Roman"/>
                <w:color w:val="000000" w:themeColor="text1"/>
                <w14:textFill>
                  <w14:solidFill>
                    <w14:schemeClr w14:val="tx1"/>
                  </w14:solidFill>
                </w14:textFill>
              </w:rPr>
              <w:t>kg/h，产生浓度为53.72mg/m</w:t>
            </w:r>
            <w:r>
              <w:rPr>
                <w:rFonts w:hint="eastAsia" w:ascii="Times New Roman" w:hAnsi="Times New Roman" w:cs="Times New Roman"/>
                <w:color w:val="000000" w:themeColor="text1"/>
                <w:vertAlign w:val="superscript"/>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，则两条隧道窑氮氧化物的排放量为</w:t>
            </w:r>
            <w:r>
              <w:rPr>
                <w:rFonts w:hint="eastAsia" w:ascii="Times New Roman" w:hAnsi="Times New Roman" w:cs="Times New Roman"/>
                <w:color w:val="000000" w:themeColor="text1"/>
                <w:lang w:val="en-US" w:eastAsia="zh-CN"/>
                <w14:textFill>
                  <w14:solidFill>
                    <w14:schemeClr w14:val="tx1"/>
                  </w14:solidFill>
                </w14:textFill>
              </w:rPr>
              <w:t>244.8</w:t>
            </w:r>
            <w:r>
              <w:rPr>
                <w:rFonts w:hint="eastAsia" w:ascii="Times New Roman" w:hAnsi="Times New Roman" w:cs="Times New Roman"/>
                <w:color w:val="000000" w:themeColor="text1"/>
                <w14:textFill>
                  <w14:solidFill>
                    <w14:schemeClr w14:val="tx1"/>
                  </w14:solidFill>
                </w14:textFill>
              </w:rPr>
              <w:t>t/a，满足《砖瓦工业大气污染物排放标准》（GB29620-2013）表2及修改单限值要求。</w:t>
            </w:r>
          </w:p>
          <w:p w14:paraId="4140E318">
            <w:pPr>
              <w:ind w:firstLine="48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D</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氟化物</w:t>
            </w:r>
          </w:p>
          <w:p w14:paraId="77C3A457">
            <w:pPr>
              <w:ind w:firstLine="48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根据项目</w:t>
            </w:r>
            <w:r>
              <w:rPr>
                <w:rFonts w:hint="eastAsia" w:ascii="Times New Roman" w:hAnsi="Times New Roman" w:cs="Times New Roman"/>
                <w:color w:val="000000" w:themeColor="text1"/>
                <w:sz w:val="24"/>
                <w:szCs w:val="24"/>
                <w:lang w:val="en-US" w:eastAsia="zh-CN"/>
                <w14:textFill>
                  <w14:solidFill>
                    <w14:schemeClr w14:val="tx1"/>
                  </w14:solidFill>
                </w14:textFill>
              </w:rPr>
              <w:t>矸石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的化学成分，尾矸中含氟量约为0.02%，项目单条隧道窑煤矸石使用量为366000t/a，根据《我国砖瓦厂氟化物的排放及其污染治理研究进展》，砖瓦烧制过程中氟的平均释放率为54.13%，则项目煤矸石总含氟量为</w:t>
            </w:r>
            <w:r>
              <w:rPr>
                <w:rFonts w:hint="eastAsia" w:ascii="Times New Roman" w:hAnsi="Times New Roman" w:cs="Times New Roman"/>
                <w:color w:val="000000" w:themeColor="text1"/>
                <w:sz w:val="24"/>
                <w:szCs w:val="24"/>
                <w:lang w:val="en-US" w:eastAsia="zh-CN"/>
                <w14:textFill>
                  <w14:solidFill>
                    <w14:schemeClr w14:val="tx1"/>
                  </w14:solidFill>
                </w14:textFill>
              </w:rPr>
              <w:t>146.4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t/a，则焙烧废气中氟化物（以氟计）含量为</w:t>
            </w:r>
            <w:r>
              <w:rPr>
                <w:rFonts w:hint="eastAsia" w:ascii="Times New Roman" w:hAnsi="Times New Roman" w:cs="Times New Roman"/>
                <w:color w:val="000000" w:themeColor="text1"/>
                <w:sz w:val="24"/>
                <w:szCs w:val="24"/>
                <w:lang w:val="en-US" w:eastAsia="zh-CN"/>
                <w14:textFill>
                  <w14:solidFill>
                    <w14:schemeClr w14:val="tx1"/>
                  </w14:solidFill>
                </w14:textFill>
              </w:rPr>
              <w:t>79.25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t/a，产生浓度为</w:t>
            </w:r>
            <w:r>
              <w:rPr>
                <w:rFonts w:hint="eastAsia" w:ascii="Times New Roman" w:hAnsi="Times New Roman" w:cs="Times New Roman"/>
                <w:color w:val="000000" w:themeColor="text1"/>
                <w:sz w:val="24"/>
                <w:szCs w:val="24"/>
                <w:lang w:val="en-US" w:eastAsia="zh-CN"/>
                <w14:textFill>
                  <w14:solidFill>
                    <w14:schemeClr w14:val="tx1"/>
                  </w14:solidFill>
                </w14:textFill>
              </w:rPr>
              <w:t>34.76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mg/m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，产生速率为</w:t>
            </w:r>
            <w:r>
              <w:rPr>
                <w:rFonts w:hint="eastAsia" w:ascii="Times New Roman" w:hAnsi="Times New Roman" w:cs="Times New Roman"/>
                <w:color w:val="000000" w:themeColor="text1"/>
                <w:sz w:val="24"/>
                <w:szCs w:val="24"/>
                <w:lang w:val="en-US" w:eastAsia="zh-CN"/>
                <w14:textFill>
                  <w14:solidFill>
                    <w14:schemeClr w14:val="tx1"/>
                  </w14:solidFill>
                </w14:textFill>
              </w:rPr>
              <w:t>15.7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kg/h，根据钙钠双碱法工艺，氟去除率为96%，处理后经28m高排气筒进入大气，则氟化物排放量为</w:t>
            </w:r>
            <w:r>
              <w:rPr>
                <w:rFonts w:hint="eastAsia" w:ascii="Times New Roman" w:hAnsi="Times New Roman" w:cs="Times New Roman"/>
                <w:color w:val="000000" w:themeColor="text1"/>
                <w:sz w:val="24"/>
                <w:szCs w:val="24"/>
                <w:lang w:val="en-US" w:eastAsia="zh-CN"/>
                <w14:textFill>
                  <w14:solidFill>
                    <w14:schemeClr w14:val="tx1"/>
                  </w14:solidFill>
                </w14:textFill>
              </w:rPr>
              <w:t>3.17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t/a。则氟化物排放速率为0.</w:t>
            </w:r>
            <w:r>
              <w:rPr>
                <w:rFonts w:hint="eastAsia" w:ascii="Times New Roman" w:hAnsi="Times New Roman" w:cs="Times New Roman"/>
                <w:color w:val="000000" w:themeColor="text1"/>
                <w:sz w:val="24"/>
                <w:szCs w:val="24"/>
                <w:lang w:val="en-US" w:eastAsia="zh-CN"/>
                <w14:textFill>
                  <w14:solidFill>
                    <w14:schemeClr w14:val="tx1"/>
                  </w14:solidFill>
                </w14:textFill>
              </w:rPr>
              <w:t>628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kg/h，排放浓度约为</w:t>
            </w:r>
            <w:r>
              <w:rPr>
                <w:rFonts w:hint="eastAsia" w:ascii="Times New Roman" w:hAnsi="Times New Roman" w:cs="Times New Roman"/>
                <w:color w:val="000000" w:themeColor="text1"/>
                <w:sz w:val="24"/>
                <w:szCs w:val="24"/>
                <w:lang w:val="en-US" w:eastAsia="zh-CN"/>
                <w14:textFill>
                  <w14:solidFill>
                    <w14:schemeClr w14:val="tx1"/>
                  </w14:solidFill>
                </w14:textFill>
              </w:rPr>
              <w:t>1.39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mg/m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，可以满足《砖瓦工业大气污染物排放标准》（GB29620-2013）表2及修改单排放限值要求。</w:t>
            </w:r>
          </w:p>
          <w:p w14:paraId="559CB401">
            <w:pPr>
              <w:ind w:firstLine="48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项目隧道窑烟气经双碱法脱硫除尘系统处理后，由1根28m高烟囱排放，隧道窑烟气中颗粒物、SO2、NOx及氟化物均可满足《砖瓦工业大气污染物排放标准》（GB29620-2013）表2及修改单排放限值要求。</w:t>
            </w:r>
          </w:p>
          <w:p w14:paraId="7A3379A6">
            <w:pPr>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根据两种计算结果污染物排放量取较大值：颗粒物19.5t/a、SO</w:t>
            </w:r>
            <w:r>
              <w:rPr>
                <w:rFonts w:hint="eastAsia" w:ascii="Times New Roman" w:hAnsi="Times New Roman"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143.2t/a、NOx 244.8t/a、氟化物8.92t/a。</w:t>
            </w:r>
          </w:p>
          <w:p w14:paraId="7AB7AB5E">
            <w:pPr>
              <w:pStyle w:val="1256"/>
              <w:tabs>
                <w:tab w:val="left" w:pos="420"/>
              </w:tabs>
              <w:adjustRightInd/>
              <w:snapToGrid/>
              <w:ind w:firstLine="482"/>
              <w:rPr>
                <w:b/>
                <w:bCs/>
                <w:color w:val="000000" w:themeColor="text1"/>
                <w:kern w:val="2"/>
                <w:szCs w:val="24"/>
                <w14:textFill>
                  <w14:solidFill>
                    <w14:schemeClr w14:val="tx1"/>
                  </w14:solidFill>
                </w14:textFill>
              </w:rPr>
            </w:pPr>
            <w:r>
              <w:rPr>
                <w:b/>
                <w:bCs/>
                <w:color w:val="000000" w:themeColor="text1"/>
                <w:kern w:val="2"/>
                <w:szCs w:val="24"/>
                <w14:textFill>
                  <w14:solidFill>
                    <w14:schemeClr w14:val="tx1"/>
                  </w14:solidFill>
                </w14:textFill>
              </w:rPr>
              <w:t>②</w:t>
            </w:r>
            <w:bookmarkEnd w:id="4"/>
            <w:bookmarkEnd w:id="5"/>
            <w:bookmarkEnd w:id="6"/>
            <w:bookmarkEnd w:id="7"/>
            <w:bookmarkEnd w:id="8"/>
            <w:r>
              <w:rPr>
                <w:rFonts w:hint="eastAsia"/>
                <w:b/>
                <w:bCs/>
                <w:color w:val="000000" w:themeColor="text1"/>
                <w:kern w:val="2"/>
                <w:szCs w:val="24"/>
                <w14:textFill>
                  <w14:solidFill>
                    <w14:schemeClr w14:val="tx1"/>
                  </w14:solidFill>
                </w14:textFill>
              </w:rPr>
              <w:t xml:space="preserve"> 水泥筒仓呼吸粉尘</w:t>
            </w:r>
            <w:bookmarkEnd w:id="9"/>
          </w:p>
          <w:p w14:paraId="73362324">
            <w:pPr>
              <w:ind w:firstLine="480"/>
              <w:rPr>
                <w:color w:val="000000" w:themeColor="text1"/>
                <w14:textFill>
                  <w14:solidFill>
                    <w14:schemeClr w14:val="tx1"/>
                  </w14:solidFill>
                </w14:textFill>
              </w:rPr>
            </w:pPr>
            <w:bookmarkStart w:id="10" w:name="_Toc19201"/>
            <w:bookmarkStart w:id="11" w:name="_Toc22001"/>
            <w:bookmarkStart w:id="12" w:name="_Toc23030"/>
            <w:bookmarkStart w:id="13" w:name="_Toc14134"/>
            <w:bookmarkStart w:id="14" w:name="_Toc17251"/>
            <w:r>
              <w:rPr>
                <w:color w:val="000000" w:themeColor="text1"/>
                <w14:textFill>
                  <w14:solidFill>
                    <w14:schemeClr w14:val="tx1"/>
                  </w14:solidFill>
                </w14:textFill>
              </w:rPr>
              <w:t>水泥筒仓在水泥灌装过程中，由于通过管道进入筒仓时进料口在下方，罐装车通过气力输送水泥送至水泥筒仓，卸料速度约为1.2t/min，上料时粉尘会随水泥筒仓里的空气从水泥筒仓顶部的排气孔中排出。</w:t>
            </w:r>
          </w:p>
          <w:p w14:paraId="7EEF0ECA">
            <w:pPr>
              <w:ind w:firstLine="480"/>
              <w:rPr>
                <w:color w:val="000000" w:themeColor="text1"/>
                <w14:textFill>
                  <w14:solidFill>
                    <w14:schemeClr w14:val="tx1"/>
                  </w14:solidFill>
                </w14:textFill>
              </w:rPr>
            </w:pPr>
            <w:r>
              <w:rPr>
                <w:color w:val="000000" w:themeColor="text1"/>
                <w14:textFill>
                  <w14:solidFill>
                    <w14:schemeClr w14:val="tx1"/>
                  </w14:solidFill>
                </w14:textFill>
              </w:rPr>
              <w:t>项目使用水泥总用量为</w:t>
            </w:r>
            <w:r>
              <w:rPr>
                <w:rFonts w:hint="eastAsia"/>
                <w:color w:val="000000" w:themeColor="text1"/>
                <w:lang w:val="en-US" w:eastAsia="zh-CN"/>
                <w14:textFill>
                  <w14:solidFill>
                    <w14:schemeClr w14:val="tx1"/>
                  </w14:solidFill>
                </w14:textFill>
              </w:rPr>
              <w:t>131603.3</w:t>
            </w:r>
            <w:r>
              <w:rPr>
                <w:color w:val="000000" w:themeColor="text1"/>
                <w14:textFill>
                  <w14:solidFill>
                    <w14:schemeClr w14:val="tx1"/>
                  </w14:solidFill>
                </w14:textFill>
              </w:rPr>
              <w:t>t/a，按水泥罐车单车30t计，则年运输车辆为</w:t>
            </w:r>
            <w:r>
              <w:rPr>
                <w:rFonts w:hint="eastAsia"/>
                <w:color w:val="000000" w:themeColor="text1"/>
                <w:lang w:val="en-US" w:eastAsia="zh-CN"/>
                <w14:textFill>
                  <w14:solidFill>
                    <w14:schemeClr w14:val="tx1"/>
                  </w14:solidFill>
                </w14:textFill>
              </w:rPr>
              <w:t>4367</w:t>
            </w:r>
            <w:r>
              <w:rPr>
                <w:color w:val="000000" w:themeColor="text1"/>
                <w14:textFill>
                  <w14:solidFill>
                    <w14:schemeClr w14:val="tx1"/>
                  </w14:solidFill>
                </w14:textFill>
              </w:rPr>
              <w:t>次，</w:t>
            </w:r>
            <w:r>
              <w:rPr>
                <w:rFonts w:hint="eastAsia"/>
                <w:color w:val="000000" w:themeColor="text1"/>
                <w14:textFill>
                  <w14:solidFill>
                    <w14:schemeClr w14:val="tx1"/>
                  </w14:solidFill>
                </w14:textFill>
              </w:rPr>
              <w:t>公司现有</w:t>
            </w:r>
            <w:r>
              <w:rPr>
                <w:color w:val="000000" w:themeColor="text1"/>
                <w14:textFill>
                  <w14:solidFill>
                    <w14:schemeClr w14:val="tx1"/>
                  </w14:solidFill>
                </w14:textFill>
              </w:rPr>
              <w:t>设</w:t>
            </w:r>
            <w:r>
              <w:rPr>
                <w:rFonts w:hint="eastAsia"/>
                <w:color w:val="000000" w:themeColor="text1"/>
                <w14:textFill>
                  <w14:solidFill>
                    <w14:schemeClr w14:val="tx1"/>
                  </w14:solidFill>
                </w14:textFill>
              </w:rPr>
              <w:t>70</w:t>
            </w:r>
            <w:r>
              <w:rPr>
                <w:color w:val="000000" w:themeColor="text1"/>
                <w14:textFill>
                  <w14:solidFill>
                    <w14:schemeClr w14:val="tx1"/>
                  </w14:solidFill>
                </w14:textFill>
              </w:rPr>
              <w:t>t水泥筒仓（1#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个，</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0t水泥筒仓（</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个。</w:t>
            </w:r>
          </w:p>
          <w:p w14:paraId="34175F2F">
            <w:pPr>
              <w:ind w:firstLine="480"/>
              <w:rPr>
                <w:color w:val="000000" w:themeColor="text1"/>
                <w:szCs w:val="24"/>
                <w14:textFill>
                  <w14:solidFill>
                    <w14:schemeClr w14:val="tx1"/>
                  </w14:solidFill>
                </w14:textFill>
              </w:rPr>
            </w:pPr>
            <w:r>
              <w:rPr>
                <w:color w:val="000000" w:themeColor="text1"/>
                <w14:textFill>
                  <w14:solidFill>
                    <w14:schemeClr w14:val="tx1"/>
                  </w14:solidFill>
                </w14:textFill>
              </w:rPr>
              <w:t>各仓顶</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设置1台</w:t>
            </w:r>
            <w:r>
              <w:rPr>
                <w:rFonts w:hint="eastAsia"/>
                <w:color w:val="000000" w:themeColor="text1"/>
                <w14:textFill>
                  <w14:solidFill>
                    <w14:schemeClr w14:val="tx1"/>
                  </w14:solidFill>
                </w14:textFill>
              </w:rPr>
              <w:t>仓顶</w:t>
            </w:r>
            <w:r>
              <w:rPr>
                <w:color w:val="000000" w:themeColor="text1"/>
                <w14:textFill>
                  <w14:solidFill>
                    <w14:schemeClr w14:val="tx1"/>
                  </w14:solidFill>
                </w14:textFill>
              </w:rPr>
              <w:t>除尘器</w:t>
            </w:r>
            <w:r>
              <w:rPr>
                <w:rFonts w:hint="eastAsia"/>
                <w:color w:val="000000" w:themeColor="text1"/>
                <w14:textFill>
                  <w14:solidFill>
                    <w14:schemeClr w14:val="tx1"/>
                  </w14:solidFill>
                </w14:textFill>
              </w:rPr>
              <w:t>（共4台）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除尘器处理效率以99%计，风机风量5000m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/h，处理后经仓顶</w:t>
            </w:r>
            <w:r>
              <w:rPr>
                <w:rFonts w:hint="eastAsia"/>
                <w:color w:val="000000" w:themeColor="text1"/>
                <w:lang w:val="en-US" w:eastAsia="zh-CN"/>
                <w14:textFill>
                  <w14:solidFill>
                    <w14:schemeClr w14:val="tx1"/>
                  </w14:solidFill>
                </w14:textFill>
              </w:rPr>
              <w:t>排放</w:t>
            </w:r>
            <w:r>
              <w:rPr>
                <w:rFonts w:hint="eastAsia"/>
                <w:color w:val="000000" w:themeColor="text1"/>
                <w:szCs w:val="24"/>
                <w14:textFill>
                  <w14:solidFill>
                    <w14:schemeClr w14:val="tx1"/>
                  </w14:solidFill>
                </w14:textFill>
              </w:rPr>
              <w:t>。</w:t>
            </w:r>
          </w:p>
          <w:p w14:paraId="7FAB550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本项目相比《新建300万吨/年矿物固废煤矸石综合处置再利用项目》竣工验收时，水泥最大存量无变化，使用量及运输量明显减少</w:t>
            </w:r>
            <w:r>
              <w:rPr>
                <w:rFonts w:hint="eastAsia"/>
                <w:color w:val="000000" w:themeColor="text1"/>
                <w:szCs w:val="24"/>
                <w14:textFill>
                  <w14:solidFill>
                    <w14:schemeClr w14:val="tx1"/>
                  </w14:solidFill>
                </w14:textFill>
              </w:rPr>
              <w:t>。故本项目建设后，</w:t>
            </w:r>
            <w:bookmarkEnd w:id="10"/>
            <w:bookmarkEnd w:id="11"/>
            <w:bookmarkEnd w:id="12"/>
            <w:bookmarkEnd w:id="13"/>
            <w:bookmarkEnd w:id="14"/>
            <w:bookmarkStart w:id="15" w:name="_Toc10733"/>
            <w:bookmarkStart w:id="16" w:name="_Toc24111"/>
            <w:bookmarkStart w:id="17" w:name="_Toc31299"/>
            <w:bookmarkStart w:id="18" w:name="_Toc20059"/>
            <w:bookmarkStart w:id="19" w:name="_Toc26707"/>
            <w:bookmarkStart w:id="20" w:name="_Toc21175"/>
            <w:r>
              <w:rPr>
                <w:rFonts w:hint="eastAsia"/>
                <w:color w:val="000000" w:themeColor="text1"/>
                <w:szCs w:val="24"/>
                <w14:textFill>
                  <w14:solidFill>
                    <w14:schemeClr w14:val="tx1"/>
                  </w14:solidFill>
                </w14:textFill>
              </w:rPr>
              <w:t>水泥筒仓呼吸粉尘排放量不会增大，能够满足《水泥工业大气污染物排放标准》（GB4915-2013）允许排放浓度20mg/m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的要求，排放量引用原环评中的预测结果，颗粒物0.4t/a。</w:t>
            </w:r>
            <w:bookmarkEnd w:id="15"/>
            <w:bookmarkEnd w:id="16"/>
            <w:bookmarkEnd w:id="17"/>
            <w:bookmarkEnd w:id="18"/>
            <w:bookmarkEnd w:id="19"/>
            <w:bookmarkEnd w:id="20"/>
          </w:p>
          <w:p w14:paraId="6AE9EE44">
            <w:pPr>
              <w:pStyle w:val="1256"/>
              <w:tabs>
                <w:tab w:val="left" w:pos="420"/>
              </w:tabs>
              <w:adjustRightInd/>
              <w:snapToGrid/>
              <w:ind w:left="480" w:leftChars="200" w:firstLine="0" w:firstLineChars="0"/>
              <w:rPr>
                <w:b/>
                <w:bCs/>
                <w:color w:val="000000" w:themeColor="text1"/>
                <w:kern w:val="2"/>
                <w:szCs w:val="24"/>
                <w14:textFill>
                  <w14:solidFill>
                    <w14:schemeClr w14:val="tx1"/>
                  </w14:solidFill>
                </w14:textFill>
              </w:rPr>
            </w:pPr>
            <w:r>
              <w:rPr>
                <w:b/>
                <w:bCs/>
                <w:color w:val="000000" w:themeColor="text1"/>
                <w:kern w:val="2"/>
                <w:szCs w:val="24"/>
                <w14:textFill>
                  <w14:solidFill>
                    <w14:schemeClr w14:val="tx1"/>
                  </w14:solidFill>
                </w14:textFill>
              </w:rPr>
              <w:t>2）无组织排放</w:t>
            </w:r>
          </w:p>
          <w:p w14:paraId="2B66A94E">
            <w:pPr>
              <w:pStyle w:val="1256"/>
              <w:tabs>
                <w:tab w:val="left" w:pos="420"/>
              </w:tabs>
              <w:adjustRightInd/>
              <w:snapToGrid/>
              <w:ind w:firstLine="482"/>
              <w:rPr>
                <w:b/>
                <w:bCs/>
                <w:color w:val="000000" w:themeColor="text1"/>
                <w:kern w:val="2"/>
                <w:szCs w:val="24"/>
                <w14:textFill>
                  <w14:solidFill>
                    <w14:schemeClr w14:val="tx1"/>
                  </w14:solidFill>
                </w14:textFill>
              </w:rPr>
            </w:pPr>
            <w:r>
              <w:rPr>
                <w:b/>
                <w:bCs/>
                <w:color w:val="000000" w:themeColor="text1"/>
                <w:kern w:val="2"/>
                <w:szCs w:val="24"/>
                <w14:textFill>
                  <w14:solidFill>
                    <w14:schemeClr w14:val="tx1"/>
                  </w14:solidFill>
                </w14:textFill>
              </w:rPr>
              <w:t>① 煤矸石破碎筛分废气</w:t>
            </w:r>
          </w:p>
          <w:p w14:paraId="1C79DFE4">
            <w:pPr>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项目煤矸石破碎筛分工序在全封闭库房内进行，物料输送全部为密闭通廊，参照《逸散性工业粉尘控制技术》煤加工过程二级破碎和筛选的排放因子为0.08kg/t，本项目洗选工段入洗原料为</w:t>
            </w:r>
            <w:r>
              <w:rPr>
                <w:rFonts w:hint="eastAsia"/>
                <w:color w:val="000000" w:themeColor="text1"/>
                <w:szCs w:val="24"/>
                <w:lang w:val="en-US" w:eastAsia="zh-CN"/>
                <w14:textFill>
                  <w14:solidFill>
                    <w14:schemeClr w14:val="tx1"/>
                  </w14:solidFill>
                </w14:textFill>
              </w:rPr>
              <w:t>226.8</w:t>
            </w:r>
            <w:r>
              <w:rPr>
                <w:color w:val="000000" w:themeColor="text1"/>
                <w:szCs w:val="24"/>
                <w14:textFill>
                  <w14:solidFill>
                    <w14:schemeClr w14:val="tx1"/>
                  </w14:solidFill>
                </w14:textFill>
              </w:rPr>
              <w:t>万吨煤矸石，年生产天数为210天，工作时间为24h，则年运行时间为5040h。粉尘经车间密闭+6台雾炮除尘后无组织排放。</w:t>
            </w:r>
          </w:p>
          <w:p w14:paraId="0A8EFD68">
            <w:pPr>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本项目相比《新建 300 万吨/年矿物固废煤矸石综合处置再利用项目》竣工验收时，工艺、设备、处理措施均未发生变化、</w:t>
            </w:r>
            <w:r>
              <w:rPr>
                <w:rFonts w:hint="eastAsia"/>
                <w:color w:val="000000" w:themeColor="text1"/>
                <w:szCs w:val="24"/>
                <w:lang w:val="en-US" w:eastAsia="zh-CN"/>
                <w14:textFill>
                  <w14:solidFill>
                    <w14:schemeClr w14:val="tx1"/>
                  </w14:solidFill>
                </w14:textFill>
              </w:rPr>
              <w:t>入洗量减少</w:t>
            </w:r>
            <w:r>
              <w:rPr>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原环评</w:t>
            </w:r>
            <w:r>
              <w:rPr>
                <w:color w:val="000000" w:themeColor="text1"/>
                <w:szCs w:val="24"/>
                <w14:textFill>
                  <w14:solidFill>
                    <w14:schemeClr w14:val="tx1"/>
                  </w14:solidFill>
                </w14:textFill>
              </w:rPr>
              <w:t>粉尘无组织排放量约为2.04t/a。验收监测结果显示洗煤破碎筛分工序周边颗粒物浓度最大值为0.128mg/m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，对环境影响很小，故本次评价认为煤矸石破碎筛分废气产生量不会增大，至厂界处能够满足</w:t>
            </w:r>
            <w:r>
              <w:rPr>
                <w:color w:val="000000" w:themeColor="text1"/>
                <w14:textFill>
                  <w14:solidFill>
                    <w14:schemeClr w14:val="tx1"/>
                  </w14:solidFill>
                </w14:textFill>
              </w:rPr>
              <w:t>《砖瓦工业大气污染物排放标准》（GB29620-2013）表3及修改单中标准</w:t>
            </w:r>
            <w:r>
              <w:rPr>
                <w:color w:val="000000" w:themeColor="text1"/>
                <w:szCs w:val="24"/>
                <w14:textFill>
                  <w14:solidFill>
                    <w14:schemeClr w14:val="tx1"/>
                  </w14:solidFill>
                </w14:textFill>
              </w:rPr>
              <w:t>。</w:t>
            </w:r>
          </w:p>
          <w:p w14:paraId="2A9C2E83">
            <w:pPr>
              <w:pStyle w:val="32"/>
              <w:ind w:left="0" w:leftChars="0" w:firstLine="482"/>
              <w:rPr>
                <w:b/>
                <w:bCs/>
                <w:color w:val="000000" w:themeColor="text1"/>
                <w:kern w:val="2"/>
                <w:szCs w:val="24"/>
                <w14:textFill>
                  <w14:solidFill>
                    <w14:schemeClr w14:val="tx1"/>
                  </w14:solidFill>
                </w14:textFill>
              </w:rPr>
            </w:pPr>
            <w:r>
              <w:rPr>
                <w:b/>
                <w:bCs/>
                <w:color w:val="000000" w:themeColor="text1"/>
                <w:kern w:val="2"/>
                <w:szCs w:val="24"/>
                <w14:textFill>
                  <w14:solidFill>
                    <w14:schemeClr w14:val="tx1"/>
                  </w14:solidFill>
                </w14:textFill>
              </w:rPr>
              <w:t>② 烧结砖备料工序破碎废气</w:t>
            </w:r>
          </w:p>
          <w:p w14:paraId="44B1261D">
            <w:pPr>
              <w:ind w:firstLine="480"/>
              <w:rPr>
                <w:color w:val="000000" w:themeColor="text1"/>
                <w:szCs w:val="24"/>
                <w14:textFill>
                  <w14:solidFill>
                    <w14:schemeClr w14:val="tx1"/>
                  </w14:solidFill>
                </w14:textFill>
              </w:rPr>
            </w:pPr>
            <w:bookmarkStart w:id="21" w:name="_Toc10310"/>
            <w:bookmarkStart w:id="22" w:name="_Toc10446"/>
            <w:bookmarkStart w:id="23" w:name="_Toc6635"/>
            <w:bookmarkStart w:id="24" w:name="_Toc32497"/>
            <w:r>
              <w:rPr>
                <w:color w:val="000000" w:themeColor="text1"/>
                <w:szCs w:val="24"/>
                <w14:textFill>
                  <w14:solidFill>
                    <w14:schemeClr w14:val="tx1"/>
                  </w14:solidFill>
                </w14:textFill>
              </w:rPr>
              <w:t>项目烧结砖备料工序中主要产尘源为</w:t>
            </w:r>
            <w:r>
              <w:rPr>
                <w:rFonts w:hint="eastAsia"/>
                <w:color w:val="000000" w:themeColor="text1"/>
                <w:szCs w:val="24"/>
                <w:lang w:val="en-US" w:eastAsia="zh-CN"/>
                <w14:textFill>
                  <w14:solidFill>
                    <w14:schemeClr w14:val="tx1"/>
                  </w14:solidFill>
                </w14:textFill>
              </w:rPr>
              <w:t>矸石</w:t>
            </w:r>
            <w:r>
              <w:rPr>
                <w:color w:val="000000" w:themeColor="text1"/>
                <w:szCs w:val="24"/>
                <w14:textFill>
                  <w14:solidFill>
                    <w14:schemeClr w14:val="tx1"/>
                  </w14:solidFill>
                </w14:textFill>
              </w:rPr>
              <w:t>破碎过程，该工序年运行时间为5040h。项目将破碎机设置于密闭车间内，物料输送全部为密闭通廊，参照《逸散性工业粉尘控制技术》，砖和粘土产品制造厂一级破碎的排放因子为0.125kg/t，项目备料工序年处理</w:t>
            </w:r>
            <w:r>
              <w:rPr>
                <w:rFonts w:hint="eastAsia"/>
                <w:color w:val="000000" w:themeColor="text1"/>
                <w:szCs w:val="24"/>
                <w:lang w:val="en-US" w:eastAsia="zh-CN"/>
                <w14:textFill>
                  <w14:solidFill>
                    <w14:schemeClr w14:val="tx1"/>
                  </w14:solidFill>
                </w14:textFill>
              </w:rPr>
              <w:t>矸石73.185</w:t>
            </w:r>
            <w:r>
              <w:rPr>
                <w:color w:val="000000" w:themeColor="text1"/>
                <w:szCs w:val="24"/>
                <w14:textFill>
                  <w14:solidFill>
                    <w14:schemeClr w14:val="tx1"/>
                  </w14:solidFill>
                </w14:textFill>
              </w:rPr>
              <w:t>万t，则破碎粉尘产生量为</w:t>
            </w:r>
            <w:r>
              <w:rPr>
                <w:rFonts w:hint="eastAsia"/>
                <w:color w:val="000000" w:themeColor="text1"/>
                <w:szCs w:val="24"/>
                <w:lang w:val="en-US" w:eastAsia="zh-CN"/>
                <w14:textFill>
                  <w14:solidFill>
                    <w14:schemeClr w14:val="tx1"/>
                  </w14:solidFill>
                </w14:textFill>
              </w:rPr>
              <w:t>91.5</w:t>
            </w:r>
            <w:r>
              <w:rPr>
                <w:color w:val="000000" w:themeColor="text1"/>
                <w:szCs w:val="24"/>
                <w14:textFill>
                  <w14:solidFill>
                    <w14:schemeClr w14:val="tx1"/>
                  </w14:solidFill>
                </w14:textFill>
              </w:rPr>
              <w:t>t/a，烧结砖生产线（年生产210天，每天24小时），故产生速率为</w:t>
            </w:r>
            <w:r>
              <w:rPr>
                <w:rFonts w:hint="eastAsia"/>
                <w:color w:val="000000" w:themeColor="text1"/>
                <w:szCs w:val="24"/>
                <w:lang w:val="en-US" w:eastAsia="zh-CN"/>
                <w14:textFill>
                  <w14:solidFill>
                    <w14:schemeClr w14:val="tx1"/>
                  </w14:solidFill>
                </w14:textFill>
              </w:rPr>
              <w:t>18.15</w:t>
            </w:r>
            <w:r>
              <w:rPr>
                <w:color w:val="000000" w:themeColor="text1"/>
                <w:szCs w:val="24"/>
                <w14:textFill>
                  <w14:solidFill>
                    <w14:schemeClr w14:val="tx1"/>
                  </w14:solidFill>
                </w14:textFill>
              </w:rPr>
              <w:t>kg/h，在破碎产尘点上方分别设集尘罩，集气效率90%，因此进入集气罩系统的粉尘量为</w:t>
            </w:r>
            <w:r>
              <w:rPr>
                <w:rFonts w:hint="eastAsia"/>
                <w:color w:val="000000" w:themeColor="text1"/>
                <w:szCs w:val="24"/>
                <w:lang w:val="en-US" w:eastAsia="zh-CN"/>
                <w14:textFill>
                  <w14:solidFill>
                    <w14:schemeClr w14:val="tx1"/>
                  </w14:solidFill>
                </w14:textFill>
              </w:rPr>
              <w:t>82.35</w:t>
            </w:r>
            <w:r>
              <w:rPr>
                <w:color w:val="000000" w:themeColor="text1"/>
                <w:szCs w:val="24"/>
                <w14:textFill>
                  <w14:solidFill>
                    <w14:schemeClr w14:val="tx1"/>
                  </w14:solidFill>
                </w14:textFill>
              </w:rPr>
              <w:t>t/a，</w:t>
            </w:r>
            <w:r>
              <w:rPr>
                <w:rFonts w:hint="eastAsia"/>
                <w:color w:val="000000" w:themeColor="text1"/>
                <w:szCs w:val="24"/>
                <w:lang w:val="en-US" w:eastAsia="zh-CN"/>
                <w14:textFill>
                  <w14:solidFill>
                    <w14:schemeClr w14:val="tx1"/>
                  </w14:solidFill>
                </w14:textFill>
              </w:rPr>
              <w:t>16.335</w:t>
            </w:r>
            <w:r>
              <w:rPr>
                <w:color w:val="000000" w:themeColor="text1"/>
                <w:szCs w:val="24"/>
                <w14:textFill>
                  <w14:solidFill>
                    <w14:schemeClr w14:val="tx1"/>
                  </w14:solidFill>
                </w14:textFill>
              </w:rPr>
              <w:t>kg/h，破碎筛分粉尘经DMC-500型单机脉冲式布袋除尘器处理后在车间内排放。烧结砖备料工序破碎废气</w:t>
            </w:r>
            <w:r>
              <w:rPr>
                <w:rFonts w:hint="eastAsia"/>
                <w:color w:val="000000" w:themeColor="text1"/>
                <w:szCs w:val="24"/>
                <w:lang w:val="en-US" w:eastAsia="zh-CN"/>
                <w14:textFill>
                  <w14:solidFill>
                    <w14:schemeClr w14:val="tx1"/>
                  </w14:solidFill>
                </w14:textFill>
              </w:rPr>
              <w:t>无组织</w:t>
            </w:r>
            <w:r>
              <w:rPr>
                <w:color w:val="000000" w:themeColor="text1"/>
                <w:szCs w:val="24"/>
                <w14:textFill>
                  <w14:solidFill>
                    <w14:schemeClr w14:val="tx1"/>
                  </w14:solidFill>
                </w14:textFill>
              </w:rPr>
              <w:t>粉尘排放量为</w:t>
            </w:r>
            <w:r>
              <w:rPr>
                <w:rFonts w:hint="eastAsia"/>
                <w:color w:val="000000" w:themeColor="text1"/>
                <w:szCs w:val="24"/>
                <w:lang w:val="en-US" w:eastAsia="zh-CN"/>
                <w14:textFill>
                  <w14:solidFill>
                    <w14:schemeClr w14:val="tx1"/>
                  </w14:solidFill>
                </w14:textFill>
              </w:rPr>
              <w:t>9.15</w:t>
            </w:r>
            <w:r>
              <w:rPr>
                <w:color w:val="000000" w:themeColor="text1"/>
                <w:szCs w:val="24"/>
                <w14:textFill>
                  <w14:solidFill>
                    <w14:schemeClr w14:val="tx1"/>
                  </w14:solidFill>
                </w14:textFill>
              </w:rPr>
              <w:t>t/a，排放速率</w:t>
            </w:r>
            <w:r>
              <w:rPr>
                <w:rFonts w:hint="eastAsia"/>
                <w:color w:val="000000" w:themeColor="text1"/>
                <w:szCs w:val="24"/>
                <w:lang w:val="en-US" w:eastAsia="zh-CN"/>
                <w14:textFill>
                  <w14:solidFill>
                    <w14:schemeClr w14:val="tx1"/>
                  </w14:solidFill>
                </w14:textFill>
              </w:rPr>
              <w:t>1.815</w:t>
            </w:r>
            <w:r>
              <w:rPr>
                <w:color w:val="000000" w:themeColor="text1"/>
                <w:szCs w:val="24"/>
                <w14:textFill>
                  <w14:solidFill>
                    <w14:schemeClr w14:val="tx1"/>
                  </w14:solidFill>
                </w14:textFill>
              </w:rPr>
              <w:t>kg/h。</w:t>
            </w:r>
            <w:bookmarkEnd w:id="21"/>
            <w:r>
              <w:rPr>
                <w:color w:val="000000" w:themeColor="text1"/>
                <w:szCs w:val="24"/>
                <w14:textFill>
                  <w14:solidFill>
                    <w14:schemeClr w14:val="tx1"/>
                  </w14:solidFill>
                </w14:textFill>
              </w:rPr>
              <w:t>为了防止破碎筛分工序散溢到周围空气中的粉 尘对周围环境的影响，环评建议在产尘点设置洒水喷雾装置（除尘效率按 90% 计），最终破碎、筛分环节无组织粉尘排放量约为</w:t>
            </w:r>
            <w:r>
              <w:rPr>
                <w:rFonts w:hint="eastAsia"/>
                <w:color w:val="000000" w:themeColor="text1"/>
                <w:szCs w:val="24"/>
                <w:lang w:val="en-US" w:eastAsia="zh-CN"/>
                <w14:textFill>
                  <w14:solidFill>
                    <w14:schemeClr w14:val="tx1"/>
                  </w14:solidFill>
                </w14:textFill>
              </w:rPr>
              <w:t>0.915</w:t>
            </w:r>
            <w:r>
              <w:rPr>
                <w:color w:val="000000" w:themeColor="text1"/>
                <w:szCs w:val="24"/>
                <w14:textFill>
                  <w14:solidFill>
                    <w14:schemeClr w14:val="tx1"/>
                  </w14:solidFill>
                </w14:textFill>
              </w:rPr>
              <w:t>t/a，</w:t>
            </w:r>
            <w:r>
              <w:rPr>
                <w:rFonts w:hint="eastAsia"/>
                <w:color w:val="000000" w:themeColor="text1"/>
                <w:szCs w:val="24"/>
                <w:lang w:val="en-US" w:eastAsia="zh-CN"/>
                <w14:textFill>
                  <w14:solidFill>
                    <w14:schemeClr w14:val="tx1"/>
                  </w14:solidFill>
                </w14:textFill>
              </w:rPr>
              <w:t>0.1815</w:t>
            </w:r>
            <w:r>
              <w:rPr>
                <w:color w:val="000000" w:themeColor="text1"/>
                <w:szCs w:val="24"/>
                <w14:textFill>
                  <w14:solidFill>
                    <w14:schemeClr w14:val="tx1"/>
                  </w14:solidFill>
                </w14:textFill>
              </w:rPr>
              <w:t>kg/h。</w:t>
            </w:r>
          </w:p>
          <w:p w14:paraId="5B100E29">
            <w:pPr>
              <w:pStyle w:val="32"/>
              <w:ind w:left="0" w:leftChars="0" w:firstLine="482"/>
              <w:rPr>
                <w:b/>
                <w:bCs/>
                <w:color w:val="000000" w:themeColor="text1"/>
                <w:kern w:val="2"/>
                <w:szCs w:val="24"/>
                <w14:textFill>
                  <w14:solidFill>
                    <w14:schemeClr w14:val="tx1"/>
                  </w14:solidFill>
                </w14:textFill>
              </w:rPr>
            </w:pPr>
            <w:r>
              <w:rPr>
                <w:b/>
                <w:bCs/>
                <w:color w:val="000000" w:themeColor="text1"/>
                <w:kern w:val="2"/>
                <w:szCs w:val="24"/>
                <w14:textFill>
                  <w14:solidFill>
                    <w14:schemeClr w14:val="tx1"/>
                  </w14:solidFill>
                </w14:textFill>
              </w:rPr>
              <w:t>③ 免烧砖备料工序破碎废气</w:t>
            </w:r>
          </w:p>
          <w:p w14:paraId="11FC1CC1">
            <w:pPr>
              <w:ind w:firstLine="480"/>
              <w:rPr>
                <w:color w:val="000000" w:themeColor="text1"/>
                <w:szCs w:val="24"/>
                <w14:textFill>
                  <w14:solidFill>
                    <w14:schemeClr w14:val="tx1"/>
                  </w14:solidFill>
                </w14:textFill>
              </w:rPr>
            </w:pPr>
            <w:bookmarkStart w:id="25" w:name="_Toc23448"/>
            <w:r>
              <w:rPr>
                <w:color w:val="000000" w:themeColor="text1"/>
                <w:szCs w:val="24"/>
                <w14:textFill>
                  <w14:solidFill>
                    <w14:schemeClr w14:val="tx1"/>
                  </w14:solidFill>
                </w14:textFill>
              </w:rPr>
              <w:t>项目免烧砖备料工序中主要产尘源为尾矸破碎过程，该工序年生产天数为240天，工作时间为24h，则年运行时间为5760h。项目将破碎机设置于密闭车间内，物料输送全部为密闭通廊，参照《逸散性工业粉尘控制技术》，砖和粘土产品制造厂一级破碎的排放因子为0.125kg/t，项目备料工序年处理尾矸约</w:t>
            </w:r>
            <w:r>
              <w:rPr>
                <w:rFonts w:hint="eastAsia"/>
                <w:color w:val="000000" w:themeColor="text1"/>
                <w:szCs w:val="24"/>
                <w:lang w:val="en-US" w:eastAsia="zh-CN"/>
                <w14:textFill>
                  <w14:solidFill>
                    <w14:schemeClr w14:val="tx1"/>
                  </w14:solidFill>
                </w14:textFill>
              </w:rPr>
              <w:t>64.4</w:t>
            </w:r>
            <w:r>
              <w:rPr>
                <w:color w:val="000000" w:themeColor="text1"/>
                <w:szCs w:val="24"/>
                <w14:textFill>
                  <w14:solidFill>
                    <w14:schemeClr w14:val="tx1"/>
                  </w14:solidFill>
                </w14:textFill>
              </w:rPr>
              <w:t>万t，则破碎粉尘产生量为</w:t>
            </w:r>
            <w:r>
              <w:rPr>
                <w:rFonts w:hint="eastAsia"/>
                <w:color w:val="000000" w:themeColor="text1"/>
                <w:szCs w:val="24"/>
                <w:lang w:val="en-US" w:eastAsia="zh-CN"/>
                <w14:textFill>
                  <w14:solidFill>
                    <w14:schemeClr w14:val="tx1"/>
                  </w14:solidFill>
                </w14:textFill>
              </w:rPr>
              <w:t>51.52</w:t>
            </w:r>
            <w:r>
              <w:rPr>
                <w:color w:val="000000" w:themeColor="text1"/>
                <w:szCs w:val="24"/>
                <w14:textFill>
                  <w14:solidFill>
                    <w14:schemeClr w14:val="tx1"/>
                  </w14:solidFill>
                </w14:textFill>
              </w:rPr>
              <w:t>t/a，免烧砖生产线（年生产240天，每天24小时），产生速率为</w:t>
            </w:r>
            <w:r>
              <w:rPr>
                <w:rFonts w:hint="eastAsia"/>
                <w:color w:val="000000" w:themeColor="text1"/>
                <w:szCs w:val="24"/>
                <w:lang w:val="en-US" w:eastAsia="zh-CN"/>
                <w14:textFill>
                  <w14:solidFill>
                    <w14:schemeClr w14:val="tx1"/>
                  </w14:solidFill>
                </w14:textFill>
              </w:rPr>
              <w:t>8.95</w:t>
            </w:r>
            <w:r>
              <w:rPr>
                <w:color w:val="000000" w:themeColor="text1"/>
                <w:szCs w:val="24"/>
                <w14:textFill>
                  <w14:solidFill>
                    <w14:schemeClr w14:val="tx1"/>
                  </w14:solidFill>
                </w14:textFill>
              </w:rPr>
              <w:t>kg/h。在破碎产尘点上方分别设集尘罩，集气效率90%，因此进入集气罩系统的粉尘量为</w:t>
            </w:r>
            <w:r>
              <w:rPr>
                <w:rFonts w:hint="eastAsia"/>
                <w:color w:val="000000" w:themeColor="text1"/>
                <w:szCs w:val="24"/>
                <w:lang w:val="en-US" w:eastAsia="zh-CN"/>
                <w14:textFill>
                  <w14:solidFill>
                    <w14:schemeClr w14:val="tx1"/>
                  </w14:solidFill>
                </w14:textFill>
              </w:rPr>
              <w:t>46.37</w:t>
            </w:r>
            <w:r>
              <w:rPr>
                <w:color w:val="000000" w:themeColor="text1"/>
                <w:szCs w:val="24"/>
                <w14:textFill>
                  <w14:solidFill>
                    <w14:schemeClr w14:val="tx1"/>
                  </w14:solidFill>
                </w14:textFill>
              </w:rPr>
              <w:t>t/a，</w:t>
            </w:r>
            <w:r>
              <w:rPr>
                <w:rFonts w:hint="eastAsia"/>
                <w:color w:val="000000" w:themeColor="text1"/>
                <w:szCs w:val="24"/>
                <w:lang w:val="en-US" w:eastAsia="zh-CN"/>
                <w14:textFill>
                  <w14:solidFill>
                    <w14:schemeClr w14:val="tx1"/>
                  </w14:solidFill>
                </w14:textFill>
              </w:rPr>
              <w:t>8.055</w:t>
            </w:r>
            <w:r>
              <w:rPr>
                <w:color w:val="000000" w:themeColor="text1"/>
                <w:szCs w:val="24"/>
                <w14:textFill>
                  <w14:solidFill>
                    <w14:schemeClr w14:val="tx1"/>
                  </w14:solidFill>
                </w14:textFill>
              </w:rPr>
              <w:t>kg/h，破碎筛分粉尘经DMC-500型单机脉冲式布袋除尘器处理后在车间内排放。烧结砖备料工序破碎废气粉尘排放量约为</w:t>
            </w:r>
            <w:r>
              <w:rPr>
                <w:rFonts w:hint="eastAsia"/>
                <w:color w:val="000000" w:themeColor="text1"/>
                <w:szCs w:val="24"/>
                <w:lang w:val="en-US" w:eastAsia="zh-CN"/>
                <w14:textFill>
                  <w14:solidFill>
                    <w14:schemeClr w14:val="tx1"/>
                  </w14:solidFill>
                </w14:textFill>
              </w:rPr>
              <w:t>5.15</w:t>
            </w:r>
            <w:r>
              <w:rPr>
                <w:color w:val="000000" w:themeColor="text1"/>
                <w:szCs w:val="24"/>
                <w14:textFill>
                  <w14:solidFill>
                    <w14:schemeClr w14:val="tx1"/>
                  </w14:solidFill>
                </w14:textFill>
              </w:rPr>
              <w:t>t/a，排放速率0.</w:t>
            </w:r>
            <w:r>
              <w:rPr>
                <w:rFonts w:hint="eastAsia"/>
                <w:color w:val="000000" w:themeColor="text1"/>
                <w:szCs w:val="24"/>
                <w:lang w:val="en-US" w:eastAsia="zh-CN"/>
                <w14:textFill>
                  <w14:solidFill>
                    <w14:schemeClr w14:val="tx1"/>
                  </w14:solidFill>
                </w14:textFill>
              </w:rPr>
              <w:t>895</w:t>
            </w:r>
            <w:r>
              <w:rPr>
                <w:color w:val="000000" w:themeColor="text1"/>
                <w:szCs w:val="24"/>
                <w14:textFill>
                  <w14:solidFill>
                    <w14:schemeClr w14:val="tx1"/>
                  </w14:solidFill>
                </w14:textFill>
              </w:rPr>
              <w:t>kg/h。为了防止破碎筛分工序散溢到周围空气中的粉 尘对周围环境的影响，环评建议在产尘点设置洒水喷雾装置（除尘效率按 90% 计），最终破碎、筛分环节无组织粉尘排放量约为0.</w:t>
            </w:r>
            <w:r>
              <w:rPr>
                <w:rFonts w:hint="eastAsia"/>
                <w:color w:val="000000" w:themeColor="text1"/>
                <w:szCs w:val="24"/>
                <w:lang w:val="en-US" w:eastAsia="zh-CN"/>
                <w14:textFill>
                  <w14:solidFill>
                    <w14:schemeClr w14:val="tx1"/>
                  </w14:solidFill>
                </w14:textFill>
              </w:rPr>
              <w:t>515</w:t>
            </w:r>
            <w:r>
              <w:rPr>
                <w:color w:val="000000" w:themeColor="text1"/>
                <w:szCs w:val="24"/>
                <w14:textFill>
                  <w14:solidFill>
                    <w14:schemeClr w14:val="tx1"/>
                  </w14:solidFill>
                </w14:textFill>
              </w:rPr>
              <w:t>t/a，0.0</w:t>
            </w:r>
            <w:r>
              <w:rPr>
                <w:rFonts w:hint="eastAsia"/>
                <w:color w:val="000000" w:themeColor="text1"/>
                <w:szCs w:val="24"/>
                <w:lang w:val="en-US" w:eastAsia="zh-CN"/>
                <w14:textFill>
                  <w14:solidFill>
                    <w14:schemeClr w14:val="tx1"/>
                  </w14:solidFill>
                </w14:textFill>
              </w:rPr>
              <w:t>895</w:t>
            </w:r>
            <w:r>
              <w:rPr>
                <w:color w:val="000000" w:themeColor="text1"/>
                <w:szCs w:val="24"/>
                <w14:textFill>
                  <w14:solidFill>
                    <w14:schemeClr w14:val="tx1"/>
                  </w14:solidFill>
                </w14:textFill>
              </w:rPr>
              <w:t>kg/h。</w:t>
            </w:r>
          </w:p>
          <w:bookmarkEnd w:id="22"/>
          <w:bookmarkEnd w:id="23"/>
          <w:bookmarkEnd w:id="24"/>
          <w:bookmarkEnd w:id="25"/>
          <w:p w14:paraId="0FE7D422">
            <w:pPr>
              <w:pStyle w:val="32"/>
              <w:ind w:left="0" w:leftChars="0" w:firstLine="482"/>
              <w:rPr>
                <w:b/>
                <w:bCs/>
                <w:color w:val="000000" w:themeColor="text1"/>
                <w:kern w:val="2"/>
                <w:szCs w:val="24"/>
                <w14:textFill>
                  <w14:solidFill>
                    <w14:schemeClr w14:val="tx1"/>
                  </w14:solidFill>
                </w14:textFill>
              </w:rPr>
            </w:pPr>
            <w:r>
              <w:rPr>
                <w:b/>
                <w:bCs/>
                <w:color w:val="000000" w:themeColor="text1"/>
                <w:kern w:val="2"/>
                <w:szCs w:val="24"/>
                <w14:textFill>
                  <w14:solidFill>
                    <w14:schemeClr w14:val="tx1"/>
                  </w14:solidFill>
                </w14:textFill>
              </w:rPr>
              <w:t>④ 机制砂备料工序破碎废气</w:t>
            </w:r>
          </w:p>
          <w:p w14:paraId="4BC1E2C9">
            <w:pPr>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机制砂备料工序中主要产尘源为尾矸破碎过程，该工序年生产天数为240天，工作时间为24h，则年运行时间为5760h。项目将破碎机设置于密闭车间内，物料输送全部为密闭通廊，参照《逸散性工业粉尘控制技术》，砖和粘土产品制造厂一级破碎的排放因子为0.125kg/t，项目备料工序年处理尾矸约</w:t>
            </w:r>
            <w:r>
              <w:rPr>
                <w:rFonts w:hint="eastAsia"/>
                <w:color w:val="000000" w:themeColor="text1"/>
                <w:szCs w:val="24"/>
                <w:lang w:val="en-US" w:eastAsia="zh-CN"/>
                <w14:textFill>
                  <w14:solidFill>
                    <w14:schemeClr w14:val="tx1"/>
                  </w14:solidFill>
                </w14:textFill>
              </w:rPr>
              <w:t>83.25</w:t>
            </w:r>
            <w:r>
              <w:rPr>
                <w:color w:val="000000" w:themeColor="text1"/>
                <w:szCs w:val="24"/>
                <w14:textFill>
                  <w14:solidFill>
                    <w14:schemeClr w14:val="tx1"/>
                  </w14:solidFill>
                </w14:textFill>
              </w:rPr>
              <w:t>万t，则破碎粉尘产生量为</w:t>
            </w:r>
            <w:r>
              <w:rPr>
                <w:rFonts w:hint="eastAsia"/>
                <w:color w:val="000000" w:themeColor="text1"/>
                <w:szCs w:val="24"/>
                <w:lang w:val="en-US" w:eastAsia="zh-CN"/>
                <w14:textFill>
                  <w14:solidFill>
                    <w14:schemeClr w14:val="tx1"/>
                  </w14:solidFill>
                </w14:textFill>
              </w:rPr>
              <w:t>104.1</w:t>
            </w:r>
            <w:r>
              <w:rPr>
                <w:color w:val="000000" w:themeColor="text1"/>
                <w:szCs w:val="24"/>
                <w14:textFill>
                  <w14:solidFill>
                    <w14:schemeClr w14:val="tx1"/>
                  </w14:solidFill>
                </w14:textFill>
              </w:rPr>
              <w:t>t/a，机制砂生产线（年生产240天，每天24小时），产生速率为</w:t>
            </w:r>
            <w:r>
              <w:rPr>
                <w:rFonts w:hint="eastAsia"/>
                <w:color w:val="000000" w:themeColor="text1"/>
                <w:szCs w:val="24"/>
                <w:lang w:val="en-US" w:eastAsia="zh-CN"/>
                <w14:textFill>
                  <w14:solidFill>
                    <w14:schemeClr w14:val="tx1"/>
                  </w14:solidFill>
                </w14:textFill>
              </w:rPr>
              <w:t>18.1</w:t>
            </w:r>
            <w:r>
              <w:rPr>
                <w:color w:val="000000" w:themeColor="text1"/>
                <w:szCs w:val="24"/>
                <w14:textFill>
                  <w14:solidFill>
                    <w14:schemeClr w14:val="tx1"/>
                  </w14:solidFill>
                </w14:textFill>
              </w:rPr>
              <w:t>kg/h。在破碎产尘点上方分别设集尘罩，集气效率90%，因此进入集气罩系统的粉尘量为</w:t>
            </w:r>
            <w:r>
              <w:rPr>
                <w:rFonts w:hint="eastAsia"/>
                <w:color w:val="000000" w:themeColor="text1"/>
                <w:szCs w:val="24"/>
                <w:lang w:val="en-US" w:eastAsia="zh-CN"/>
                <w14:textFill>
                  <w14:solidFill>
                    <w14:schemeClr w14:val="tx1"/>
                  </w14:solidFill>
                </w14:textFill>
              </w:rPr>
              <w:t>93.69</w:t>
            </w:r>
            <w:r>
              <w:rPr>
                <w:color w:val="000000" w:themeColor="text1"/>
                <w:szCs w:val="24"/>
                <w14:textFill>
                  <w14:solidFill>
                    <w14:schemeClr w14:val="tx1"/>
                  </w14:solidFill>
                </w14:textFill>
              </w:rPr>
              <w:t>t/a，</w:t>
            </w:r>
            <w:r>
              <w:rPr>
                <w:rFonts w:hint="eastAsia"/>
                <w:color w:val="000000" w:themeColor="text1"/>
                <w:szCs w:val="24"/>
                <w:lang w:val="en-US" w:eastAsia="zh-CN"/>
                <w14:textFill>
                  <w14:solidFill>
                    <w14:schemeClr w14:val="tx1"/>
                  </w14:solidFill>
                </w14:textFill>
              </w:rPr>
              <w:t>16.29</w:t>
            </w:r>
            <w:r>
              <w:rPr>
                <w:color w:val="000000" w:themeColor="text1"/>
                <w:szCs w:val="24"/>
                <w14:textFill>
                  <w14:solidFill>
                    <w14:schemeClr w14:val="tx1"/>
                  </w14:solidFill>
                </w14:textFill>
              </w:rPr>
              <w:t>kg/h，破碎筛分粉尘经DMC-500型单机脉冲式布袋除尘器处理后在车间内排放。</w:t>
            </w:r>
            <w:r>
              <w:rPr>
                <w:rFonts w:hint="eastAsia"/>
                <w:color w:val="000000" w:themeColor="text1"/>
                <w:szCs w:val="24"/>
                <w:lang w:val="en-US" w:eastAsia="zh-CN"/>
                <w14:textFill>
                  <w14:solidFill>
                    <w14:schemeClr w14:val="tx1"/>
                  </w14:solidFill>
                </w14:textFill>
              </w:rPr>
              <w:t>机制砂</w:t>
            </w:r>
            <w:r>
              <w:rPr>
                <w:color w:val="000000" w:themeColor="text1"/>
                <w:szCs w:val="24"/>
                <w14:textFill>
                  <w14:solidFill>
                    <w14:schemeClr w14:val="tx1"/>
                  </w14:solidFill>
                </w14:textFill>
              </w:rPr>
              <w:t>备料工序破碎废气粉尘排放量约为</w:t>
            </w:r>
            <w:r>
              <w:rPr>
                <w:rFonts w:hint="eastAsia"/>
                <w:color w:val="000000" w:themeColor="text1"/>
                <w:szCs w:val="24"/>
                <w:lang w:val="en-US" w:eastAsia="zh-CN"/>
                <w14:textFill>
                  <w14:solidFill>
                    <w14:schemeClr w14:val="tx1"/>
                  </w14:solidFill>
                </w14:textFill>
              </w:rPr>
              <w:t>11.35</w:t>
            </w:r>
            <w:r>
              <w:rPr>
                <w:color w:val="000000" w:themeColor="text1"/>
                <w:szCs w:val="24"/>
                <w14:textFill>
                  <w14:solidFill>
                    <w14:schemeClr w14:val="tx1"/>
                  </w14:solidFill>
                </w14:textFill>
              </w:rPr>
              <w:t>t/a，排放速率</w:t>
            </w:r>
            <w:r>
              <w:rPr>
                <w:rFonts w:hint="eastAsia"/>
                <w:color w:val="000000" w:themeColor="text1"/>
                <w:szCs w:val="24"/>
                <w:lang w:val="en-US" w:eastAsia="zh-CN"/>
                <w14:textFill>
                  <w14:solidFill>
                    <w14:schemeClr w14:val="tx1"/>
                  </w14:solidFill>
                </w14:textFill>
              </w:rPr>
              <w:t>1.97</w:t>
            </w:r>
            <w:r>
              <w:rPr>
                <w:color w:val="000000" w:themeColor="text1"/>
                <w:szCs w:val="24"/>
                <w14:textFill>
                  <w14:solidFill>
                    <w14:schemeClr w14:val="tx1"/>
                  </w14:solidFill>
                </w14:textFill>
              </w:rPr>
              <w:t>kg/h。为了防止破碎筛分工序散溢到周围空气中的粉尘对周围环境的影响，环评建议在产尘点设置洒水喷雾装置（除尘效率按 90% 计），最终破碎、筛分环节无组织粉尘排放量约为1.</w:t>
            </w:r>
            <w:r>
              <w:rPr>
                <w:rFonts w:hint="eastAsia"/>
                <w:color w:val="000000" w:themeColor="text1"/>
                <w:szCs w:val="24"/>
                <w:lang w:val="en-US" w:eastAsia="zh-CN"/>
                <w14:textFill>
                  <w14:solidFill>
                    <w14:schemeClr w14:val="tx1"/>
                  </w14:solidFill>
                </w14:textFill>
              </w:rPr>
              <w:t>135</w:t>
            </w:r>
            <w:r>
              <w:rPr>
                <w:color w:val="000000" w:themeColor="text1"/>
                <w:szCs w:val="24"/>
                <w14:textFill>
                  <w14:solidFill>
                    <w14:schemeClr w14:val="tx1"/>
                  </w14:solidFill>
                </w14:textFill>
              </w:rPr>
              <w:t>t/a，0.</w:t>
            </w:r>
            <w:r>
              <w:rPr>
                <w:rFonts w:hint="eastAsia"/>
                <w:color w:val="000000" w:themeColor="text1"/>
                <w:szCs w:val="24"/>
                <w:lang w:val="en-US" w:eastAsia="zh-CN"/>
                <w14:textFill>
                  <w14:solidFill>
                    <w14:schemeClr w14:val="tx1"/>
                  </w14:solidFill>
                </w14:textFill>
              </w:rPr>
              <w:t>197</w:t>
            </w:r>
            <w:r>
              <w:rPr>
                <w:color w:val="000000" w:themeColor="text1"/>
                <w:szCs w:val="24"/>
                <w14:textFill>
                  <w14:solidFill>
                    <w14:schemeClr w14:val="tx1"/>
                  </w14:solidFill>
                </w14:textFill>
              </w:rPr>
              <w:t>kg/h。</w:t>
            </w:r>
          </w:p>
          <w:p w14:paraId="682608F7">
            <w:pPr>
              <w:pStyle w:val="32"/>
              <w:ind w:left="0" w:leftChars="0" w:firstLine="482"/>
              <w:rPr>
                <w:b/>
                <w:bCs/>
                <w:color w:val="000000" w:themeColor="text1"/>
                <w:kern w:val="2"/>
                <w:szCs w:val="24"/>
                <w14:textFill>
                  <w14:solidFill>
                    <w14:schemeClr w14:val="tx1"/>
                  </w14:solidFill>
                </w14:textFill>
              </w:rPr>
            </w:pPr>
            <w:r>
              <w:rPr>
                <w:b/>
                <w:bCs/>
                <w:color w:val="000000" w:themeColor="text1"/>
                <w:kern w:val="2"/>
                <w:szCs w:val="24"/>
                <w14:textFill>
                  <w14:solidFill>
                    <w14:schemeClr w14:val="tx1"/>
                  </w14:solidFill>
                </w14:textFill>
              </w:rPr>
              <w:t>⑤ 场内道路运输扬尘</w:t>
            </w:r>
          </w:p>
          <w:p w14:paraId="1632E4AB">
            <w:pPr>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项目物料的运入与产品的运出采用汽车运输，本项目各物料在运输过程中会产生道路扬尘，原料运进后同时运出产品，可减少周转次数，减轻运输扬尘对大气的污染。本项目运输量按4</w:t>
            </w:r>
            <w:r>
              <w:rPr>
                <w:rFonts w:hint="eastAsia"/>
                <w:color w:val="000000" w:themeColor="text1"/>
                <w:szCs w:val="24"/>
                <w:lang w:val="en-US" w:eastAsia="zh-CN"/>
                <w14:textFill>
                  <w14:solidFill>
                    <w14:schemeClr w14:val="tx1"/>
                  </w14:solidFill>
                </w14:textFill>
              </w:rPr>
              <w:t>2</w:t>
            </w:r>
            <w:r>
              <w:rPr>
                <w:color w:val="000000" w:themeColor="text1"/>
                <w:szCs w:val="24"/>
                <w14:textFill>
                  <w14:solidFill>
                    <w14:schemeClr w14:val="tx1"/>
                  </w14:solidFill>
                </w14:textFill>
              </w:rPr>
              <w:t>1万t/a计，汽车载重按40t计。厂区道路起尘扬尘的计算公式如下：</w:t>
            </w:r>
          </w:p>
          <w:p w14:paraId="397B2E0B">
            <w:pPr>
              <w:ind w:firstLine="480"/>
              <w:jc w:val="center"/>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027" o:spt="75" type="#_x0000_t75" style="height:28.55pt;width:159.6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7" r:id="rId25">
                  <o:LockedField>false</o:LockedField>
                </o:OLEObject>
              </w:object>
            </w:r>
          </w:p>
          <w:p w14:paraId="45A21F22">
            <w:pPr>
              <w:ind w:firstLine="480"/>
              <w:jc w:val="center"/>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028" o:spt="75" type="#_x0000_t75" style="height:29.9pt;width:85.6pt;" o:ole="t" filled="f" o:preferrelative="t" stroked="f" coordsize="21600,21600">
                  <v:path/>
                  <v:fill on="f" focussize="0,0"/>
                  <v:stroke on="f" joinstyle="miter"/>
                  <v:imagedata r:id="rId28" o:title=""/>
                  <o:lock v:ext="edit" aspectratio="t"/>
                  <w10:wrap type="none"/>
                  <w10:anchorlock/>
                </v:shape>
                <o:OLEObject Type="Embed" ProgID="Equation.3" ShapeID="_x0000_i1028" DrawAspect="Content" ObjectID="_1468075728" r:id="rId27">
                  <o:LockedField>false</o:LockedField>
                </o:OLEObject>
              </w:object>
            </w:r>
          </w:p>
          <w:p w14:paraId="77912B99">
            <w:pPr>
              <w:ind w:firstLine="480"/>
              <w:rPr>
                <w:color w:val="000000" w:themeColor="text1"/>
                <w14:textFill>
                  <w14:solidFill>
                    <w14:schemeClr w14:val="tx1"/>
                  </w14:solidFill>
                </w14:textFill>
              </w:rPr>
            </w:pPr>
            <w:r>
              <w:rPr>
                <w:color w:val="000000" w:themeColor="text1"/>
                <w14:textFill>
                  <w14:solidFill>
                    <w14:schemeClr w14:val="tx1"/>
                  </w14:solidFill>
                </w14:textFill>
              </w:rPr>
              <w:t>式中：Qp</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——道路扬尘量（kg/a）；</w:t>
            </w:r>
          </w:p>
          <w:p w14:paraId="17427B07">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Qp——每辆汽车行驶扬尘量（kg/km.辆）；</w:t>
            </w:r>
          </w:p>
          <w:p w14:paraId="6C768B7D">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V——车辆速度（10km/h）；</w:t>
            </w:r>
          </w:p>
          <w:p w14:paraId="1AD23359">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M——车辆载重（40t/辆）；</w:t>
            </w:r>
          </w:p>
          <w:p w14:paraId="0D089768">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P——道路灰尘覆盖量，路面状况以每平方米路面灰尘覆盖率表示，Kg/m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（以0.05kg/m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计）</w:t>
            </w:r>
          </w:p>
          <w:p w14:paraId="1DA51B7E">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L——运距（0.1km）；</w:t>
            </w:r>
          </w:p>
          <w:p w14:paraId="621C78C7">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Q——运输量（4</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1万t/a）。</w:t>
            </w:r>
          </w:p>
          <w:p w14:paraId="7952597C">
            <w:pPr>
              <w:pStyle w:val="31"/>
              <w:widowControl w:val="0"/>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则车辆动力起尘量为0.21kg/km·辆，</w:t>
            </w:r>
            <w:r>
              <w:rPr>
                <w:rFonts w:hint="eastAsia"/>
                <w:color w:val="000000" w:themeColor="text1"/>
                <w:szCs w:val="24"/>
                <w:lang w:eastAsia="zh-CN"/>
                <w14:textFill>
                  <w14:solidFill>
                    <w14:schemeClr w14:val="tx1"/>
                  </w14:solidFill>
                </w14:textFill>
              </w:rPr>
              <w:t>22.1</w:t>
            </w:r>
            <w:r>
              <w:rPr>
                <w:color w:val="000000" w:themeColor="text1"/>
                <w:szCs w:val="24"/>
                <w14:textFill>
                  <w14:solidFill>
                    <w14:schemeClr w14:val="tx1"/>
                  </w14:solidFill>
                </w14:textFill>
              </w:rPr>
              <w:t>t/a。</w:t>
            </w:r>
            <w:r>
              <w:rPr>
                <w:color w:val="000000" w:themeColor="text1"/>
                <w14:textFill>
                  <w14:solidFill>
                    <w14:schemeClr w14:val="tx1"/>
                  </w14:solidFill>
                </w14:textFill>
              </w:rPr>
              <w:t>进场道路已全部硬化，</w:t>
            </w:r>
            <w:r>
              <w:rPr>
                <w:color w:val="000000" w:themeColor="text1"/>
                <w:szCs w:val="24"/>
                <w14:textFill>
                  <w14:solidFill>
                    <w14:schemeClr w14:val="tx1"/>
                  </w14:solidFill>
                </w14:textFill>
              </w:rPr>
              <w:t>定时对运输道路进行洒水抑尘，物料输送均采用封闭车辆，并限制车速，经采取以上降尘治理措施后，起尘量会减少90%，则</w:t>
            </w:r>
            <w:r>
              <w:rPr>
                <w:color w:val="000000" w:themeColor="text1"/>
                <w14:textFill>
                  <w14:solidFill>
                    <w14:schemeClr w14:val="tx1"/>
                  </w14:solidFill>
                </w14:textFill>
              </w:rPr>
              <w:t>厂区道路扬尘无组织排放量</w:t>
            </w:r>
            <w:r>
              <w:rPr>
                <w:color w:val="000000" w:themeColor="text1"/>
                <w:szCs w:val="24"/>
                <w14:textFill>
                  <w14:solidFill>
                    <w14:schemeClr w14:val="tx1"/>
                  </w14:solidFill>
                </w14:textFill>
              </w:rPr>
              <w:t>约为</w:t>
            </w:r>
            <w:r>
              <w:rPr>
                <w:rFonts w:hint="eastAsia"/>
                <w:color w:val="000000" w:themeColor="text1"/>
                <w:szCs w:val="24"/>
                <w:lang w:eastAsia="zh-CN"/>
                <w14:textFill>
                  <w14:solidFill>
                    <w14:schemeClr w14:val="tx1"/>
                  </w14:solidFill>
                </w14:textFill>
              </w:rPr>
              <w:t>2.21</w:t>
            </w:r>
            <w:r>
              <w:rPr>
                <w:color w:val="000000" w:themeColor="text1"/>
                <w:szCs w:val="24"/>
                <w14:textFill>
                  <w14:solidFill>
                    <w14:schemeClr w14:val="tx1"/>
                  </w14:solidFill>
                </w14:textFill>
              </w:rPr>
              <w:t>t/a。</w:t>
            </w:r>
          </w:p>
          <w:p w14:paraId="673FD92A">
            <w:pPr>
              <w:pStyle w:val="31"/>
              <w:widowControl w:val="0"/>
              <w:spacing w:after="0"/>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⑥</w:t>
            </w:r>
            <w:bookmarkStart w:id="26" w:name="_Toc482"/>
            <w:r>
              <w:rPr>
                <w:rFonts w:hint="eastAsia"/>
                <w:color w:val="000000" w:themeColor="text1"/>
                <w:szCs w:val="24"/>
                <w14:textFill>
                  <w14:solidFill>
                    <w14:schemeClr w14:val="tx1"/>
                  </w14:solidFill>
                </w14:textFill>
              </w:rPr>
              <w:t xml:space="preserve"> 原料运转、转载粉尘</w:t>
            </w:r>
            <w:bookmarkEnd w:id="26"/>
            <w:r>
              <w:rPr>
                <w:rFonts w:hint="eastAsia"/>
                <w:color w:val="000000" w:themeColor="text1"/>
                <w:szCs w:val="24"/>
                <w14:textFill>
                  <w14:solidFill>
                    <w14:schemeClr w14:val="tx1"/>
                  </w14:solidFill>
                </w14:textFill>
              </w:rPr>
              <w:t xml:space="preserve"> </w:t>
            </w:r>
          </w:p>
          <w:p w14:paraId="177B087C">
            <w:pPr>
              <w:pStyle w:val="31"/>
              <w:widowControl w:val="0"/>
              <w:spacing w:after="0"/>
              <w:ind w:firstLine="480"/>
              <w:rPr>
                <w:color w:val="000000" w:themeColor="text1"/>
                <w:szCs w:val="24"/>
                <w14:textFill>
                  <w14:solidFill>
                    <w14:schemeClr w14:val="tx1"/>
                  </w14:solidFill>
                </w14:textFill>
              </w:rPr>
            </w:pPr>
            <w:bookmarkStart w:id="27" w:name="_Toc29549"/>
            <w:r>
              <w:rPr>
                <w:rFonts w:hint="eastAsia"/>
                <w:color w:val="000000" w:themeColor="text1"/>
                <w:szCs w:val="24"/>
                <w14:textFill>
                  <w14:solidFill>
                    <w14:schemeClr w14:val="tx1"/>
                  </w14:solidFill>
                </w14:textFill>
              </w:rPr>
              <w:t>项目设全封闭原料储存棚。物料在厂区输送转运、装载等过程中均有无组织粉尘</w:t>
            </w:r>
            <w:r>
              <w:rPr>
                <w:color w:val="000000" w:themeColor="text1"/>
                <w:szCs w:val="24"/>
                <w14:textFill>
                  <w14:solidFill>
                    <w14:schemeClr w14:val="tx1"/>
                  </w14:solidFill>
                </w14:textFill>
              </w:rPr>
              <w:t>排放。环评要求物料采取皮带运输机及封闭廊道，物料输送设备的机头溜槽上加设盖罩，进料端加胶皮挡帘等措施。同时要求各落料点及转载点均设置喷雾洒水装置，可有效抑制粉尘外逸</w:t>
            </w:r>
            <w:r>
              <w:rPr>
                <w:rFonts w:hint="eastAsia"/>
                <w:color w:val="000000" w:themeColor="text1"/>
                <w:szCs w:val="24"/>
                <w14:textFill>
                  <w14:solidFill>
                    <w14:schemeClr w14:val="tx1"/>
                  </w14:solidFill>
                </w14:textFill>
              </w:rPr>
              <w:t>。</w:t>
            </w:r>
            <w:bookmarkEnd w:id="27"/>
          </w:p>
          <w:p w14:paraId="660149EC">
            <w:pPr>
              <w:pStyle w:val="31"/>
              <w:widowControl w:val="0"/>
              <w:spacing w:after="0"/>
              <w:ind w:firstLine="480"/>
              <w:rPr>
                <w:color w:val="000000" w:themeColor="text1"/>
                <w:szCs w:val="24"/>
                <w14:textFill>
                  <w14:solidFill>
                    <w14:schemeClr w14:val="tx1"/>
                  </w14:solidFill>
                </w14:textFill>
              </w:rPr>
            </w:pPr>
            <w:bookmarkStart w:id="28" w:name="_Toc15206"/>
            <w:r>
              <w:rPr>
                <w:rFonts w:hint="eastAsia"/>
                <w:color w:val="000000" w:themeColor="text1"/>
                <w:szCs w:val="24"/>
                <w14:textFill>
                  <w14:solidFill>
                    <w14:schemeClr w14:val="tx1"/>
                  </w14:solidFill>
                </w14:textFill>
              </w:rPr>
              <w:t>对照《排污许可证申请与核发技术规范陶瓷砖瓦工业》（HJ954-2018），本项目所采取的无组织控制措施符合HJ954-2018中表23砖瓦工业排污单位无组织排放控制要求。采取相应抑尘措施后无组织粉尘大部分在厂区内沉降，煤矸石洗选工段区域物料储运、转载、装卸等过程无组织粉尘排放速率约为0.3kg/h，原料库和破碎车间区物料储运、转载等过程无组织粉尘排放速率约为0.5kg/h，制砖车间和隧道窑区域无组织粉尘排放速率约为0.25kg/h，满足《砖瓦工业大气污染物排放标准》（GB29620-2013）及其修改单表3限值要求</w:t>
            </w:r>
            <w:r>
              <w:rPr>
                <w:color w:val="000000" w:themeColor="text1"/>
                <w:szCs w:val="24"/>
                <w14:textFill>
                  <w14:solidFill>
                    <w14:schemeClr w14:val="tx1"/>
                  </w14:solidFill>
                </w14:textFill>
              </w:rPr>
              <w:t>。在采取上述措施后，原料转运、转载粉尘产生、排放量较小，对周围环境影响较小</w:t>
            </w:r>
            <w:r>
              <w:rPr>
                <w:rFonts w:hint="eastAsia"/>
                <w:color w:val="000000" w:themeColor="text1"/>
                <w:szCs w:val="24"/>
                <w14:textFill>
                  <w14:solidFill>
                    <w14:schemeClr w14:val="tx1"/>
                  </w14:solidFill>
                </w14:textFill>
              </w:rPr>
              <w:t>。</w:t>
            </w:r>
            <w:bookmarkEnd w:id="28"/>
          </w:p>
          <w:p w14:paraId="5A7DCA82">
            <w:pPr>
              <w:ind w:firstLine="48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（2）污染物核算</w:t>
            </w:r>
          </w:p>
          <w:p w14:paraId="26CECD05">
            <w:pPr>
              <w:ind w:firstLine="480"/>
              <w:rPr>
                <w:rFonts w:hint="eastAsia" w:ascii="宋体" w:hAnsi="宋体" w:cs="宋体"/>
                <w:bCs/>
                <w:color w:val="000000" w:themeColor="text1"/>
                <w:kern w:val="24"/>
                <w:lang w:bidi="ar"/>
                <w14:textFill>
                  <w14:solidFill>
                    <w14:schemeClr w14:val="tx1"/>
                  </w14:solidFill>
                </w14:textFill>
              </w:rPr>
            </w:pPr>
            <w:r>
              <w:rPr>
                <w:rFonts w:hint="eastAsia" w:ascii="宋体" w:hAnsi="宋体" w:cs="宋体"/>
                <w:bCs/>
                <w:color w:val="000000" w:themeColor="text1"/>
                <w:kern w:val="24"/>
                <w:lang w:bidi="ar"/>
                <w14:textFill>
                  <w14:solidFill>
                    <w14:schemeClr w14:val="tx1"/>
                  </w14:solidFill>
                </w14:textFill>
              </w:rPr>
              <w:t>本项目大气污染物排放量核算见下表：</w:t>
            </w:r>
          </w:p>
          <w:p w14:paraId="164B14B4">
            <w:pPr>
              <w:ind w:firstLine="480"/>
              <w:rPr>
                <w:rFonts w:hint="eastAsia" w:ascii="宋体" w:hAnsi="宋体" w:cs="宋体"/>
                <w:bCs/>
                <w:color w:val="000000" w:themeColor="text1"/>
                <w:kern w:val="24"/>
                <w:lang w:bidi="ar"/>
                <w14:textFill>
                  <w14:solidFill>
                    <w14:schemeClr w14:val="tx1"/>
                  </w14:solidFill>
                </w14:textFill>
              </w:rPr>
            </w:pPr>
          </w:p>
          <w:p w14:paraId="438C4DBE">
            <w:pPr>
              <w:ind w:firstLine="480"/>
              <w:rPr>
                <w:rFonts w:hint="eastAsia" w:ascii="宋体" w:hAnsi="宋体" w:cs="宋体"/>
                <w:bCs/>
                <w:color w:val="000000" w:themeColor="text1"/>
                <w:kern w:val="24"/>
                <w:lang w:bidi="ar"/>
                <w14:textFill>
                  <w14:solidFill>
                    <w14:schemeClr w14:val="tx1"/>
                  </w14:solidFill>
                </w14:textFill>
              </w:rPr>
            </w:pPr>
          </w:p>
          <w:p w14:paraId="669C12F4">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大气污染物有组织排放量核算表</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835"/>
              <w:gridCol w:w="618"/>
              <w:gridCol w:w="426"/>
              <w:gridCol w:w="914"/>
              <w:gridCol w:w="711"/>
              <w:gridCol w:w="708"/>
              <w:gridCol w:w="531"/>
              <w:gridCol w:w="915"/>
              <w:gridCol w:w="731"/>
              <w:gridCol w:w="690"/>
              <w:gridCol w:w="907"/>
              <w:gridCol w:w="427"/>
            </w:tblGrid>
            <w:tr w14:paraId="527C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restart"/>
                  <w:shd w:val="clear" w:color="auto" w:fill="auto"/>
                  <w:vAlign w:val="center"/>
                </w:tcPr>
                <w:p w14:paraId="0C900830">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产污环节</w:t>
                  </w:r>
                </w:p>
              </w:tc>
              <w:tc>
                <w:tcPr>
                  <w:tcW w:w="443" w:type="pct"/>
                  <w:vMerge w:val="restart"/>
                  <w:shd w:val="clear" w:color="auto" w:fill="auto"/>
                  <w:vAlign w:val="center"/>
                </w:tcPr>
                <w:p w14:paraId="0C96E259">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污染源</w:t>
                  </w:r>
                </w:p>
              </w:tc>
              <w:tc>
                <w:tcPr>
                  <w:tcW w:w="324" w:type="pct"/>
                  <w:vMerge w:val="restart"/>
                  <w:shd w:val="clear" w:color="auto" w:fill="auto"/>
                  <w:vAlign w:val="center"/>
                </w:tcPr>
                <w:p w14:paraId="137619B2">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污染物</w:t>
                  </w:r>
                </w:p>
              </w:tc>
              <w:tc>
                <w:tcPr>
                  <w:tcW w:w="218" w:type="pct"/>
                  <w:vMerge w:val="restart"/>
                  <w:shd w:val="clear" w:color="auto" w:fill="auto"/>
                  <w:vAlign w:val="center"/>
                </w:tcPr>
                <w:p w14:paraId="34C47F55">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排放形式</w:t>
                  </w:r>
                </w:p>
              </w:tc>
              <w:tc>
                <w:tcPr>
                  <w:tcW w:w="907" w:type="pct"/>
                  <w:gridSpan w:val="2"/>
                  <w:shd w:val="clear" w:color="auto" w:fill="auto"/>
                  <w:vAlign w:val="center"/>
                </w:tcPr>
                <w:p w14:paraId="7155A629">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污染物产生</w:t>
                  </w:r>
                </w:p>
              </w:tc>
              <w:tc>
                <w:tcPr>
                  <w:tcW w:w="689" w:type="pct"/>
                  <w:gridSpan w:val="2"/>
                  <w:shd w:val="clear" w:color="auto" w:fill="auto"/>
                  <w:vAlign w:val="center"/>
                </w:tcPr>
                <w:p w14:paraId="7DD45B44">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治理措施</w:t>
                  </w:r>
                </w:p>
              </w:tc>
              <w:tc>
                <w:tcPr>
                  <w:tcW w:w="1328" w:type="pct"/>
                  <w:gridSpan w:val="3"/>
                  <w:shd w:val="clear" w:color="auto" w:fill="auto"/>
                  <w:vAlign w:val="center"/>
                </w:tcPr>
                <w:p w14:paraId="56BE40F4">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污染物排放</w:t>
                  </w:r>
                </w:p>
              </w:tc>
              <w:tc>
                <w:tcPr>
                  <w:tcW w:w="535" w:type="pct"/>
                  <w:vMerge w:val="restart"/>
                  <w:shd w:val="clear" w:color="auto" w:fill="auto"/>
                  <w:vAlign w:val="center"/>
                </w:tcPr>
                <w:p w14:paraId="5BCEB737">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排放时间/h</w:t>
                  </w:r>
                </w:p>
              </w:tc>
              <w:tc>
                <w:tcPr>
                  <w:tcW w:w="218" w:type="pct"/>
                  <w:vMerge w:val="restart"/>
                  <w:shd w:val="clear" w:color="auto" w:fill="auto"/>
                  <w:vAlign w:val="center"/>
                </w:tcPr>
                <w:p w14:paraId="2457AC5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是否为可行技术</w:t>
                  </w:r>
                </w:p>
              </w:tc>
            </w:tr>
            <w:tr w14:paraId="7E04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shd w:val="clear" w:color="auto" w:fill="auto"/>
                  <w:vAlign w:val="center"/>
                </w:tcPr>
                <w:p w14:paraId="0E74EA7A">
                  <w:pPr>
                    <w:pStyle w:val="1305"/>
                    <w:rPr>
                      <w:color w:val="000000" w:themeColor="text1"/>
                      <w:sz w:val="21"/>
                      <w14:textFill>
                        <w14:solidFill>
                          <w14:schemeClr w14:val="tx1"/>
                        </w14:solidFill>
                      </w14:textFill>
                    </w:rPr>
                  </w:pPr>
                </w:p>
              </w:tc>
              <w:tc>
                <w:tcPr>
                  <w:tcW w:w="443" w:type="pct"/>
                  <w:vMerge w:val="continue"/>
                  <w:shd w:val="clear" w:color="auto" w:fill="auto"/>
                  <w:vAlign w:val="center"/>
                </w:tcPr>
                <w:p w14:paraId="3653FED9">
                  <w:pPr>
                    <w:pStyle w:val="1305"/>
                    <w:rPr>
                      <w:color w:val="000000" w:themeColor="text1"/>
                      <w:sz w:val="21"/>
                      <w14:textFill>
                        <w14:solidFill>
                          <w14:schemeClr w14:val="tx1"/>
                        </w14:solidFill>
                      </w14:textFill>
                    </w:rPr>
                  </w:pPr>
                </w:p>
              </w:tc>
              <w:tc>
                <w:tcPr>
                  <w:tcW w:w="324" w:type="pct"/>
                  <w:vMerge w:val="continue"/>
                  <w:shd w:val="clear" w:color="auto" w:fill="auto"/>
                  <w:vAlign w:val="center"/>
                </w:tcPr>
                <w:p w14:paraId="4F648AF8">
                  <w:pPr>
                    <w:pStyle w:val="1305"/>
                    <w:rPr>
                      <w:color w:val="000000" w:themeColor="text1"/>
                      <w:sz w:val="21"/>
                      <w14:textFill>
                        <w14:solidFill>
                          <w14:schemeClr w14:val="tx1"/>
                        </w14:solidFill>
                      </w14:textFill>
                    </w:rPr>
                  </w:pPr>
                </w:p>
              </w:tc>
              <w:tc>
                <w:tcPr>
                  <w:tcW w:w="218" w:type="pct"/>
                  <w:vMerge w:val="continue"/>
                  <w:shd w:val="clear" w:color="auto" w:fill="auto"/>
                  <w:vAlign w:val="center"/>
                </w:tcPr>
                <w:p w14:paraId="5F343883">
                  <w:pPr>
                    <w:pStyle w:val="1305"/>
                    <w:rPr>
                      <w:color w:val="000000" w:themeColor="text1"/>
                      <w:sz w:val="21"/>
                      <w14:textFill>
                        <w14:solidFill>
                          <w14:schemeClr w14:val="tx1"/>
                        </w14:solidFill>
                      </w14:textFill>
                    </w:rPr>
                  </w:pPr>
                </w:p>
              </w:tc>
              <w:tc>
                <w:tcPr>
                  <w:tcW w:w="486" w:type="pct"/>
                  <w:shd w:val="clear" w:color="auto" w:fill="auto"/>
                  <w:vAlign w:val="center"/>
                </w:tcPr>
                <w:p w14:paraId="7168F36C">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产生浓度(mg/m</w:t>
                  </w:r>
                  <w:r>
                    <w:rPr>
                      <w:rFonts w:hint="eastAsia"/>
                      <w:color w:val="000000" w:themeColor="text1"/>
                      <w:sz w:val="21"/>
                      <w:vertAlign w:val="superscript"/>
                      <w14:textFill>
                        <w14:solidFill>
                          <w14:schemeClr w14:val="tx1"/>
                        </w14:solidFill>
                      </w14:textFill>
                    </w:rPr>
                    <w:t>3</w:t>
                  </w:r>
                  <w:r>
                    <w:rPr>
                      <w:rFonts w:hint="eastAsia"/>
                      <w:color w:val="000000" w:themeColor="text1"/>
                      <w:sz w:val="21"/>
                      <w14:textFill>
                        <w14:solidFill>
                          <w14:schemeClr w14:val="tx1"/>
                        </w14:solidFill>
                      </w14:textFill>
                    </w:rPr>
                    <w:t>)</w:t>
                  </w:r>
                </w:p>
              </w:tc>
              <w:tc>
                <w:tcPr>
                  <w:tcW w:w="420" w:type="pct"/>
                  <w:shd w:val="clear" w:color="auto" w:fill="auto"/>
                  <w:vAlign w:val="center"/>
                </w:tcPr>
                <w:p w14:paraId="624F5D69">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产生量</w:t>
                  </w:r>
                </w:p>
                <w:p w14:paraId="19BF63A2">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(t/a)</w:t>
                  </w:r>
                </w:p>
              </w:tc>
              <w:tc>
                <w:tcPr>
                  <w:tcW w:w="374" w:type="pct"/>
                  <w:shd w:val="clear" w:color="auto" w:fill="auto"/>
                  <w:vAlign w:val="center"/>
                </w:tcPr>
                <w:p w14:paraId="5E5DF333">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工艺</w:t>
                  </w:r>
                </w:p>
              </w:tc>
              <w:tc>
                <w:tcPr>
                  <w:tcW w:w="314" w:type="pct"/>
                  <w:shd w:val="clear" w:color="auto" w:fill="auto"/>
                  <w:vAlign w:val="center"/>
                </w:tcPr>
                <w:p w14:paraId="5547D1F4">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效率(%)</w:t>
                  </w:r>
                </w:p>
              </w:tc>
              <w:tc>
                <w:tcPr>
                  <w:tcW w:w="486" w:type="pct"/>
                  <w:shd w:val="clear" w:color="auto" w:fill="auto"/>
                  <w:vAlign w:val="center"/>
                </w:tcPr>
                <w:p w14:paraId="3F4E6318">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排放</w:t>
                  </w:r>
                </w:p>
                <w:p w14:paraId="3D3C674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浓度(mg/m</w:t>
                  </w:r>
                  <w:r>
                    <w:rPr>
                      <w:rFonts w:hint="eastAsia"/>
                      <w:color w:val="000000" w:themeColor="text1"/>
                      <w:sz w:val="21"/>
                      <w:vertAlign w:val="superscript"/>
                      <w14:textFill>
                        <w14:solidFill>
                          <w14:schemeClr w14:val="tx1"/>
                        </w14:solidFill>
                      </w14:textFill>
                    </w:rPr>
                    <w:t>3</w:t>
                  </w:r>
                  <w:r>
                    <w:rPr>
                      <w:rFonts w:hint="eastAsia"/>
                      <w:color w:val="000000" w:themeColor="text1"/>
                      <w:sz w:val="21"/>
                      <w14:textFill>
                        <w14:solidFill>
                          <w14:schemeClr w14:val="tx1"/>
                        </w14:solidFill>
                      </w14:textFill>
                    </w:rPr>
                    <w:t>)</w:t>
                  </w:r>
                </w:p>
              </w:tc>
              <w:tc>
                <w:tcPr>
                  <w:tcW w:w="420" w:type="pct"/>
                  <w:shd w:val="clear" w:color="auto" w:fill="auto"/>
                  <w:vAlign w:val="center"/>
                </w:tcPr>
                <w:p w14:paraId="51542880">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排放速率(kg/h)</w:t>
                  </w:r>
                </w:p>
              </w:tc>
              <w:tc>
                <w:tcPr>
                  <w:tcW w:w="420" w:type="pct"/>
                  <w:shd w:val="clear" w:color="auto" w:fill="auto"/>
                  <w:vAlign w:val="center"/>
                </w:tcPr>
                <w:p w14:paraId="24A2986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排放量(t/a)</w:t>
                  </w:r>
                </w:p>
              </w:tc>
              <w:tc>
                <w:tcPr>
                  <w:tcW w:w="535" w:type="pct"/>
                  <w:vMerge w:val="continue"/>
                  <w:shd w:val="clear" w:color="auto" w:fill="auto"/>
                  <w:vAlign w:val="center"/>
                </w:tcPr>
                <w:p w14:paraId="0CBE9D50">
                  <w:pPr>
                    <w:pStyle w:val="1305"/>
                    <w:rPr>
                      <w:color w:val="000000" w:themeColor="text1"/>
                      <w:sz w:val="21"/>
                      <w14:textFill>
                        <w14:solidFill>
                          <w14:schemeClr w14:val="tx1"/>
                        </w14:solidFill>
                      </w14:textFill>
                    </w:rPr>
                  </w:pPr>
                </w:p>
              </w:tc>
              <w:tc>
                <w:tcPr>
                  <w:tcW w:w="218" w:type="pct"/>
                  <w:vMerge w:val="continue"/>
                  <w:shd w:val="clear" w:color="auto" w:fill="auto"/>
                  <w:vAlign w:val="center"/>
                </w:tcPr>
                <w:p w14:paraId="07A5C861">
                  <w:pPr>
                    <w:pStyle w:val="1305"/>
                    <w:rPr>
                      <w:color w:val="000000" w:themeColor="text1"/>
                      <w:sz w:val="21"/>
                      <w14:textFill>
                        <w14:solidFill>
                          <w14:schemeClr w14:val="tx1"/>
                        </w14:solidFill>
                      </w14:textFill>
                    </w:rPr>
                  </w:pPr>
                </w:p>
              </w:tc>
            </w:tr>
            <w:tr w14:paraId="48F5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vMerge w:val="restart"/>
                  <w:shd w:val="clear" w:color="auto" w:fill="auto"/>
                  <w:vAlign w:val="center"/>
                </w:tcPr>
                <w:p w14:paraId="1B5A0294">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隧道窑烟气</w:t>
                  </w:r>
                </w:p>
              </w:tc>
              <w:tc>
                <w:tcPr>
                  <w:tcW w:w="443" w:type="pct"/>
                  <w:vMerge w:val="restart"/>
                  <w:shd w:val="clear" w:color="auto" w:fill="auto"/>
                  <w:vAlign w:val="center"/>
                </w:tcPr>
                <w:p w14:paraId="6721B384">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排气筒DA001</w:t>
                  </w:r>
                </w:p>
              </w:tc>
              <w:tc>
                <w:tcPr>
                  <w:tcW w:w="324" w:type="pct"/>
                  <w:shd w:val="clear" w:color="auto" w:fill="auto"/>
                  <w:vAlign w:val="center"/>
                </w:tcPr>
                <w:p w14:paraId="12F0C14C">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颗粒物</w:t>
                  </w:r>
                </w:p>
              </w:tc>
              <w:tc>
                <w:tcPr>
                  <w:tcW w:w="218" w:type="pct"/>
                  <w:vMerge w:val="restart"/>
                  <w:shd w:val="clear" w:color="auto" w:fill="auto"/>
                  <w:vAlign w:val="center"/>
                </w:tcPr>
                <w:p w14:paraId="39343B21">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有组织</w:t>
                  </w:r>
                </w:p>
              </w:tc>
              <w:tc>
                <w:tcPr>
                  <w:tcW w:w="914" w:type="dxa"/>
                  <w:shd w:val="clear" w:color="auto" w:fill="auto"/>
                  <w:vAlign w:val="center"/>
                </w:tcPr>
                <w:p w14:paraId="23CD3582">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42.76</w:t>
                  </w:r>
                </w:p>
              </w:tc>
              <w:tc>
                <w:tcPr>
                  <w:tcW w:w="689" w:type="dxa"/>
                  <w:shd w:val="clear" w:color="auto" w:fill="auto"/>
                  <w:vAlign w:val="center"/>
                </w:tcPr>
                <w:p w14:paraId="128A91DF">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97.5</w:t>
                  </w:r>
                </w:p>
              </w:tc>
              <w:tc>
                <w:tcPr>
                  <w:tcW w:w="374" w:type="pct"/>
                  <w:shd w:val="clear" w:color="auto" w:fill="auto"/>
                  <w:vAlign w:val="center"/>
                </w:tcPr>
                <w:p w14:paraId="690AE316">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湿法除尘</w:t>
                  </w:r>
                </w:p>
              </w:tc>
              <w:tc>
                <w:tcPr>
                  <w:tcW w:w="314" w:type="pct"/>
                  <w:shd w:val="clear" w:color="auto" w:fill="auto"/>
                  <w:vAlign w:val="center"/>
                </w:tcPr>
                <w:p w14:paraId="61B6C358">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85</w:t>
                  </w:r>
                </w:p>
              </w:tc>
              <w:tc>
                <w:tcPr>
                  <w:tcW w:w="914" w:type="dxa"/>
                  <w:shd w:val="clear" w:color="auto" w:fill="auto"/>
                  <w:vAlign w:val="center"/>
                </w:tcPr>
                <w:p w14:paraId="3B70E694">
                  <w:pPr>
                    <w:pStyle w:val="1305"/>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4.28</w:t>
                  </w:r>
                </w:p>
              </w:tc>
              <w:tc>
                <w:tcPr>
                  <w:tcW w:w="803" w:type="dxa"/>
                  <w:shd w:val="clear" w:color="auto" w:fill="auto"/>
                  <w:vAlign w:val="center"/>
                </w:tcPr>
                <w:p w14:paraId="754A8CE9">
                  <w:pPr>
                    <w:pStyle w:val="1305"/>
                    <w:rPr>
                      <w:rFonts w:hint="default"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1.935</w:t>
                  </w:r>
                </w:p>
              </w:tc>
              <w:tc>
                <w:tcPr>
                  <w:tcW w:w="756" w:type="dxa"/>
                  <w:shd w:val="clear" w:color="auto" w:fill="auto"/>
                  <w:vAlign w:val="center"/>
                </w:tcPr>
                <w:p w14:paraId="480CBBFB">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9.75</w:t>
                  </w:r>
                </w:p>
              </w:tc>
              <w:tc>
                <w:tcPr>
                  <w:tcW w:w="535" w:type="pct"/>
                  <w:shd w:val="clear" w:color="auto" w:fill="auto"/>
                  <w:vAlign w:val="center"/>
                </w:tcPr>
                <w:p w14:paraId="2B947768">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5040</w:t>
                  </w:r>
                </w:p>
              </w:tc>
              <w:tc>
                <w:tcPr>
                  <w:tcW w:w="218" w:type="pct"/>
                  <w:shd w:val="clear" w:color="auto" w:fill="auto"/>
                  <w:vAlign w:val="center"/>
                </w:tcPr>
                <w:p w14:paraId="79B5A7D8">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w:t>
                  </w:r>
                </w:p>
              </w:tc>
            </w:tr>
            <w:tr w14:paraId="7D93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shd w:val="clear" w:color="auto" w:fill="auto"/>
                  <w:vAlign w:val="center"/>
                </w:tcPr>
                <w:p w14:paraId="7BE298D5">
                  <w:pPr>
                    <w:pStyle w:val="1305"/>
                    <w:rPr>
                      <w:color w:val="000000" w:themeColor="text1"/>
                      <w:sz w:val="21"/>
                      <w14:textFill>
                        <w14:solidFill>
                          <w14:schemeClr w14:val="tx1"/>
                        </w14:solidFill>
                      </w14:textFill>
                    </w:rPr>
                  </w:pPr>
                </w:p>
              </w:tc>
              <w:tc>
                <w:tcPr>
                  <w:tcW w:w="443" w:type="pct"/>
                  <w:vMerge w:val="continue"/>
                  <w:shd w:val="clear" w:color="auto" w:fill="auto"/>
                  <w:vAlign w:val="center"/>
                </w:tcPr>
                <w:p w14:paraId="3F0E1113">
                  <w:pPr>
                    <w:pStyle w:val="1305"/>
                    <w:rPr>
                      <w:color w:val="000000" w:themeColor="text1"/>
                      <w:sz w:val="21"/>
                      <w14:textFill>
                        <w14:solidFill>
                          <w14:schemeClr w14:val="tx1"/>
                        </w14:solidFill>
                      </w14:textFill>
                    </w:rPr>
                  </w:pPr>
                </w:p>
              </w:tc>
              <w:tc>
                <w:tcPr>
                  <w:tcW w:w="324" w:type="pct"/>
                  <w:shd w:val="clear" w:color="auto" w:fill="auto"/>
                  <w:vAlign w:val="center"/>
                </w:tcPr>
                <w:p w14:paraId="19B1DCB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SO</w:t>
                  </w:r>
                  <w:r>
                    <w:rPr>
                      <w:rFonts w:hint="eastAsia"/>
                      <w:color w:val="000000" w:themeColor="text1"/>
                      <w:sz w:val="21"/>
                      <w:vertAlign w:val="subscript"/>
                      <w14:textFill>
                        <w14:solidFill>
                          <w14:schemeClr w14:val="tx1"/>
                        </w14:solidFill>
                      </w14:textFill>
                    </w:rPr>
                    <w:t>2</w:t>
                  </w:r>
                </w:p>
              </w:tc>
              <w:tc>
                <w:tcPr>
                  <w:tcW w:w="218" w:type="pct"/>
                  <w:vMerge w:val="continue"/>
                  <w:shd w:val="clear" w:color="auto" w:fill="auto"/>
                  <w:vAlign w:val="center"/>
                </w:tcPr>
                <w:p w14:paraId="576E52DE">
                  <w:pPr>
                    <w:pStyle w:val="1305"/>
                    <w:rPr>
                      <w:color w:val="000000" w:themeColor="text1"/>
                      <w:sz w:val="21"/>
                      <w14:textFill>
                        <w14:solidFill>
                          <w14:schemeClr w14:val="tx1"/>
                        </w14:solidFill>
                      </w14:textFill>
                    </w:rPr>
                  </w:pPr>
                </w:p>
              </w:tc>
              <w:tc>
                <w:tcPr>
                  <w:tcW w:w="914" w:type="dxa"/>
                  <w:shd w:val="clear" w:color="auto" w:fill="auto"/>
                  <w:vAlign w:val="center"/>
                </w:tcPr>
                <w:p w14:paraId="3E6DF36D">
                  <w:pPr>
                    <w:pStyle w:val="1305"/>
                    <w:rPr>
                      <w:rFonts w:hint="default"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314.12</w:t>
                  </w:r>
                </w:p>
              </w:tc>
              <w:tc>
                <w:tcPr>
                  <w:tcW w:w="689" w:type="dxa"/>
                  <w:shd w:val="clear" w:color="auto" w:fill="auto"/>
                  <w:vAlign w:val="center"/>
                </w:tcPr>
                <w:p w14:paraId="1B208234">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716.2</w:t>
                  </w:r>
                </w:p>
              </w:tc>
              <w:tc>
                <w:tcPr>
                  <w:tcW w:w="374" w:type="pct"/>
                  <w:vMerge w:val="restart"/>
                  <w:shd w:val="clear" w:color="auto" w:fill="auto"/>
                  <w:vAlign w:val="center"/>
                </w:tcPr>
                <w:p w14:paraId="492FC40E">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钙钠双碱法脱硫系统+28m高烟囱</w:t>
                  </w:r>
                </w:p>
              </w:tc>
              <w:tc>
                <w:tcPr>
                  <w:tcW w:w="314" w:type="pct"/>
                  <w:shd w:val="clear" w:color="auto" w:fill="auto"/>
                  <w:vAlign w:val="center"/>
                </w:tcPr>
                <w:p w14:paraId="48812BA5">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90</w:t>
                  </w:r>
                </w:p>
              </w:tc>
              <w:tc>
                <w:tcPr>
                  <w:tcW w:w="914" w:type="dxa"/>
                  <w:shd w:val="clear" w:color="auto" w:fill="auto"/>
                  <w:vAlign w:val="center"/>
                </w:tcPr>
                <w:p w14:paraId="1E743BA0">
                  <w:pPr>
                    <w:pStyle w:val="1305"/>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31.412</w:t>
                  </w:r>
                </w:p>
              </w:tc>
              <w:tc>
                <w:tcPr>
                  <w:tcW w:w="803" w:type="dxa"/>
                  <w:shd w:val="clear" w:color="auto" w:fill="auto"/>
                  <w:vAlign w:val="center"/>
                </w:tcPr>
                <w:p w14:paraId="6C202511">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14.2</w:t>
                  </w:r>
                </w:p>
              </w:tc>
              <w:tc>
                <w:tcPr>
                  <w:tcW w:w="756" w:type="dxa"/>
                  <w:shd w:val="clear" w:color="auto" w:fill="auto"/>
                  <w:vAlign w:val="center"/>
                </w:tcPr>
                <w:p w14:paraId="283AE301">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71.6</w:t>
                  </w:r>
                </w:p>
              </w:tc>
              <w:tc>
                <w:tcPr>
                  <w:tcW w:w="535" w:type="pct"/>
                  <w:shd w:val="clear" w:color="auto" w:fill="auto"/>
                  <w:vAlign w:val="center"/>
                </w:tcPr>
                <w:p w14:paraId="76237181">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5040</w:t>
                  </w:r>
                </w:p>
              </w:tc>
              <w:tc>
                <w:tcPr>
                  <w:tcW w:w="218" w:type="pct"/>
                  <w:shd w:val="clear" w:color="auto" w:fill="auto"/>
                  <w:vAlign w:val="center"/>
                </w:tcPr>
                <w:p w14:paraId="48C66164">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w:t>
                  </w:r>
                </w:p>
              </w:tc>
            </w:tr>
            <w:tr w14:paraId="450D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shd w:val="clear" w:color="auto" w:fill="auto"/>
                  <w:vAlign w:val="center"/>
                </w:tcPr>
                <w:p w14:paraId="0F391FF3">
                  <w:pPr>
                    <w:pStyle w:val="1305"/>
                    <w:rPr>
                      <w:color w:val="000000" w:themeColor="text1"/>
                      <w:sz w:val="21"/>
                      <w14:textFill>
                        <w14:solidFill>
                          <w14:schemeClr w14:val="tx1"/>
                        </w14:solidFill>
                      </w14:textFill>
                    </w:rPr>
                  </w:pPr>
                </w:p>
              </w:tc>
              <w:tc>
                <w:tcPr>
                  <w:tcW w:w="443" w:type="pct"/>
                  <w:vMerge w:val="continue"/>
                  <w:shd w:val="clear" w:color="auto" w:fill="auto"/>
                  <w:vAlign w:val="center"/>
                </w:tcPr>
                <w:p w14:paraId="1D8B700A">
                  <w:pPr>
                    <w:pStyle w:val="1305"/>
                    <w:rPr>
                      <w:color w:val="000000" w:themeColor="text1"/>
                      <w:sz w:val="21"/>
                      <w14:textFill>
                        <w14:solidFill>
                          <w14:schemeClr w14:val="tx1"/>
                        </w14:solidFill>
                      </w14:textFill>
                    </w:rPr>
                  </w:pPr>
                </w:p>
              </w:tc>
              <w:tc>
                <w:tcPr>
                  <w:tcW w:w="324" w:type="pct"/>
                  <w:shd w:val="clear" w:color="auto" w:fill="auto"/>
                  <w:vAlign w:val="center"/>
                </w:tcPr>
                <w:p w14:paraId="09560368">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NO</w:t>
                  </w:r>
                  <w:r>
                    <w:rPr>
                      <w:rFonts w:hint="eastAsia"/>
                      <w:color w:val="000000" w:themeColor="text1"/>
                      <w:sz w:val="21"/>
                      <w:vertAlign w:val="subscript"/>
                      <w14:textFill>
                        <w14:solidFill>
                          <w14:schemeClr w14:val="tx1"/>
                        </w14:solidFill>
                      </w14:textFill>
                    </w:rPr>
                    <w:t>X</w:t>
                  </w:r>
                </w:p>
              </w:tc>
              <w:tc>
                <w:tcPr>
                  <w:tcW w:w="218" w:type="pct"/>
                  <w:vMerge w:val="continue"/>
                  <w:shd w:val="clear" w:color="auto" w:fill="auto"/>
                  <w:vAlign w:val="center"/>
                </w:tcPr>
                <w:p w14:paraId="43CD631B">
                  <w:pPr>
                    <w:pStyle w:val="1305"/>
                    <w:rPr>
                      <w:color w:val="000000" w:themeColor="text1"/>
                      <w:sz w:val="21"/>
                      <w14:textFill>
                        <w14:solidFill>
                          <w14:schemeClr w14:val="tx1"/>
                        </w14:solidFill>
                      </w14:textFill>
                    </w:rPr>
                  </w:pPr>
                </w:p>
              </w:tc>
              <w:tc>
                <w:tcPr>
                  <w:tcW w:w="914" w:type="dxa"/>
                  <w:shd w:val="clear" w:color="auto" w:fill="auto"/>
                  <w:vAlign w:val="center"/>
                </w:tcPr>
                <w:p w14:paraId="395FD0BC">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53.72</w:t>
                  </w:r>
                </w:p>
              </w:tc>
              <w:tc>
                <w:tcPr>
                  <w:tcW w:w="689" w:type="dxa"/>
                  <w:shd w:val="clear" w:color="auto" w:fill="auto"/>
                  <w:vAlign w:val="center"/>
                </w:tcPr>
                <w:p w14:paraId="2BD7928A">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122.4</w:t>
                  </w:r>
                </w:p>
              </w:tc>
              <w:tc>
                <w:tcPr>
                  <w:tcW w:w="374" w:type="pct"/>
                  <w:vMerge w:val="continue"/>
                  <w:shd w:val="clear" w:color="auto" w:fill="auto"/>
                  <w:vAlign w:val="center"/>
                </w:tcPr>
                <w:p w14:paraId="081D9499">
                  <w:pPr>
                    <w:pStyle w:val="1305"/>
                    <w:rPr>
                      <w:rFonts w:hint="eastAsia" w:ascii="Times New Roman" w:hAnsi="Times New Roman" w:cs="Times New Roman"/>
                      <w:color w:val="000000" w:themeColor="text1"/>
                      <w:sz w:val="21"/>
                      <w:lang w:val="en-US" w:eastAsia="zh-CN"/>
                      <w14:textFill>
                        <w14:solidFill>
                          <w14:schemeClr w14:val="tx1"/>
                        </w14:solidFill>
                      </w14:textFill>
                    </w:rPr>
                  </w:pPr>
                </w:p>
              </w:tc>
              <w:tc>
                <w:tcPr>
                  <w:tcW w:w="314" w:type="pct"/>
                  <w:shd w:val="clear" w:color="auto" w:fill="auto"/>
                  <w:vAlign w:val="center"/>
                </w:tcPr>
                <w:p w14:paraId="71DA6A9A">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w:t>
                  </w:r>
                </w:p>
              </w:tc>
              <w:tc>
                <w:tcPr>
                  <w:tcW w:w="914" w:type="dxa"/>
                  <w:shd w:val="clear" w:color="auto" w:fill="auto"/>
                  <w:vAlign w:val="center"/>
                </w:tcPr>
                <w:p w14:paraId="6338788D">
                  <w:pPr>
                    <w:pStyle w:val="1305"/>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53.72</w:t>
                  </w:r>
                </w:p>
              </w:tc>
              <w:tc>
                <w:tcPr>
                  <w:tcW w:w="803" w:type="dxa"/>
                  <w:shd w:val="clear" w:color="auto" w:fill="auto"/>
                  <w:vAlign w:val="center"/>
                </w:tcPr>
                <w:p w14:paraId="08759490">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24.3</w:t>
                  </w:r>
                </w:p>
              </w:tc>
              <w:tc>
                <w:tcPr>
                  <w:tcW w:w="756" w:type="dxa"/>
                  <w:shd w:val="clear" w:color="auto" w:fill="auto"/>
                  <w:vAlign w:val="center"/>
                </w:tcPr>
                <w:p w14:paraId="21D11BE6">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122.4</w:t>
                  </w:r>
                </w:p>
              </w:tc>
              <w:tc>
                <w:tcPr>
                  <w:tcW w:w="535" w:type="pct"/>
                  <w:shd w:val="clear" w:color="auto" w:fill="auto"/>
                  <w:vAlign w:val="center"/>
                </w:tcPr>
                <w:p w14:paraId="6E281A3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5040</w:t>
                  </w:r>
                </w:p>
              </w:tc>
              <w:tc>
                <w:tcPr>
                  <w:tcW w:w="218" w:type="pct"/>
                  <w:shd w:val="clear" w:color="auto" w:fill="auto"/>
                  <w:vAlign w:val="center"/>
                </w:tcPr>
                <w:p w14:paraId="1383DEF9">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w:t>
                  </w:r>
                </w:p>
              </w:tc>
            </w:tr>
            <w:tr w14:paraId="3A01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shd w:val="clear" w:color="auto" w:fill="auto"/>
                  <w:vAlign w:val="center"/>
                </w:tcPr>
                <w:p w14:paraId="371214F2">
                  <w:pPr>
                    <w:pStyle w:val="1305"/>
                    <w:rPr>
                      <w:color w:val="000000" w:themeColor="text1"/>
                      <w:sz w:val="21"/>
                      <w14:textFill>
                        <w14:solidFill>
                          <w14:schemeClr w14:val="tx1"/>
                        </w14:solidFill>
                      </w14:textFill>
                    </w:rPr>
                  </w:pPr>
                </w:p>
              </w:tc>
              <w:tc>
                <w:tcPr>
                  <w:tcW w:w="443" w:type="pct"/>
                  <w:vMerge w:val="continue"/>
                  <w:shd w:val="clear" w:color="auto" w:fill="auto"/>
                  <w:vAlign w:val="center"/>
                </w:tcPr>
                <w:p w14:paraId="4BBA67E6">
                  <w:pPr>
                    <w:pStyle w:val="1305"/>
                    <w:rPr>
                      <w:color w:val="000000" w:themeColor="text1"/>
                      <w:sz w:val="21"/>
                      <w14:textFill>
                        <w14:solidFill>
                          <w14:schemeClr w14:val="tx1"/>
                        </w14:solidFill>
                      </w14:textFill>
                    </w:rPr>
                  </w:pPr>
                </w:p>
              </w:tc>
              <w:tc>
                <w:tcPr>
                  <w:tcW w:w="324" w:type="pct"/>
                  <w:shd w:val="clear" w:color="auto" w:fill="auto"/>
                  <w:vAlign w:val="center"/>
                </w:tcPr>
                <w:p w14:paraId="4930B02E">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氟化物</w:t>
                  </w:r>
                </w:p>
              </w:tc>
              <w:tc>
                <w:tcPr>
                  <w:tcW w:w="218" w:type="pct"/>
                  <w:vMerge w:val="continue"/>
                  <w:shd w:val="clear" w:color="auto" w:fill="auto"/>
                  <w:vAlign w:val="center"/>
                </w:tcPr>
                <w:p w14:paraId="6BE3B571">
                  <w:pPr>
                    <w:pStyle w:val="1305"/>
                    <w:rPr>
                      <w:color w:val="000000" w:themeColor="text1"/>
                      <w:sz w:val="21"/>
                      <w14:textFill>
                        <w14:solidFill>
                          <w14:schemeClr w14:val="tx1"/>
                        </w14:solidFill>
                      </w14:textFill>
                    </w:rPr>
                  </w:pPr>
                </w:p>
              </w:tc>
              <w:tc>
                <w:tcPr>
                  <w:tcW w:w="914" w:type="dxa"/>
                  <w:shd w:val="clear" w:color="auto" w:fill="auto"/>
                  <w:vAlign w:val="center"/>
                </w:tcPr>
                <w:p w14:paraId="19B49D00">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10.50</w:t>
                  </w:r>
                </w:p>
              </w:tc>
              <w:tc>
                <w:tcPr>
                  <w:tcW w:w="689" w:type="dxa"/>
                  <w:shd w:val="clear" w:color="auto" w:fill="auto"/>
                  <w:vAlign w:val="center"/>
                </w:tcPr>
                <w:p w14:paraId="40F7C0AC">
                  <w:pPr>
                    <w:pStyle w:val="1305"/>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11.15</w:t>
                  </w:r>
                </w:p>
              </w:tc>
              <w:tc>
                <w:tcPr>
                  <w:tcW w:w="374" w:type="pct"/>
                  <w:vMerge w:val="continue"/>
                  <w:shd w:val="clear" w:color="auto" w:fill="auto"/>
                  <w:vAlign w:val="center"/>
                </w:tcPr>
                <w:p w14:paraId="7BA75EBF">
                  <w:pPr>
                    <w:pStyle w:val="1305"/>
                    <w:rPr>
                      <w:rFonts w:hint="eastAsia" w:ascii="Times New Roman" w:hAnsi="Times New Roman" w:cs="Times New Roman"/>
                      <w:color w:val="000000" w:themeColor="text1"/>
                      <w:sz w:val="21"/>
                      <w:lang w:val="en-US" w:eastAsia="zh-CN"/>
                      <w14:textFill>
                        <w14:solidFill>
                          <w14:schemeClr w14:val="tx1"/>
                        </w14:solidFill>
                      </w14:textFill>
                    </w:rPr>
                  </w:pPr>
                </w:p>
              </w:tc>
              <w:tc>
                <w:tcPr>
                  <w:tcW w:w="314" w:type="pct"/>
                  <w:shd w:val="clear" w:color="auto" w:fill="auto"/>
                  <w:vAlign w:val="center"/>
                </w:tcPr>
                <w:p w14:paraId="5EEAC48A">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60</w:t>
                  </w:r>
                </w:p>
              </w:tc>
              <w:tc>
                <w:tcPr>
                  <w:tcW w:w="914" w:type="dxa"/>
                  <w:shd w:val="clear" w:color="auto" w:fill="auto"/>
                  <w:vAlign w:val="center"/>
                </w:tcPr>
                <w:p w14:paraId="6F82C569">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2.8</w:t>
                  </w:r>
                </w:p>
              </w:tc>
              <w:tc>
                <w:tcPr>
                  <w:tcW w:w="803" w:type="dxa"/>
                  <w:shd w:val="clear" w:color="auto" w:fill="auto"/>
                  <w:vAlign w:val="center"/>
                </w:tcPr>
                <w:p w14:paraId="06DC40D6">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0.89</w:t>
                  </w:r>
                </w:p>
              </w:tc>
              <w:tc>
                <w:tcPr>
                  <w:tcW w:w="756" w:type="dxa"/>
                  <w:shd w:val="clear" w:color="auto" w:fill="auto"/>
                  <w:vAlign w:val="center"/>
                </w:tcPr>
                <w:p w14:paraId="4AB0169A">
                  <w:pPr>
                    <w:pStyle w:val="1305"/>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4.46</w:t>
                  </w:r>
                </w:p>
              </w:tc>
              <w:tc>
                <w:tcPr>
                  <w:tcW w:w="535" w:type="pct"/>
                  <w:shd w:val="clear" w:color="auto" w:fill="auto"/>
                  <w:vAlign w:val="center"/>
                </w:tcPr>
                <w:p w14:paraId="605FE903">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5040</w:t>
                  </w:r>
                </w:p>
              </w:tc>
              <w:tc>
                <w:tcPr>
                  <w:tcW w:w="218" w:type="pct"/>
                  <w:shd w:val="clear" w:color="auto" w:fill="auto"/>
                  <w:vAlign w:val="center"/>
                </w:tcPr>
                <w:p w14:paraId="5A7AF47A">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w:t>
                  </w:r>
                </w:p>
              </w:tc>
            </w:tr>
            <w:tr w14:paraId="529C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restart"/>
                  <w:shd w:val="clear" w:color="auto" w:fill="auto"/>
                  <w:vAlign w:val="center"/>
                </w:tcPr>
                <w:p w14:paraId="70E54705">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隧道窑烟气</w:t>
                  </w:r>
                </w:p>
              </w:tc>
              <w:tc>
                <w:tcPr>
                  <w:tcW w:w="443" w:type="pct"/>
                  <w:vMerge w:val="restart"/>
                  <w:shd w:val="clear" w:color="auto" w:fill="auto"/>
                  <w:vAlign w:val="center"/>
                </w:tcPr>
                <w:p w14:paraId="26E28C25">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排气筒DA002</w:t>
                  </w:r>
                </w:p>
              </w:tc>
              <w:tc>
                <w:tcPr>
                  <w:tcW w:w="324" w:type="pct"/>
                  <w:shd w:val="clear" w:color="auto" w:fill="auto"/>
                  <w:vAlign w:val="center"/>
                </w:tcPr>
                <w:p w14:paraId="5C272EB2">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颗粒物</w:t>
                  </w:r>
                </w:p>
              </w:tc>
              <w:tc>
                <w:tcPr>
                  <w:tcW w:w="218" w:type="pct"/>
                  <w:vMerge w:val="restart"/>
                  <w:shd w:val="clear" w:color="auto" w:fill="auto"/>
                  <w:vAlign w:val="center"/>
                </w:tcPr>
                <w:p w14:paraId="663758E6">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有组织</w:t>
                  </w:r>
                </w:p>
              </w:tc>
              <w:tc>
                <w:tcPr>
                  <w:tcW w:w="914" w:type="dxa"/>
                  <w:shd w:val="clear" w:color="auto" w:fill="auto"/>
                  <w:vAlign w:val="center"/>
                </w:tcPr>
                <w:p w14:paraId="745A6185">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42.76</w:t>
                  </w:r>
                </w:p>
              </w:tc>
              <w:tc>
                <w:tcPr>
                  <w:tcW w:w="899" w:type="dxa"/>
                  <w:shd w:val="clear" w:color="auto" w:fill="auto"/>
                  <w:vAlign w:val="center"/>
                </w:tcPr>
                <w:p w14:paraId="4A5C0FB8">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97.5</w:t>
                  </w:r>
                </w:p>
              </w:tc>
              <w:tc>
                <w:tcPr>
                  <w:tcW w:w="708" w:type="dxa"/>
                  <w:shd w:val="clear" w:color="auto" w:fill="auto"/>
                  <w:vAlign w:val="center"/>
                </w:tcPr>
                <w:p w14:paraId="48D3EEF8">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湿法除尘</w:t>
                  </w:r>
                </w:p>
              </w:tc>
              <w:tc>
                <w:tcPr>
                  <w:tcW w:w="531" w:type="dxa"/>
                  <w:shd w:val="clear" w:color="auto" w:fill="auto"/>
                  <w:vAlign w:val="center"/>
                </w:tcPr>
                <w:p w14:paraId="058373DE">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85</w:t>
                  </w:r>
                </w:p>
              </w:tc>
              <w:tc>
                <w:tcPr>
                  <w:tcW w:w="914" w:type="dxa"/>
                  <w:shd w:val="clear" w:color="auto" w:fill="auto"/>
                  <w:vAlign w:val="center"/>
                </w:tcPr>
                <w:p w14:paraId="1F00C1F9">
                  <w:pPr>
                    <w:pStyle w:val="1305"/>
                    <w:ind w:firstLine="0" w:firstLineChars="0"/>
                    <w:rPr>
                      <w:color w:val="000000" w:themeColor="text1"/>
                      <w:sz w:val="21"/>
                      <w:szCs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4.28</w:t>
                  </w:r>
                </w:p>
              </w:tc>
              <w:tc>
                <w:tcPr>
                  <w:tcW w:w="730" w:type="dxa"/>
                  <w:shd w:val="clear" w:color="auto" w:fill="auto"/>
                  <w:vAlign w:val="center"/>
                </w:tcPr>
                <w:p w14:paraId="7B1E3B61">
                  <w:pPr>
                    <w:pStyle w:val="1305"/>
                    <w:ind w:firstLine="0" w:firstLineChars="0"/>
                    <w:rPr>
                      <w:rFonts w:hint="eastAsia"/>
                      <w:color w:val="000000" w:themeColor="text1"/>
                      <w:sz w:val="21"/>
                      <w:highlight w:val="yellow"/>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1.935</w:t>
                  </w:r>
                </w:p>
              </w:tc>
              <w:tc>
                <w:tcPr>
                  <w:tcW w:w="899" w:type="dxa"/>
                  <w:shd w:val="clear" w:color="auto" w:fill="auto"/>
                  <w:vAlign w:val="center"/>
                </w:tcPr>
                <w:p w14:paraId="51D8F4D8">
                  <w:pPr>
                    <w:pStyle w:val="1305"/>
                    <w:ind w:firstLine="0" w:firstLineChars="0"/>
                    <w:rPr>
                      <w:rFonts w:hint="eastAsia"/>
                      <w:color w:val="000000" w:themeColor="text1"/>
                      <w:sz w:val="21"/>
                      <w:highlight w:val="yellow"/>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9.75</w:t>
                  </w:r>
                </w:p>
              </w:tc>
              <w:tc>
                <w:tcPr>
                  <w:tcW w:w="636" w:type="dxa"/>
                  <w:shd w:val="clear" w:color="auto" w:fill="auto"/>
                  <w:vAlign w:val="center"/>
                </w:tcPr>
                <w:p w14:paraId="0B35DF02">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5040</w:t>
                  </w:r>
                </w:p>
              </w:tc>
              <w:tc>
                <w:tcPr>
                  <w:tcW w:w="218" w:type="pct"/>
                  <w:shd w:val="clear" w:color="auto" w:fill="auto"/>
                  <w:vAlign w:val="center"/>
                </w:tcPr>
                <w:p w14:paraId="2CB90FB8">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w:t>
                  </w:r>
                </w:p>
              </w:tc>
            </w:tr>
            <w:tr w14:paraId="78AB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shd w:val="clear" w:color="auto" w:fill="auto"/>
                  <w:vAlign w:val="center"/>
                </w:tcPr>
                <w:p w14:paraId="62308871">
                  <w:pPr>
                    <w:pStyle w:val="1305"/>
                    <w:rPr>
                      <w:color w:val="000000" w:themeColor="text1"/>
                      <w:sz w:val="21"/>
                      <w14:textFill>
                        <w14:solidFill>
                          <w14:schemeClr w14:val="tx1"/>
                        </w14:solidFill>
                      </w14:textFill>
                    </w:rPr>
                  </w:pPr>
                </w:p>
              </w:tc>
              <w:tc>
                <w:tcPr>
                  <w:tcW w:w="443" w:type="pct"/>
                  <w:vMerge w:val="continue"/>
                  <w:shd w:val="clear" w:color="auto" w:fill="auto"/>
                  <w:vAlign w:val="center"/>
                </w:tcPr>
                <w:p w14:paraId="7AEF3D79">
                  <w:pPr>
                    <w:pStyle w:val="1305"/>
                    <w:rPr>
                      <w:color w:val="000000" w:themeColor="text1"/>
                      <w:sz w:val="21"/>
                      <w14:textFill>
                        <w14:solidFill>
                          <w14:schemeClr w14:val="tx1"/>
                        </w14:solidFill>
                      </w14:textFill>
                    </w:rPr>
                  </w:pPr>
                </w:p>
              </w:tc>
              <w:tc>
                <w:tcPr>
                  <w:tcW w:w="324" w:type="pct"/>
                  <w:shd w:val="clear" w:color="auto" w:fill="auto"/>
                  <w:vAlign w:val="center"/>
                </w:tcPr>
                <w:p w14:paraId="471656C6">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SO</w:t>
                  </w:r>
                  <w:r>
                    <w:rPr>
                      <w:rFonts w:hint="eastAsia"/>
                      <w:color w:val="000000" w:themeColor="text1"/>
                      <w:sz w:val="21"/>
                      <w:vertAlign w:val="subscript"/>
                      <w14:textFill>
                        <w14:solidFill>
                          <w14:schemeClr w14:val="tx1"/>
                        </w14:solidFill>
                      </w14:textFill>
                    </w:rPr>
                    <w:t>2</w:t>
                  </w:r>
                </w:p>
              </w:tc>
              <w:tc>
                <w:tcPr>
                  <w:tcW w:w="218" w:type="pct"/>
                  <w:vMerge w:val="continue"/>
                  <w:shd w:val="clear" w:color="auto" w:fill="auto"/>
                  <w:vAlign w:val="center"/>
                </w:tcPr>
                <w:p w14:paraId="3F0BC1AC">
                  <w:pPr>
                    <w:pStyle w:val="1305"/>
                    <w:rPr>
                      <w:color w:val="000000" w:themeColor="text1"/>
                      <w:sz w:val="21"/>
                      <w14:textFill>
                        <w14:solidFill>
                          <w14:schemeClr w14:val="tx1"/>
                        </w14:solidFill>
                      </w14:textFill>
                    </w:rPr>
                  </w:pPr>
                </w:p>
              </w:tc>
              <w:tc>
                <w:tcPr>
                  <w:tcW w:w="914" w:type="dxa"/>
                  <w:shd w:val="clear" w:color="auto" w:fill="auto"/>
                  <w:vAlign w:val="center"/>
                </w:tcPr>
                <w:p w14:paraId="4111B1DC">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314.12</w:t>
                  </w:r>
                </w:p>
              </w:tc>
              <w:tc>
                <w:tcPr>
                  <w:tcW w:w="899" w:type="dxa"/>
                  <w:shd w:val="clear" w:color="auto" w:fill="auto"/>
                  <w:vAlign w:val="center"/>
                </w:tcPr>
                <w:p w14:paraId="5EE11E9C">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716.2</w:t>
                  </w:r>
                </w:p>
              </w:tc>
              <w:tc>
                <w:tcPr>
                  <w:tcW w:w="374" w:type="pct"/>
                  <w:vMerge w:val="restart"/>
                  <w:shd w:val="clear" w:color="auto" w:fill="auto"/>
                  <w:vAlign w:val="center"/>
                </w:tcPr>
                <w:p w14:paraId="7D6030C4">
                  <w:pPr>
                    <w:pStyle w:val="1305"/>
                    <w:rPr>
                      <w:color w:val="000000" w:themeColor="text1"/>
                      <w:sz w:val="21"/>
                      <w:highlight w:val="yellow"/>
                      <w14:textFill>
                        <w14:solidFill>
                          <w14:schemeClr w14:val="tx1"/>
                        </w14:solidFill>
                      </w14:textFill>
                    </w:rPr>
                  </w:pPr>
                  <w:r>
                    <w:rPr>
                      <w:rFonts w:hint="eastAsia"/>
                      <w:color w:val="000000" w:themeColor="text1"/>
                      <w:sz w:val="21"/>
                      <w:highlight w:val="none"/>
                      <w14:textFill>
                        <w14:solidFill>
                          <w14:schemeClr w14:val="tx1"/>
                        </w14:solidFill>
                      </w14:textFill>
                    </w:rPr>
                    <w:t>钙钠双碱法</w:t>
                  </w:r>
                  <w:r>
                    <w:rPr>
                      <w:color w:val="000000" w:themeColor="text1"/>
                      <w:sz w:val="21"/>
                      <w:highlight w:val="none"/>
                      <w14:textFill>
                        <w14:solidFill>
                          <w14:schemeClr w14:val="tx1"/>
                        </w14:solidFill>
                      </w14:textFill>
                    </w:rPr>
                    <w:t>脱硫系统</w:t>
                  </w:r>
                  <w:r>
                    <w:rPr>
                      <w:rFonts w:hint="eastAsia"/>
                      <w:color w:val="000000" w:themeColor="text1"/>
                      <w:sz w:val="21"/>
                      <w:highlight w:val="none"/>
                      <w14:textFill>
                        <w14:solidFill>
                          <w14:schemeClr w14:val="tx1"/>
                        </w14:solidFill>
                      </w14:textFill>
                    </w:rPr>
                    <w:t>+28m高烟囱</w:t>
                  </w:r>
                </w:p>
              </w:tc>
              <w:tc>
                <w:tcPr>
                  <w:tcW w:w="531" w:type="dxa"/>
                  <w:shd w:val="clear" w:color="auto" w:fill="auto"/>
                  <w:vAlign w:val="center"/>
                </w:tcPr>
                <w:p w14:paraId="6E3BD732">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90</w:t>
                  </w:r>
                </w:p>
              </w:tc>
              <w:tc>
                <w:tcPr>
                  <w:tcW w:w="914" w:type="dxa"/>
                  <w:shd w:val="clear" w:color="auto" w:fill="auto"/>
                  <w:vAlign w:val="center"/>
                </w:tcPr>
                <w:p w14:paraId="08BB8D15">
                  <w:pPr>
                    <w:pStyle w:val="1305"/>
                    <w:ind w:firstLine="0" w:firstLineChars="0"/>
                    <w:rPr>
                      <w:color w:val="000000" w:themeColor="text1"/>
                      <w:sz w:val="21"/>
                      <w:szCs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31.412</w:t>
                  </w:r>
                </w:p>
              </w:tc>
              <w:tc>
                <w:tcPr>
                  <w:tcW w:w="730" w:type="dxa"/>
                  <w:shd w:val="clear" w:color="auto" w:fill="auto"/>
                  <w:vAlign w:val="center"/>
                </w:tcPr>
                <w:p w14:paraId="1E20121B">
                  <w:pPr>
                    <w:pStyle w:val="1305"/>
                    <w:ind w:firstLine="0" w:firstLineChars="0"/>
                    <w:rPr>
                      <w:rFonts w:hint="eastAsia"/>
                      <w:color w:val="000000" w:themeColor="text1"/>
                      <w:sz w:val="21"/>
                      <w:highlight w:val="yellow"/>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14.2</w:t>
                  </w:r>
                </w:p>
              </w:tc>
              <w:tc>
                <w:tcPr>
                  <w:tcW w:w="899" w:type="dxa"/>
                  <w:shd w:val="clear" w:color="auto" w:fill="auto"/>
                  <w:vAlign w:val="center"/>
                </w:tcPr>
                <w:p w14:paraId="4F63677B">
                  <w:pPr>
                    <w:pStyle w:val="1305"/>
                    <w:ind w:firstLine="0" w:firstLineChars="0"/>
                    <w:rPr>
                      <w:rFonts w:hint="eastAsia"/>
                      <w:color w:val="000000" w:themeColor="text1"/>
                      <w:sz w:val="21"/>
                      <w:highlight w:val="yellow"/>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71.6</w:t>
                  </w:r>
                </w:p>
              </w:tc>
              <w:tc>
                <w:tcPr>
                  <w:tcW w:w="636" w:type="dxa"/>
                  <w:shd w:val="clear" w:color="auto" w:fill="auto"/>
                  <w:vAlign w:val="center"/>
                </w:tcPr>
                <w:p w14:paraId="3385B313">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5040</w:t>
                  </w:r>
                </w:p>
              </w:tc>
              <w:tc>
                <w:tcPr>
                  <w:tcW w:w="218" w:type="pct"/>
                  <w:shd w:val="clear" w:color="auto" w:fill="auto"/>
                  <w:vAlign w:val="center"/>
                </w:tcPr>
                <w:p w14:paraId="2B33AE21">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w:t>
                  </w:r>
                </w:p>
              </w:tc>
            </w:tr>
            <w:tr w14:paraId="1531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shd w:val="clear" w:color="auto" w:fill="auto"/>
                  <w:vAlign w:val="center"/>
                </w:tcPr>
                <w:p w14:paraId="77B28BFF">
                  <w:pPr>
                    <w:pStyle w:val="1305"/>
                    <w:rPr>
                      <w:color w:val="000000" w:themeColor="text1"/>
                      <w:sz w:val="21"/>
                      <w14:textFill>
                        <w14:solidFill>
                          <w14:schemeClr w14:val="tx1"/>
                        </w14:solidFill>
                      </w14:textFill>
                    </w:rPr>
                  </w:pPr>
                </w:p>
              </w:tc>
              <w:tc>
                <w:tcPr>
                  <w:tcW w:w="443" w:type="pct"/>
                  <w:vMerge w:val="continue"/>
                  <w:shd w:val="clear" w:color="auto" w:fill="auto"/>
                  <w:vAlign w:val="center"/>
                </w:tcPr>
                <w:p w14:paraId="17B1BD09">
                  <w:pPr>
                    <w:pStyle w:val="1305"/>
                    <w:rPr>
                      <w:color w:val="000000" w:themeColor="text1"/>
                      <w:sz w:val="21"/>
                      <w14:textFill>
                        <w14:solidFill>
                          <w14:schemeClr w14:val="tx1"/>
                        </w14:solidFill>
                      </w14:textFill>
                    </w:rPr>
                  </w:pPr>
                </w:p>
              </w:tc>
              <w:tc>
                <w:tcPr>
                  <w:tcW w:w="324" w:type="pct"/>
                  <w:shd w:val="clear" w:color="auto" w:fill="auto"/>
                  <w:vAlign w:val="center"/>
                </w:tcPr>
                <w:p w14:paraId="18ADBE71">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NO</w:t>
                  </w:r>
                  <w:r>
                    <w:rPr>
                      <w:rFonts w:hint="eastAsia"/>
                      <w:color w:val="000000" w:themeColor="text1"/>
                      <w:sz w:val="21"/>
                      <w:vertAlign w:val="subscript"/>
                      <w14:textFill>
                        <w14:solidFill>
                          <w14:schemeClr w14:val="tx1"/>
                        </w14:solidFill>
                      </w14:textFill>
                    </w:rPr>
                    <w:t>X</w:t>
                  </w:r>
                </w:p>
              </w:tc>
              <w:tc>
                <w:tcPr>
                  <w:tcW w:w="218" w:type="pct"/>
                  <w:vMerge w:val="continue"/>
                  <w:shd w:val="clear" w:color="auto" w:fill="auto"/>
                  <w:vAlign w:val="center"/>
                </w:tcPr>
                <w:p w14:paraId="5C6FA30E">
                  <w:pPr>
                    <w:pStyle w:val="1305"/>
                    <w:rPr>
                      <w:color w:val="000000" w:themeColor="text1"/>
                      <w:sz w:val="21"/>
                      <w14:textFill>
                        <w14:solidFill>
                          <w14:schemeClr w14:val="tx1"/>
                        </w14:solidFill>
                      </w14:textFill>
                    </w:rPr>
                  </w:pPr>
                </w:p>
              </w:tc>
              <w:tc>
                <w:tcPr>
                  <w:tcW w:w="914" w:type="dxa"/>
                  <w:shd w:val="clear" w:color="auto" w:fill="auto"/>
                  <w:vAlign w:val="center"/>
                </w:tcPr>
                <w:p w14:paraId="41CF3E28">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53.72</w:t>
                  </w:r>
                </w:p>
              </w:tc>
              <w:tc>
                <w:tcPr>
                  <w:tcW w:w="899" w:type="dxa"/>
                  <w:shd w:val="clear" w:color="auto" w:fill="auto"/>
                  <w:vAlign w:val="center"/>
                </w:tcPr>
                <w:p w14:paraId="469057DA">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122.4</w:t>
                  </w:r>
                </w:p>
              </w:tc>
              <w:tc>
                <w:tcPr>
                  <w:tcW w:w="374" w:type="pct"/>
                  <w:vMerge w:val="continue"/>
                  <w:shd w:val="clear" w:color="auto" w:fill="auto"/>
                  <w:vAlign w:val="center"/>
                </w:tcPr>
                <w:p w14:paraId="2A871F70">
                  <w:pPr>
                    <w:pStyle w:val="1305"/>
                    <w:rPr>
                      <w:color w:val="000000" w:themeColor="text1"/>
                      <w:sz w:val="21"/>
                      <w:highlight w:val="yellow"/>
                      <w14:textFill>
                        <w14:solidFill>
                          <w14:schemeClr w14:val="tx1"/>
                        </w14:solidFill>
                      </w14:textFill>
                    </w:rPr>
                  </w:pPr>
                </w:p>
              </w:tc>
              <w:tc>
                <w:tcPr>
                  <w:tcW w:w="531" w:type="dxa"/>
                  <w:shd w:val="clear" w:color="auto" w:fill="auto"/>
                  <w:vAlign w:val="center"/>
                </w:tcPr>
                <w:p w14:paraId="1CCDCBFA">
                  <w:pPr>
                    <w:pStyle w:val="1305"/>
                    <w:ind w:firstLine="0" w:firstLineChars="0"/>
                    <w:rPr>
                      <w:color w:val="000000" w:themeColor="text1"/>
                      <w:sz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w:t>
                  </w:r>
                </w:p>
              </w:tc>
              <w:tc>
                <w:tcPr>
                  <w:tcW w:w="914" w:type="dxa"/>
                  <w:shd w:val="clear" w:color="auto" w:fill="auto"/>
                  <w:vAlign w:val="center"/>
                </w:tcPr>
                <w:p w14:paraId="1E1709D1">
                  <w:pPr>
                    <w:pStyle w:val="1305"/>
                    <w:ind w:firstLine="0" w:firstLineChars="0"/>
                    <w:rPr>
                      <w:color w:val="000000" w:themeColor="text1"/>
                      <w:sz w:val="21"/>
                      <w:szCs w:val="21"/>
                      <w:highlight w:val="yellow"/>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53.72</w:t>
                  </w:r>
                </w:p>
              </w:tc>
              <w:tc>
                <w:tcPr>
                  <w:tcW w:w="730" w:type="dxa"/>
                  <w:shd w:val="clear" w:color="auto" w:fill="auto"/>
                  <w:vAlign w:val="center"/>
                </w:tcPr>
                <w:p w14:paraId="74E06227">
                  <w:pPr>
                    <w:pStyle w:val="1305"/>
                    <w:ind w:firstLine="0" w:firstLineChars="0"/>
                    <w:rPr>
                      <w:rFonts w:hint="eastAsia"/>
                      <w:color w:val="000000" w:themeColor="text1"/>
                      <w:sz w:val="21"/>
                      <w:highlight w:val="yellow"/>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24.3</w:t>
                  </w:r>
                </w:p>
              </w:tc>
              <w:tc>
                <w:tcPr>
                  <w:tcW w:w="899" w:type="dxa"/>
                  <w:shd w:val="clear" w:color="auto" w:fill="auto"/>
                  <w:vAlign w:val="center"/>
                </w:tcPr>
                <w:p w14:paraId="5F225A18">
                  <w:pPr>
                    <w:pStyle w:val="1305"/>
                    <w:ind w:firstLine="0" w:firstLineChars="0"/>
                    <w:rPr>
                      <w:rFonts w:hint="eastAsia"/>
                      <w:color w:val="000000" w:themeColor="text1"/>
                      <w:sz w:val="21"/>
                      <w:highlight w:val="yellow"/>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122.4</w:t>
                  </w:r>
                </w:p>
              </w:tc>
              <w:tc>
                <w:tcPr>
                  <w:tcW w:w="636" w:type="dxa"/>
                  <w:shd w:val="clear" w:color="auto" w:fill="auto"/>
                  <w:vAlign w:val="center"/>
                </w:tcPr>
                <w:p w14:paraId="43E72229">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5040</w:t>
                  </w:r>
                </w:p>
              </w:tc>
              <w:tc>
                <w:tcPr>
                  <w:tcW w:w="218" w:type="pct"/>
                  <w:shd w:val="clear" w:color="auto" w:fill="auto"/>
                  <w:vAlign w:val="center"/>
                </w:tcPr>
                <w:p w14:paraId="151657C3">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w:t>
                  </w:r>
                </w:p>
              </w:tc>
            </w:tr>
            <w:tr w14:paraId="4B70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shd w:val="clear" w:color="auto" w:fill="auto"/>
                  <w:vAlign w:val="center"/>
                </w:tcPr>
                <w:p w14:paraId="2A93A3E8">
                  <w:pPr>
                    <w:pStyle w:val="1305"/>
                    <w:rPr>
                      <w:color w:val="000000" w:themeColor="text1"/>
                      <w:sz w:val="21"/>
                      <w14:textFill>
                        <w14:solidFill>
                          <w14:schemeClr w14:val="tx1"/>
                        </w14:solidFill>
                      </w14:textFill>
                    </w:rPr>
                  </w:pPr>
                </w:p>
              </w:tc>
              <w:tc>
                <w:tcPr>
                  <w:tcW w:w="443" w:type="pct"/>
                  <w:vMerge w:val="continue"/>
                  <w:shd w:val="clear" w:color="auto" w:fill="auto"/>
                  <w:vAlign w:val="center"/>
                </w:tcPr>
                <w:p w14:paraId="7D03C4A2">
                  <w:pPr>
                    <w:pStyle w:val="1305"/>
                    <w:rPr>
                      <w:color w:val="000000" w:themeColor="text1"/>
                      <w:sz w:val="21"/>
                      <w14:textFill>
                        <w14:solidFill>
                          <w14:schemeClr w14:val="tx1"/>
                        </w14:solidFill>
                      </w14:textFill>
                    </w:rPr>
                  </w:pPr>
                </w:p>
              </w:tc>
              <w:tc>
                <w:tcPr>
                  <w:tcW w:w="324" w:type="pct"/>
                  <w:shd w:val="clear" w:color="auto" w:fill="auto"/>
                  <w:vAlign w:val="center"/>
                </w:tcPr>
                <w:p w14:paraId="149B7463">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氟化物</w:t>
                  </w:r>
                </w:p>
              </w:tc>
              <w:tc>
                <w:tcPr>
                  <w:tcW w:w="218" w:type="pct"/>
                  <w:vMerge w:val="continue"/>
                  <w:shd w:val="clear" w:color="auto" w:fill="auto"/>
                  <w:vAlign w:val="center"/>
                </w:tcPr>
                <w:p w14:paraId="2ACCC56B">
                  <w:pPr>
                    <w:pStyle w:val="1305"/>
                    <w:rPr>
                      <w:color w:val="000000" w:themeColor="text1"/>
                      <w:sz w:val="21"/>
                      <w14:textFill>
                        <w14:solidFill>
                          <w14:schemeClr w14:val="tx1"/>
                        </w14:solidFill>
                      </w14:textFill>
                    </w:rPr>
                  </w:pPr>
                </w:p>
              </w:tc>
              <w:tc>
                <w:tcPr>
                  <w:tcW w:w="914" w:type="dxa"/>
                  <w:shd w:val="clear" w:color="auto" w:fill="auto"/>
                  <w:vAlign w:val="center"/>
                </w:tcPr>
                <w:p w14:paraId="0CBE7058">
                  <w:pPr>
                    <w:pStyle w:val="1305"/>
                    <w:ind w:firstLine="0" w:firstLineChars="0"/>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10.50</w:t>
                  </w:r>
                </w:p>
              </w:tc>
              <w:tc>
                <w:tcPr>
                  <w:tcW w:w="899" w:type="dxa"/>
                  <w:shd w:val="clear" w:color="auto" w:fill="auto"/>
                  <w:vAlign w:val="center"/>
                </w:tcPr>
                <w:p w14:paraId="00E8849D">
                  <w:pPr>
                    <w:pStyle w:val="1305"/>
                    <w:ind w:firstLine="0" w:firstLineChars="0"/>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11.15</w:t>
                  </w:r>
                </w:p>
              </w:tc>
              <w:tc>
                <w:tcPr>
                  <w:tcW w:w="374" w:type="pct"/>
                  <w:vMerge w:val="continue"/>
                  <w:shd w:val="clear" w:color="auto" w:fill="auto"/>
                  <w:vAlign w:val="center"/>
                </w:tcPr>
                <w:p w14:paraId="733427B1">
                  <w:pPr>
                    <w:pStyle w:val="1305"/>
                    <w:ind w:firstLine="0" w:firstLineChars="0"/>
                    <w:rPr>
                      <w:rFonts w:hint="eastAsia" w:ascii="Times New Roman" w:hAnsi="Times New Roman" w:cs="Times New Roman"/>
                      <w:color w:val="000000" w:themeColor="text1"/>
                      <w:sz w:val="21"/>
                      <w14:textFill>
                        <w14:solidFill>
                          <w14:schemeClr w14:val="tx1"/>
                        </w14:solidFill>
                      </w14:textFill>
                    </w:rPr>
                  </w:pPr>
                </w:p>
              </w:tc>
              <w:tc>
                <w:tcPr>
                  <w:tcW w:w="314" w:type="pct"/>
                  <w:shd w:val="clear" w:color="auto" w:fill="auto"/>
                  <w:vAlign w:val="center"/>
                </w:tcPr>
                <w:p w14:paraId="32E39508">
                  <w:pPr>
                    <w:pStyle w:val="1305"/>
                    <w:ind w:firstLine="0" w:firstLineChars="0"/>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60</w:t>
                  </w:r>
                </w:p>
              </w:tc>
              <w:tc>
                <w:tcPr>
                  <w:tcW w:w="914" w:type="dxa"/>
                  <w:shd w:val="clear" w:color="auto" w:fill="auto"/>
                  <w:vAlign w:val="center"/>
                </w:tcPr>
                <w:p w14:paraId="5FD9304B">
                  <w:pPr>
                    <w:pStyle w:val="1305"/>
                    <w:ind w:firstLine="0" w:firstLineChars="0"/>
                    <w:rPr>
                      <w:rFonts w:hint="eastAsia"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2.8</w:t>
                  </w:r>
                </w:p>
              </w:tc>
              <w:tc>
                <w:tcPr>
                  <w:tcW w:w="730" w:type="dxa"/>
                  <w:shd w:val="clear" w:color="auto" w:fill="auto"/>
                  <w:vAlign w:val="center"/>
                </w:tcPr>
                <w:p w14:paraId="2A1E85AA">
                  <w:pPr>
                    <w:pStyle w:val="1305"/>
                    <w:ind w:firstLine="0" w:firstLineChars="0"/>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0.89</w:t>
                  </w:r>
                </w:p>
              </w:tc>
              <w:tc>
                <w:tcPr>
                  <w:tcW w:w="899" w:type="dxa"/>
                  <w:shd w:val="clear" w:color="auto" w:fill="auto"/>
                  <w:vAlign w:val="center"/>
                </w:tcPr>
                <w:p w14:paraId="6FFA8B1E">
                  <w:pPr>
                    <w:pStyle w:val="1305"/>
                    <w:ind w:firstLine="0" w:firstLineChars="0"/>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4.46</w:t>
                  </w:r>
                </w:p>
              </w:tc>
              <w:tc>
                <w:tcPr>
                  <w:tcW w:w="636" w:type="dxa"/>
                  <w:shd w:val="clear" w:color="auto" w:fill="auto"/>
                  <w:vAlign w:val="center"/>
                </w:tcPr>
                <w:p w14:paraId="79B7FF39">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5040</w:t>
                  </w:r>
                </w:p>
              </w:tc>
              <w:tc>
                <w:tcPr>
                  <w:tcW w:w="218" w:type="pct"/>
                  <w:shd w:val="clear" w:color="auto" w:fill="auto"/>
                  <w:vAlign w:val="center"/>
                </w:tcPr>
                <w:p w14:paraId="22C71B54">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是</w:t>
                  </w:r>
                </w:p>
              </w:tc>
            </w:tr>
          </w:tbl>
          <w:p w14:paraId="2ABFE8CE">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大气污染物无组织排放量核算表</w:t>
            </w:r>
          </w:p>
          <w:tbl>
            <w:tblPr>
              <w:tblStyle w:val="8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8"/>
              <w:gridCol w:w="660"/>
              <w:gridCol w:w="1151"/>
              <w:gridCol w:w="698"/>
              <w:gridCol w:w="1558"/>
              <w:gridCol w:w="2242"/>
              <w:gridCol w:w="1280"/>
              <w:gridCol w:w="976"/>
            </w:tblGrid>
            <w:tr w14:paraId="1AA54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222" w:type="pct"/>
                  <w:vMerge w:val="restart"/>
                  <w:tcBorders>
                    <w:tl2br w:val="nil"/>
                    <w:tr2bl w:val="nil"/>
                  </w:tcBorders>
                  <w:vAlign w:val="center"/>
                </w:tcPr>
                <w:p w14:paraId="1F52E0C2">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368" w:type="pct"/>
                  <w:vMerge w:val="restart"/>
                  <w:tcBorders>
                    <w:tl2br w:val="nil"/>
                    <w:tr2bl w:val="nil"/>
                  </w:tcBorders>
                  <w:vAlign w:val="center"/>
                </w:tcPr>
                <w:p w14:paraId="4985359D">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排放口编号</w:t>
                  </w:r>
                </w:p>
              </w:tc>
              <w:tc>
                <w:tcPr>
                  <w:tcW w:w="642" w:type="pct"/>
                  <w:vMerge w:val="restart"/>
                  <w:tcBorders>
                    <w:tl2br w:val="nil"/>
                    <w:tr2bl w:val="nil"/>
                  </w:tcBorders>
                  <w:vAlign w:val="center"/>
                </w:tcPr>
                <w:p w14:paraId="16669849">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产污环节</w:t>
                  </w:r>
                </w:p>
              </w:tc>
              <w:tc>
                <w:tcPr>
                  <w:tcW w:w="389" w:type="pct"/>
                  <w:vMerge w:val="restart"/>
                  <w:tcBorders>
                    <w:tl2br w:val="nil"/>
                    <w:tr2bl w:val="nil"/>
                  </w:tcBorders>
                  <w:vAlign w:val="center"/>
                </w:tcPr>
                <w:p w14:paraId="78ECF099">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污染物</w:t>
                  </w:r>
                </w:p>
              </w:tc>
              <w:tc>
                <w:tcPr>
                  <w:tcW w:w="869" w:type="pct"/>
                  <w:vMerge w:val="restart"/>
                  <w:tcBorders>
                    <w:tl2br w:val="nil"/>
                    <w:tr2bl w:val="nil"/>
                  </w:tcBorders>
                  <w:vAlign w:val="center"/>
                </w:tcPr>
                <w:p w14:paraId="34D713BF">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主要污染防治措施</w:t>
                  </w:r>
                </w:p>
              </w:tc>
              <w:tc>
                <w:tcPr>
                  <w:tcW w:w="1964" w:type="pct"/>
                  <w:gridSpan w:val="2"/>
                  <w:tcBorders>
                    <w:tl2br w:val="nil"/>
                    <w:tr2bl w:val="nil"/>
                  </w:tcBorders>
                  <w:vAlign w:val="center"/>
                </w:tcPr>
                <w:p w14:paraId="3A1D4B19">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国家或地方污染物控制标准</w:t>
                  </w:r>
                </w:p>
              </w:tc>
              <w:tc>
                <w:tcPr>
                  <w:tcW w:w="544" w:type="pct"/>
                  <w:vMerge w:val="restart"/>
                  <w:tcBorders>
                    <w:tl2br w:val="nil"/>
                    <w:tr2bl w:val="nil"/>
                  </w:tcBorders>
                  <w:vAlign w:val="center"/>
                </w:tcPr>
                <w:p w14:paraId="10D6C737">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年排放量（t/a）</w:t>
                  </w:r>
                </w:p>
              </w:tc>
            </w:tr>
            <w:tr w14:paraId="38263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exact"/>
                <w:jc w:val="center"/>
              </w:trPr>
              <w:tc>
                <w:tcPr>
                  <w:tcW w:w="222" w:type="pct"/>
                  <w:vMerge w:val="continue"/>
                  <w:tcBorders>
                    <w:tl2br w:val="nil"/>
                    <w:tr2bl w:val="nil"/>
                  </w:tcBorders>
                  <w:vAlign w:val="center"/>
                </w:tcPr>
                <w:p w14:paraId="51AB138D">
                  <w:pPr>
                    <w:pStyle w:val="1305"/>
                    <w:rPr>
                      <w:color w:val="000000" w:themeColor="text1"/>
                      <w:sz w:val="21"/>
                      <w14:textFill>
                        <w14:solidFill>
                          <w14:schemeClr w14:val="tx1"/>
                        </w14:solidFill>
                      </w14:textFill>
                    </w:rPr>
                  </w:pPr>
                </w:p>
              </w:tc>
              <w:tc>
                <w:tcPr>
                  <w:tcW w:w="368" w:type="pct"/>
                  <w:vMerge w:val="continue"/>
                  <w:tcBorders>
                    <w:tl2br w:val="nil"/>
                    <w:tr2bl w:val="nil"/>
                  </w:tcBorders>
                  <w:vAlign w:val="center"/>
                </w:tcPr>
                <w:p w14:paraId="2B19F5FF">
                  <w:pPr>
                    <w:pStyle w:val="1305"/>
                    <w:rPr>
                      <w:color w:val="000000" w:themeColor="text1"/>
                      <w:sz w:val="21"/>
                      <w14:textFill>
                        <w14:solidFill>
                          <w14:schemeClr w14:val="tx1"/>
                        </w14:solidFill>
                      </w14:textFill>
                    </w:rPr>
                  </w:pPr>
                </w:p>
              </w:tc>
              <w:tc>
                <w:tcPr>
                  <w:tcW w:w="642" w:type="pct"/>
                  <w:vMerge w:val="continue"/>
                  <w:tcBorders>
                    <w:tl2br w:val="nil"/>
                    <w:tr2bl w:val="nil"/>
                  </w:tcBorders>
                  <w:vAlign w:val="center"/>
                </w:tcPr>
                <w:p w14:paraId="1DFEEF16">
                  <w:pPr>
                    <w:pStyle w:val="1305"/>
                    <w:rPr>
                      <w:color w:val="000000" w:themeColor="text1"/>
                      <w:sz w:val="21"/>
                      <w14:textFill>
                        <w14:solidFill>
                          <w14:schemeClr w14:val="tx1"/>
                        </w14:solidFill>
                      </w14:textFill>
                    </w:rPr>
                  </w:pPr>
                </w:p>
              </w:tc>
              <w:tc>
                <w:tcPr>
                  <w:tcW w:w="389" w:type="pct"/>
                  <w:vMerge w:val="continue"/>
                  <w:tcBorders>
                    <w:tl2br w:val="nil"/>
                    <w:tr2bl w:val="nil"/>
                  </w:tcBorders>
                  <w:vAlign w:val="center"/>
                </w:tcPr>
                <w:p w14:paraId="5826E25A">
                  <w:pPr>
                    <w:pStyle w:val="1305"/>
                    <w:rPr>
                      <w:color w:val="000000" w:themeColor="text1"/>
                      <w:sz w:val="21"/>
                      <w14:textFill>
                        <w14:solidFill>
                          <w14:schemeClr w14:val="tx1"/>
                        </w14:solidFill>
                      </w14:textFill>
                    </w:rPr>
                  </w:pPr>
                </w:p>
              </w:tc>
              <w:tc>
                <w:tcPr>
                  <w:tcW w:w="869" w:type="pct"/>
                  <w:vMerge w:val="continue"/>
                  <w:tcBorders>
                    <w:tl2br w:val="nil"/>
                    <w:tr2bl w:val="nil"/>
                  </w:tcBorders>
                  <w:vAlign w:val="center"/>
                </w:tcPr>
                <w:p w14:paraId="66C67BD9">
                  <w:pPr>
                    <w:pStyle w:val="1305"/>
                    <w:rPr>
                      <w:color w:val="000000" w:themeColor="text1"/>
                      <w:sz w:val="21"/>
                      <w14:textFill>
                        <w14:solidFill>
                          <w14:schemeClr w14:val="tx1"/>
                        </w14:solidFill>
                      </w14:textFill>
                    </w:rPr>
                  </w:pPr>
                </w:p>
              </w:tc>
              <w:tc>
                <w:tcPr>
                  <w:tcW w:w="1250" w:type="pct"/>
                  <w:tcBorders>
                    <w:tl2br w:val="nil"/>
                    <w:tr2bl w:val="nil"/>
                  </w:tcBorders>
                  <w:vAlign w:val="center"/>
                </w:tcPr>
                <w:p w14:paraId="678A15E9">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标准名称</w:t>
                  </w:r>
                </w:p>
              </w:tc>
              <w:tc>
                <w:tcPr>
                  <w:tcW w:w="714" w:type="pct"/>
                  <w:tcBorders>
                    <w:tl2br w:val="nil"/>
                    <w:tr2bl w:val="nil"/>
                  </w:tcBorders>
                  <w:vAlign w:val="center"/>
                </w:tcPr>
                <w:p w14:paraId="377782EE">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浓度限值</w:t>
                  </w:r>
                </w:p>
                <w:p w14:paraId="7EE6C4E4">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（mg/</w:t>
                  </w:r>
                  <w:r>
                    <w:rPr>
                      <w:rFonts w:hint="eastAsia"/>
                      <w:color w:val="000000" w:themeColor="text1"/>
                      <w:sz w:val="21"/>
                      <w14:textFill>
                        <w14:solidFill>
                          <w14:schemeClr w14:val="tx1"/>
                        </w14:solidFill>
                      </w14:textFill>
                    </w:rPr>
                    <w:t>m</w:t>
                  </w:r>
                  <w:r>
                    <w:rPr>
                      <w:rFonts w:hint="eastAsia"/>
                      <w:color w:val="000000" w:themeColor="text1"/>
                      <w:sz w:val="21"/>
                      <w:vertAlign w:val="superscript"/>
                      <w14:textFill>
                        <w14:solidFill>
                          <w14:schemeClr w14:val="tx1"/>
                        </w14:solidFill>
                      </w14:textFill>
                    </w:rPr>
                    <w:t>3</w:t>
                  </w:r>
                  <w:r>
                    <w:rPr>
                      <w:color w:val="000000" w:themeColor="text1"/>
                      <w:sz w:val="21"/>
                      <w14:textFill>
                        <w14:solidFill>
                          <w14:schemeClr w14:val="tx1"/>
                        </w14:solidFill>
                      </w14:textFill>
                    </w:rPr>
                    <w:t>）</w:t>
                  </w:r>
                </w:p>
              </w:tc>
              <w:tc>
                <w:tcPr>
                  <w:tcW w:w="544" w:type="pct"/>
                  <w:vMerge w:val="continue"/>
                  <w:tcBorders>
                    <w:tl2br w:val="nil"/>
                    <w:tr2bl w:val="nil"/>
                  </w:tcBorders>
                  <w:vAlign w:val="center"/>
                </w:tcPr>
                <w:p w14:paraId="761C5643">
                  <w:pPr>
                    <w:pStyle w:val="1305"/>
                    <w:rPr>
                      <w:color w:val="000000" w:themeColor="text1"/>
                      <w:sz w:val="21"/>
                      <w14:textFill>
                        <w14:solidFill>
                          <w14:schemeClr w14:val="tx1"/>
                        </w14:solidFill>
                      </w14:textFill>
                    </w:rPr>
                  </w:pPr>
                </w:p>
              </w:tc>
            </w:tr>
            <w:tr w14:paraId="2B40B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exact"/>
                <w:jc w:val="center"/>
              </w:trPr>
              <w:tc>
                <w:tcPr>
                  <w:tcW w:w="222" w:type="pct"/>
                  <w:tcBorders>
                    <w:tl2br w:val="nil"/>
                    <w:tr2bl w:val="nil"/>
                  </w:tcBorders>
                  <w:vAlign w:val="center"/>
                </w:tcPr>
                <w:p w14:paraId="2D136CC4">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368" w:type="pct"/>
                  <w:vMerge w:val="restart"/>
                  <w:tcBorders>
                    <w:tl2br w:val="nil"/>
                    <w:tr2bl w:val="nil"/>
                  </w:tcBorders>
                  <w:vAlign w:val="center"/>
                </w:tcPr>
                <w:p w14:paraId="5D4062A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无组织</w:t>
                  </w:r>
                </w:p>
              </w:tc>
              <w:tc>
                <w:tcPr>
                  <w:tcW w:w="642" w:type="pct"/>
                  <w:tcBorders>
                    <w:tl2br w:val="nil"/>
                    <w:tr2bl w:val="nil"/>
                  </w:tcBorders>
                  <w:vAlign w:val="center"/>
                </w:tcPr>
                <w:p w14:paraId="0A16B85B">
                  <w:pPr>
                    <w:pStyle w:val="1305"/>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物料储存，转运</w:t>
                  </w:r>
                </w:p>
              </w:tc>
              <w:tc>
                <w:tcPr>
                  <w:tcW w:w="389" w:type="pct"/>
                  <w:tcBorders>
                    <w:tl2br w:val="nil"/>
                    <w:tr2bl w:val="nil"/>
                  </w:tcBorders>
                  <w:vAlign w:val="center"/>
                </w:tcPr>
                <w:p w14:paraId="24AB3A4D">
                  <w:pPr>
                    <w:pStyle w:val="1305"/>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颗粒物</w:t>
                  </w:r>
                </w:p>
              </w:tc>
              <w:tc>
                <w:tcPr>
                  <w:tcW w:w="869" w:type="pct"/>
                  <w:tcBorders>
                    <w:tl2br w:val="nil"/>
                    <w:tr2bl w:val="nil"/>
                  </w:tcBorders>
                  <w:vAlign w:val="center"/>
                </w:tcPr>
                <w:p w14:paraId="57E85B23">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密闭+</w:t>
                  </w:r>
                  <w:r>
                    <w:rPr>
                      <w:rFonts w:hint="eastAsia"/>
                      <w:color w:val="000000" w:themeColor="text1"/>
                      <w:sz w:val="21"/>
                      <w14:textFill>
                        <w14:solidFill>
                          <w14:schemeClr w14:val="tx1"/>
                        </w14:solidFill>
                      </w14:textFill>
                    </w:rPr>
                    <w:t>雾炮</w:t>
                  </w:r>
                  <w:r>
                    <w:rPr>
                      <w:color w:val="000000" w:themeColor="text1"/>
                      <w:sz w:val="21"/>
                      <w14:textFill>
                        <w14:solidFill>
                          <w14:schemeClr w14:val="tx1"/>
                        </w14:solidFill>
                      </w14:textFill>
                    </w:rPr>
                    <w:t>抑尘</w:t>
                  </w:r>
                </w:p>
              </w:tc>
              <w:tc>
                <w:tcPr>
                  <w:tcW w:w="1250" w:type="pct"/>
                  <w:vMerge w:val="restart"/>
                  <w:tcBorders>
                    <w:tl2br w:val="nil"/>
                    <w:tr2bl w:val="nil"/>
                  </w:tcBorders>
                  <w:vAlign w:val="center"/>
                </w:tcPr>
                <w:p w14:paraId="07FD2C47">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《砖瓦工业大气污染物排放标准》（GB29620-2013）表3及修改单中标准</w:t>
                  </w:r>
                </w:p>
              </w:tc>
              <w:tc>
                <w:tcPr>
                  <w:tcW w:w="714" w:type="pct"/>
                  <w:vMerge w:val="restart"/>
                  <w:tcBorders>
                    <w:tl2br w:val="nil"/>
                    <w:tr2bl w:val="nil"/>
                  </w:tcBorders>
                  <w:vAlign w:val="center"/>
                </w:tcPr>
                <w:p w14:paraId="16985C1D">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浓度差值</w:t>
                  </w:r>
                </w:p>
                <w:p w14:paraId="6E12807A">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≤1.0</w:t>
                  </w:r>
                </w:p>
              </w:tc>
              <w:tc>
                <w:tcPr>
                  <w:tcW w:w="544" w:type="pct"/>
                  <w:tcBorders>
                    <w:tl2br w:val="nil"/>
                    <w:tr2bl w:val="nil"/>
                  </w:tcBorders>
                  <w:vAlign w:val="center"/>
                </w:tcPr>
                <w:p w14:paraId="56D7AE26">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5.28</w:t>
                  </w:r>
                </w:p>
              </w:tc>
            </w:tr>
            <w:tr w14:paraId="6061E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exact"/>
                <w:jc w:val="center"/>
              </w:trPr>
              <w:tc>
                <w:tcPr>
                  <w:tcW w:w="222" w:type="pct"/>
                  <w:tcBorders>
                    <w:tl2br w:val="nil"/>
                    <w:tr2bl w:val="nil"/>
                  </w:tcBorders>
                  <w:vAlign w:val="center"/>
                </w:tcPr>
                <w:p w14:paraId="6D773271">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368" w:type="pct"/>
                  <w:vMerge w:val="continue"/>
                  <w:tcBorders>
                    <w:tl2br w:val="nil"/>
                    <w:tr2bl w:val="nil"/>
                  </w:tcBorders>
                  <w:vAlign w:val="center"/>
                </w:tcPr>
                <w:p w14:paraId="10D6F8BD">
                  <w:pPr>
                    <w:pStyle w:val="1305"/>
                    <w:rPr>
                      <w:color w:val="000000" w:themeColor="text1"/>
                      <w:sz w:val="21"/>
                      <w14:textFill>
                        <w14:solidFill>
                          <w14:schemeClr w14:val="tx1"/>
                        </w14:solidFill>
                      </w14:textFill>
                    </w:rPr>
                  </w:pPr>
                </w:p>
              </w:tc>
              <w:tc>
                <w:tcPr>
                  <w:tcW w:w="642" w:type="pct"/>
                  <w:tcBorders>
                    <w:tl2br w:val="nil"/>
                    <w:tr2bl w:val="nil"/>
                  </w:tcBorders>
                  <w:vAlign w:val="center"/>
                </w:tcPr>
                <w:p w14:paraId="22111C7D">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道路运输</w:t>
                  </w:r>
                </w:p>
              </w:tc>
              <w:tc>
                <w:tcPr>
                  <w:tcW w:w="389" w:type="pct"/>
                  <w:tcBorders>
                    <w:tl2br w:val="nil"/>
                    <w:tr2bl w:val="nil"/>
                  </w:tcBorders>
                  <w:vAlign w:val="center"/>
                </w:tcPr>
                <w:p w14:paraId="057EB93C">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颗粒物</w:t>
                  </w:r>
                </w:p>
              </w:tc>
              <w:tc>
                <w:tcPr>
                  <w:tcW w:w="869" w:type="pct"/>
                  <w:tcBorders>
                    <w:tl2br w:val="nil"/>
                    <w:tr2bl w:val="nil"/>
                  </w:tcBorders>
                  <w:vAlign w:val="center"/>
                </w:tcPr>
                <w:p w14:paraId="6994F3C2">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加盖蓬布+地面硬化+洒水抑尘</w:t>
                  </w:r>
                </w:p>
              </w:tc>
              <w:tc>
                <w:tcPr>
                  <w:tcW w:w="1250" w:type="pct"/>
                  <w:vMerge w:val="continue"/>
                  <w:tcBorders>
                    <w:tl2br w:val="nil"/>
                    <w:tr2bl w:val="nil"/>
                  </w:tcBorders>
                  <w:vAlign w:val="center"/>
                </w:tcPr>
                <w:p w14:paraId="125845D3">
                  <w:pPr>
                    <w:pStyle w:val="1305"/>
                    <w:rPr>
                      <w:color w:val="000000" w:themeColor="text1"/>
                      <w:sz w:val="21"/>
                      <w14:textFill>
                        <w14:solidFill>
                          <w14:schemeClr w14:val="tx1"/>
                        </w14:solidFill>
                      </w14:textFill>
                    </w:rPr>
                  </w:pPr>
                </w:p>
              </w:tc>
              <w:tc>
                <w:tcPr>
                  <w:tcW w:w="714" w:type="pct"/>
                  <w:vMerge w:val="continue"/>
                  <w:tcBorders>
                    <w:tl2br w:val="nil"/>
                    <w:tr2bl w:val="nil"/>
                  </w:tcBorders>
                  <w:vAlign w:val="center"/>
                </w:tcPr>
                <w:p w14:paraId="5F7B7C27">
                  <w:pPr>
                    <w:pStyle w:val="1305"/>
                    <w:rPr>
                      <w:color w:val="000000" w:themeColor="text1"/>
                      <w:sz w:val="21"/>
                      <w14:textFill>
                        <w14:solidFill>
                          <w14:schemeClr w14:val="tx1"/>
                        </w14:solidFill>
                      </w14:textFill>
                    </w:rPr>
                  </w:pPr>
                </w:p>
              </w:tc>
              <w:tc>
                <w:tcPr>
                  <w:tcW w:w="544" w:type="pct"/>
                  <w:tcBorders>
                    <w:tl2br w:val="nil"/>
                    <w:tr2bl w:val="nil"/>
                  </w:tcBorders>
                  <w:vAlign w:val="center"/>
                </w:tcPr>
                <w:p w14:paraId="1F56CF78">
                  <w:pPr>
                    <w:pStyle w:val="1305"/>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2.21</w:t>
                  </w:r>
                </w:p>
              </w:tc>
            </w:tr>
            <w:tr w14:paraId="7A7F2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exact"/>
                <w:jc w:val="center"/>
              </w:trPr>
              <w:tc>
                <w:tcPr>
                  <w:tcW w:w="222" w:type="pct"/>
                  <w:tcBorders>
                    <w:tl2br w:val="nil"/>
                    <w:tr2bl w:val="nil"/>
                  </w:tcBorders>
                  <w:vAlign w:val="center"/>
                </w:tcPr>
                <w:p w14:paraId="26CB96F8">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368" w:type="pct"/>
                  <w:vMerge w:val="continue"/>
                  <w:tcBorders>
                    <w:tl2br w:val="nil"/>
                    <w:tr2bl w:val="nil"/>
                  </w:tcBorders>
                  <w:vAlign w:val="center"/>
                </w:tcPr>
                <w:p w14:paraId="6B6B80E2">
                  <w:pPr>
                    <w:pStyle w:val="1305"/>
                    <w:rPr>
                      <w:color w:val="000000" w:themeColor="text1"/>
                      <w:sz w:val="21"/>
                      <w14:textFill>
                        <w14:solidFill>
                          <w14:schemeClr w14:val="tx1"/>
                        </w14:solidFill>
                      </w14:textFill>
                    </w:rPr>
                  </w:pPr>
                </w:p>
              </w:tc>
              <w:tc>
                <w:tcPr>
                  <w:tcW w:w="642" w:type="pct"/>
                  <w:tcBorders>
                    <w:tl2br w:val="nil"/>
                    <w:tr2bl w:val="nil"/>
                  </w:tcBorders>
                  <w:vAlign w:val="center"/>
                </w:tcPr>
                <w:p w14:paraId="163C414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洗选工段破碎、筛分</w:t>
                  </w:r>
                </w:p>
              </w:tc>
              <w:tc>
                <w:tcPr>
                  <w:tcW w:w="389" w:type="pct"/>
                  <w:tcBorders>
                    <w:tl2br w:val="nil"/>
                    <w:tr2bl w:val="nil"/>
                  </w:tcBorders>
                  <w:vAlign w:val="center"/>
                </w:tcPr>
                <w:p w14:paraId="20A23A0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颗粒物</w:t>
                  </w:r>
                </w:p>
              </w:tc>
              <w:tc>
                <w:tcPr>
                  <w:tcW w:w="869" w:type="pct"/>
                  <w:tcBorders>
                    <w:tl2br w:val="nil"/>
                    <w:tr2bl w:val="nil"/>
                  </w:tcBorders>
                  <w:vAlign w:val="center"/>
                </w:tcPr>
                <w:p w14:paraId="0A9A1A6F">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密闭+</w:t>
                  </w:r>
                  <w:r>
                    <w:rPr>
                      <w:rFonts w:hint="eastAsia"/>
                      <w:color w:val="000000" w:themeColor="text1"/>
                      <w:sz w:val="21"/>
                      <w14:textFill>
                        <w14:solidFill>
                          <w14:schemeClr w14:val="tx1"/>
                        </w14:solidFill>
                      </w14:textFill>
                    </w:rPr>
                    <w:t>雾炮</w:t>
                  </w:r>
                  <w:r>
                    <w:rPr>
                      <w:color w:val="000000" w:themeColor="text1"/>
                      <w:sz w:val="21"/>
                      <w14:textFill>
                        <w14:solidFill>
                          <w14:schemeClr w14:val="tx1"/>
                        </w14:solidFill>
                      </w14:textFill>
                    </w:rPr>
                    <w:t>抑尘</w:t>
                  </w:r>
                </w:p>
              </w:tc>
              <w:tc>
                <w:tcPr>
                  <w:tcW w:w="1250" w:type="pct"/>
                  <w:vMerge w:val="continue"/>
                  <w:tcBorders>
                    <w:tl2br w:val="nil"/>
                    <w:tr2bl w:val="nil"/>
                  </w:tcBorders>
                  <w:vAlign w:val="center"/>
                </w:tcPr>
                <w:p w14:paraId="54F4C4A7">
                  <w:pPr>
                    <w:pStyle w:val="1305"/>
                    <w:rPr>
                      <w:color w:val="000000" w:themeColor="text1"/>
                      <w:sz w:val="21"/>
                      <w14:textFill>
                        <w14:solidFill>
                          <w14:schemeClr w14:val="tx1"/>
                        </w14:solidFill>
                      </w14:textFill>
                    </w:rPr>
                  </w:pPr>
                </w:p>
              </w:tc>
              <w:tc>
                <w:tcPr>
                  <w:tcW w:w="714" w:type="pct"/>
                  <w:vMerge w:val="continue"/>
                  <w:tcBorders>
                    <w:tl2br w:val="nil"/>
                    <w:tr2bl w:val="nil"/>
                  </w:tcBorders>
                  <w:vAlign w:val="center"/>
                </w:tcPr>
                <w:p w14:paraId="4D291A93">
                  <w:pPr>
                    <w:pStyle w:val="1305"/>
                    <w:rPr>
                      <w:color w:val="000000" w:themeColor="text1"/>
                      <w:sz w:val="21"/>
                      <w14:textFill>
                        <w14:solidFill>
                          <w14:schemeClr w14:val="tx1"/>
                        </w14:solidFill>
                      </w14:textFill>
                    </w:rPr>
                  </w:pPr>
                </w:p>
              </w:tc>
              <w:tc>
                <w:tcPr>
                  <w:tcW w:w="544" w:type="pct"/>
                  <w:tcBorders>
                    <w:tl2br w:val="nil"/>
                    <w:tr2bl w:val="nil"/>
                  </w:tcBorders>
                  <w:vAlign w:val="center"/>
                </w:tcPr>
                <w:p w14:paraId="3CED666C">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2.04</w:t>
                  </w:r>
                </w:p>
              </w:tc>
            </w:tr>
            <w:tr w14:paraId="584BB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222" w:type="pct"/>
                  <w:tcBorders>
                    <w:tl2br w:val="nil"/>
                    <w:tr2bl w:val="nil"/>
                  </w:tcBorders>
                  <w:vAlign w:val="center"/>
                </w:tcPr>
                <w:p w14:paraId="7A4B928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368" w:type="pct"/>
                  <w:vMerge w:val="continue"/>
                  <w:tcBorders>
                    <w:tl2br w:val="nil"/>
                    <w:tr2bl w:val="nil"/>
                  </w:tcBorders>
                  <w:vAlign w:val="center"/>
                </w:tcPr>
                <w:p w14:paraId="40427FCB">
                  <w:pPr>
                    <w:pStyle w:val="1305"/>
                    <w:rPr>
                      <w:color w:val="000000" w:themeColor="text1"/>
                      <w:sz w:val="21"/>
                      <w14:textFill>
                        <w14:solidFill>
                          <w14:schemeClr w14:val="tx1"/>
                        </w14:solidFill>
                      </w14:textFill>
                    </w:rPr>
                  </w:pPr>
                </w:p>
              </w:tc>
              <w:tc>
                <w:tcPr>
                  <w:tcW w:w="642" w:type="pct"/>
                  <w:tcBorders>
                    <w:tl2br w:val="nil"/>
                    <w:tr2bl w:val="nil"/>
                  </w:tcBorders>
                  <w:vAlign w:val="center"/>
                </w:tcPr>
                <w:p w14:paraId="522D74B9">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烧结砖备料工序破碎</w:t>
                  </w:r>
                </w:p>
              </w:tc>
              <w:tc>
                <w:tcPr>
                  <w:tcW w:w="389" w:type="pct"/>
                  <w:tcBorders>
                    <w:tl2br w:val="nil"/>
                    <w:tr2bl w:val="nil"/>
                  </w:tcBorders>
                  <w:vAlign w:val="center"/>
                </w:tcPr>
                <w:p w14:paraId="34E3BF37">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颗粒物</w:t>
                  </w:r>
                </w:p>
              </w:tc>
              <w:tc>
                <w:tcPr>
                  <w:tcW w:w="869" w:type="pct"/>
                  <w:vMerge w:val="restart"/>
                  <w:tcBorders>
                    <w:tl2br w:val="nil"/>
                    <w:tr2bl w:val="nil"/>
                  </w:tcBorders>
                  <w:vAlign w:val="center"/>
                </w:tcPr>
                <w:p w14:paraId="202B6AF0">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密闭+</w:t>
                  </w:r>
                  <w:r>
                    <w:rPr>
                      <w:rFonts w:hint="eastAsia"/>
                      <w:color w:val="000000" w:themeColor="text1"/>
                      <w:sz w:val="21"/>
                      <w14:textFill>
                        <w14:solidFill>
                          <w14:schemeClr w14:val="tx1"/>
                        </w14:solidFill>
                      </w14:textFill>
                    </w:rPr>
                    <w:t>雾炮</w:t>
                  </w:r>
                  <w:r>
                    <w:rPr>
                      <w:color w:val="000000" w:themeColor="text1"/>
                      <w:sz w:val="21"/>
                      <w14:textFill>
                        <w14:solidFill>
                          <w14:schemeClr w14:val="tx1"/>
                        </w14:solidFill>
                      </w14:textFill>
                    </w:rPr>
                    <w:t>抑尘</w:t>
                  </w:r>
                </w:p>
              </w:tc>
              <w:tc>
                <w:tcPr>
                  <w:tcW w:w="1250" w:type="pct"/>
                  <w:vMerge w:val="continue"/>
                  <w:tcBorders>
                    <w:tl2br w:val="nil"/>
                    <w:tr2bl w:val="nil"/>
                  </w:tcBorders>
                  <w:vAlign w:val="center"/>
                </w:tcPr>
                <w:p w14:paraId="3CB23761">
                  <w:pPr>
                    <w:pStyle w:val="1305"/>
                    <w:rPr>
                      <w:color w:val="000000" w:themeColor="text1"/>
                      <w:sz w:val="21"/>
                      <w14:textFill>
                        <w14:solidFill>
                          <w14:schemeClr w14:val="tx1"/>
                        </w14:solidFill>
                      </w14:textFill>
                    </w:rPr>
                  </w:pPr>
                </w:p>
              </w:tc>
              <w:tc>
                <w:tcPr>
                  <w:tcW w:w="714" w:type="pct"/>
                  <w:vMerge w:val="continue"/>
                  <w:tcBorders>
                    <w:tl2br w:val="nil"/>
                    <w:tr2bl w:val="nil"/>
                  </w:tcBorders>
                  <w:vAlign w:val="center"/>
                </w:tcPr>
                <w:p w14:paraId="1C0354F0">
                  <w:pPr>
                    <w:pStyle w:val="1305"/>
                    <w:rPr>
                      <w:color w:val="000000" w:themeColor="text1"/>
                      <w:sz w:val="21"/>
                      <w14:textFill>
                        <w14:solidFill>
                          <w14:schemeClr w14:val="tx1"/>
                        </w14:solidFill>
                      </w14:textFill>
                    </w:rPr>
                  </w:pPr>
                </w:p>
              </w:tc>
              <w:tc>
                <w:tcPr>
                  <w:tcW w:w="544" w:type="pct"/>
                  <w:tcBorders>
                    <w:tl2br w:val="nil"/>
                    <w:tr2bl w:val="nil"/>
                  </w:tcBorders>
                  <w:vAlign w:val="center"/>
                </w:tcPr>
                <w:p w14:paraId="46DE46B7">
                  <w:pPr>
                    <w:pStyle w:val="1305"/>
                    <w:rPr>
                      <w:rFonts w:hint="default"/>
                      <w:color w:val="000000" w:themeColor="text1"/>
                      <w:sz w:val="21"/>
                      <w:lang w:val="en-US"/>
                      <w14:textFill>
                        <w14:solidFill>
                          <w14:schemeClr w14:val="tx1"/>
                        </w14:solidFill>
                      </w14:textFill>
                    </w:rPr>
                  </w:pPr>
                  <w:r>
                    <w:rPr>
                      <w:rFonts w:hint="eastAsia"/>
                      <w:color w:val="000000" w:themeColor="text1"/>
                      <w:sz w:val="21"/>
                      <w:lang w:val="en-US" w:eastAsia="zh-CN"/>
                      <w14:textFill>
                        <w14:solidFill>
                          <w14:schemeClr w14:val="tx1"/>
                        </w14:solidFill>
                      </w14:textFill>
                    </w:rPr>
                    <w:t>0.915</w:t>
                  </w:r>
                </w:p>
              </w:tc>
            </w:tr>
            <w:tr w14:paraId="317A0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222" w:type="pct"/>
                  <w:tcBorders>
                    <w:tl2br w:val="nil"/>
                    <w:tr2bl w:val="nil"/>
                  </w:tcBorders>
                  <w:vAlign w:val="center"/>
                </w:tcPr>
                <w:p w14:paraId="6BDB7940">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368" w:type="pct"/>
                  <w:vMerge w:val="continue"/>
                  <w:tcBorders>
                    <w:tl2br w:val="nil"/>
                    <w:tr2bl w:val="nil"/>
                  </w:tcBorders>
                  <w:vAlign w:val="center"/>
                </w:tcPr>
                <w:p w14:paraId="5DC78602">
                  <w:pPr>
                    <w:pStyle w:val="1305"/>
                    <w:rPr>
                      <w:color w:val="000000" w:themeColor="text1"/>
                      <w:sz w:val="21"/>
                      <w14:textFill>
                        <w14:solidFill>
                          <w14:schemeClr w14:val="tx1"/>
                        </w14:solidFill>
                      </w14:textFill>
                    </w:rPr>
                  </w:pPr>
                </w:p>
              </w:tc>
              <w:tc>
                <w:tcPr>
                  <w:tcW w:w="642" w:type="pct"/>
                  <w:tcBorders>
                    <w:tl2br w:val="nil"/>
                    <w:tr2bl w:val="nil"/>
                  </w:tcBorders>
                  <w:vAlign w:val="center"/>
                </w:tcPr>
                <w:p w14:paraId="4A6CDB02">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免烧砖备料工序破碎</w:t>
                  </w:r>
                </w:p>
              </w:tc>
              <w:tc>
                <w:tcPr>
                  <w:tcW w:w="389" w:type="pct"/>
                  <w:tcBorders>
                    <w:tl2br w:val="nil"/>
                    <w:tr2bl w:val="nil"/>
                  </w:tcBorders>
                  <w:vAlign w:val="center"/>
                </w:tcPr>
                <w:p w14:paraId="4D1AC53A">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颗粒物</w:t>
                  </w:r>
                </w:p>
              </w:tc>
              <w:tc>
                <w:tcPr>
                  <w:tcW w:w="869" w:type="pct"/>
                  <w:vMerge w:val="continue"/>
                  <w:tcBorders>
                    <w:tl2br w:val="nil"/>
                    <w:tr2bl w:val="nil"/>
                  </w:tcBorders>
                  <w:vAlign w:val="center"/>
                </w:tcPr>
                <w:p w14:paraId="170D1252">
                  <w:pPr>
                    <w:pStyle w:val="1305"/>
                    <w:rPr>
                      <w:color w:val="000000" w:themeColor="text1"/>
                      <w:sz w:val="21"/>
                      <w14:textFill>
                        <w14:solidFill>
                          <w14:schemeClr w14:val="tx1"/>
                        </w14:solidFill>
                      </w14:textFill>
                    </w:rPr>
                  </w:pPr>
                </w:p>
              </w:tc>
              <w:tc>
                <w:tcPr>
                  <w:tcW w:w="1250" w:type="pct"/>
                  <w:vMerge w:val="continue"/>
                  <w:tcBorders>
                    <w:tl2br w:val="nil"/>
                    <w:tr2bl w:val="nil"/>
                  </w:tcBorders>
                  <w:vAlign w:val="center"/>
                </w:tcPr>
                <w:p w14:paraId="6B849BDE">
                  <w:pPr>
                    <w:pStyle w:val="1305"/>
                    <w:rPr>
                      <w:color w:val="000000" w:themeColor="text1"/>
                      <w:sz w:val="21"/>
                      <w14:textFill>
                        <w14:solidFill>
                          <w14:schemeClr w14:val="tx1"/>
                        </w14:solidFill>
                      </w14:textFill>
                    </w:rPr>
                  </w:pPr>
                </w:p>
              </w:tc>
              <w:tc>
                <w:tcPr>
                  <w:tcW w:w="714" w:type="pct"/>
                  <w:vMerge w:val="continue"/>
                  <w:tcBorders>
                    <w:tl2br w:val="nil"/>
                    <w:tr2bl w:val="nil"/>
                  </w:tcBorders>
                  <w:vAlign w:val="center"/>
                </w:tcPr>
                <w:p w14:paraId="595C89CF">
                  <w:pPr>
                    <w:pStyle w:val="1305"/>
                    <w:rPr>
                      <w:color w:val="000000" w:themeColor="text1"/>
                      <w:sz w:val="21"/>
                      <w14:textFill>
                        <w14:solidFill>
                          <w14:schemeClr w14:val="tx1"/>
                        </w14:solidFill>
                      </w14:textFill>
                    </w:rPr>
                  </w:pPr>
                </w:p>
              </w:tc>
              <w:tc>
                <w:tcPr>
                  <w:tcW w:w="544" w:type="pct"/>
                  <w:tcBorders>
                    <w:tl2br w:val="nil"/>
                    <w:tr2bl w:val="nil"/>
                  </w:tcBorders>
                  <w:vAlign w:val="center"/>
                </w:tcPr>
                <w:p w14:paraId="4E1FB545">
                  <w:pPr>
                    <w:pStyle w:val="1305"/>
                    <w:rPr>
                      <w:rFonts w:hint="default"/>
                      <w:color w:val="000000" w:themeColor="text1"/>
                      <w:sz w:val="21"/>
                      <w:lang w:val="en-US"/>
                      <w14:textFill>
                        <w14:solidFill>
                          <w14:schemeClr w14:val="tx1"/>
                        </w14:solidFill>
                      </w14:textFill>
                    </w:rPr>
                  </w:pPr>
                  <w:r>
                    <w:rPr>
                      <w:color w:val="000000" w:themeColor="text1"/>
                      <w:sz w:val="21"/>
                      <w14:textFill>
                        <w14:solidFill>
                          <w14:schemeClr w14:val="tx1"/>
                        </w14:solidFill>
                      </w14:textFill>
                    </w:rPr>
                    <w:t>0.</w:t>
                  </w:r>
                  <w:r>
                    <w:rPr>
                      <w:rFonts w:hint="eastAsia"/>
                      <w:color w:val="000000" w:themeColor="text1"/>
                      <w:sz w:val="21"/>
                      <w:lang w:val="en-US" w:eastAsia="zh-CN"/>
                      <w14:textFill>
                        <w14:solidFill>
                          <w14:schemeClr w14:val="tx1"/>
                        </w14:solidFill>
                      </w14:textFill>
                    </w:rPr>
                    <w:t>515</w:t>
                  </w:r>
                </w:p>
              </w:tc>
            </w:tr>
            <w:tr w14:paraId="72D60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222" w:type="pct"/>
                  <w:tcBorders>
                    <w:tl2br w:val="nil"/>
                    <w:tr2bl w:val="nil"/>
                  </w:tcBorders>
                  <w:vAlign w:val="center"/>
                </w:tcPr>
                <w:p w14:paraId="3180DD94">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368" w:type="pct"/>
                  <w:vMerge w:val="continue"/>
                  <w:tcBorders>
                    <w:tl2br w:val="nil"/>
                    <w:tr2bl w:val="nil"/>
                  </w:tcBorders>
                  <w:vAlign w:val="center"/>
                </w:tcPr>
                <w:p w14:paraId="37C14E6F">
                  <w:pPr>
                    <w:pStyle w:val="1305"/>
                    <w:rPr>
                      <w:color w:val="000000" w:themeColor="text1"/>
                      <w:sz w:val="21"/>
                      <w14:textFill>
                        <w14:solidFill>
                          <w14:schemeClr w14:val="tx1"/>
                        </w14:solidFill>
                      </w14:textFill>
                    </w:rPr>
                  </w:pPr>
                </w:p>
              </w:tc>
              <w:tc>
                <w:tcPr>
                  <w:tcW w:w="642" w:type="pct"/>
                  <w:tcBorders>
                    <w:tl2br w:val="nil"/>
                    <w:tr2bl w:val="nil"/>
                  </w:tcBorders>
                  <w:vAlign w:val="center"/>
                </w:tcPr>
                <w:p w14:paraId="0DEABFBC">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机制砂备料工序破碎</w:t>
                  </w:r>
                </w:p>
              </w:tc>
              <w:tc>
                <w:tcPr>
                  <w:tcW w:w="389" w:type="pct"/>
                  <w:tcBorders>
                    <w:tl2br w:val="nil"/>
                    <w:tr2bl w:val="nil"/>
                  </w:tcBorders>
                  <w:vAlign w:val="center"/>
                </w:tcPr>
                <w:p w14:paraId="01CA46BF">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颗粒物</w:t>
                  </w:r>
                </w:p>
              </w:tc>
              <w:tc>
                <w:tcPr>
                  <w:tcW w:w="869" w:type="pct"/>
                  <w:tcBorders>
                    <w:tl2br w:val="nil"/>
                    <w:tr2bl w:val="nil"/>
                  </w:tcBorders>
                  <w:vAlign w:val="center"/>
                </w:tcPr>
                <w:p w14:paraId="4808D0BF">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密闭+</w:t>
                  </w:r>
                  <w:r>
                    <w:rPr>
                      <w:rFonts w:hint="eastAsia"/>
                      <w:color w:val="000000" w:themeColor="text1"/>
                      <w:sz w:val="21"/>
                      <w14:textFill>
                        <w14:solidFill>
                          <w14:schemeClr w14:val="tx1"/>
                        </w14:solidFill>
                      </w14:textFill>
                    </w:rPr>
                    <w:t>雾炮</w:t>
                  </w:r>
                  <w:r>
                    <w:rPr>
                      <w:color w:val="000000" w:themeColor="text1"/>
                      <w:sz w:val="21"/>
                      <w14:textFill>
                        <w14:solidFill>
                          <w14:schemeClr w14:val="tx1"/>
                        </w14:solidFill>
                      </w14:textFill>
                    </w:rPr>
                    <w:t>抑尘</w:t>
                  </w:r>
                </w:p>
              </w:tc>
              <w:tc>
                <w:tcPr>
                  <w:tcW w:w="1250" w:type="pct"/>
                  <w:vMerge w:val="continue"/>
                  <w:tcBorders>
                    <w:tl2br w:val="nil"/>
                    <w:tr2bl w:val="nil"/>
                  </w:tcBorders>
                  <w:vAlign w:val="center"/>
                </w:tcPr>
                <w:p w14:paraId="153D148C">
                  <w:pPr>
                    <w:pStyle w:val="1305"/>
                    <w:rPr>
                      <w:color w:val="000000" w:themeColor="text1"/>
                      <w:sz w:val="21"/>
                      <w14:textFill>
                        <w14:solidFill>
                          <w14:schemeClr w14:val="tx1"/>
                        </w14:solidFill>
                      </w14:textFill>
                    </w:rPr>
                  </w:pPr>
                </w:p>
              </w:tc>
              <w:tc>
                <w:tcPr>
                  <w:tcW w:w="714" w:type="pct"/>
                  <w:vMerge w:val="continue"/>
                  <w:tcBorders>
                    <w:tl2br w:val="nil"/>
                    <w:tr2bl w:val="nil"/>
                  </w:tcBorders>
                  <w:vAlign w:val="center"/>
                </w:tcPr>
                <w:p w14:paraId="6349EB37">
                  <w:pPr>
                    <w:pStyle w:val="1305"/>
                    <w:rPr>
                      <w:color w:val="000000" w:themeColor="text1"/>
                      <w:sz w:val="21"/>
                      <w14:textFill>
                        <w14:solidFill>
                          <w14:schemeClr w14:val="tx1"/>
                        </w14:solidFill>
                      </w14:textFill>
                    </w:rPr>
                  </w:pPr>
                </w:p>
              </w:tc>
              <w:tc>
                <w:tcPr>
                  <w:tcW w:w="544" w:type="pct"/>
                  <w:tcBorders>
                    <w:tl2br w:val="nil"/>
                    <w:tr2bl w:val="nil"/>
                  </w:tcBorders>
                  <w:vAlign w:val="center"/>
                </w:tcPr>
                <w:p w14:paraId="25D18B34">
                  <w:pPr>
                    <w:pStyle w:val="1305"/>
                    <w:rPr>
                      <w:color w:val="000000" w:themeColor="text1"/>
                      <w:sz w:val="21"/>
                      <w14:textFill>
                        <w14:solidFill>
                          <w14:schemeClr w14:val="tx1"/>
                        </w14:solidFill>
                      </w14:textFill>
                    </w:rPr>
                  </w:pPr>
                  <w:r>
                    <w:rPr>
                      <w:color w:val="000000" w:themeColor="text1"/>
                      <w:sz w:val="21"/>
                      <w14:textFill>
                        <w14:solidFill>
                          <w14:schemeClr w14:val="tx1"/>
                        </w14:solidFill>
                      </w14:textFill>
                    </w:rPr>
                    <w:t>1.</w:t>
                  </w:r>
                  <w:r>
                    <w:rPr>
                      <w:rFonts w:hint="eastAsia"/>
                      <w:color w:val="000000" w:themeColor="text1"/>
                      <w:sz w:val="21"/>
                      <w:lang w:val="en-US" w:eastAsia="zh-CN"/>
                      <w14:textFill>
                        <w14:solidFill>
                          <w14:schemeClr w14:val="tx1"/>
                        </w14:solidFill>
                      </w14:textFill>
                    </w:rPr>
                    <w:t>135</w:t>
                  </w:r>
                </w:p>
              </w:tc>
            </w:tr>
            <w:tr w14:paraId="17F30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222" w:type="pct"/>
                  <w:tcBorders>
                    <w:tl2br w:val="nil"/>
                    <w:tr2bl w:val="nil"/>
                  </w:tcBorders>
                  <w:vAlign w:val="center"/>
                </w:tcPr>
                <w:p w14:paraId="7DD620A8">
                  <w:pPr>
                    <w:pStyle w:val="1305"/>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7</w:t>
                  </w:r>
                </w:p>
              </w:tc>
              <w:tc>
                <w:tcPr>
                  <w:tcW w:w="368" w:type="pct"/>
                  <w:vMerge w:val="continue"/>
                  <w:tcBorders>
                    <w:tl2br w:val="nil"/>
                    <w:tr2bl w:val="nil"/>
                  </w:tcBorders>
                  <w:vAlign w:val="center"/>
                </w:tcPr>
                <w:p w14:paraId="1BE51A86">
                  <w:pPr>
                    <w:pStyle w:val="1305"/>
                    <w:rPr>
                      <w:color w:val="000000" w:themeColor="text1"/>
                      <w:sz w:val="21"/>
                      <w14:textFill>
                        <w14:solidFill>
                          <w14:schemeClr w14:val="tx1"/>
                        </w14:solidFill>
                      </w14:textFill>
                    </w:rPr>
                  </w:pPr>
                </w:p>
              </w:tc>
              <w:tc>
                <w:tcPr>
                  <w:tcW w:w="642" w:type="pct"/>
                  <w:tcBorders>
                    <w:tl2br w:val="nil"/>
                    <w:tr2bl w:val="nil"/>
                  </w:tcBorders>
                  <w:vAlign w:val="center"/>
                </w:tcPr>
                <w:p w14:paraId="43F7CCE3">
                  <w:pPr>
                    <w:pStyle w:val="1305"/>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水泥筒仓</w:t>
                  </w:r>
                </w:p>
              </w:tc>
              <w:tc>
                <w:tcPr>
                  <w:tcW w:w="389" w:type="pct"/>
                  <w:tcBorders>
                    <w:tl2br w:val="nil"/>
                    <w:tr2bl w:val="nil"/>
                  </w:tcBorders>
                  <w:vAlign w:val="center"/>
                </w:tcPr>
                <w:p w14:paraId="5B9C3F4D">
                  <w:pPr>
                    <w:pStyle w:val="1305"/>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颗粒物</w:t>
                  </w:r>
                </w:p>
              </w:tc>
              <w:tc>
                <w:tcPr>
                  <w:tcW w:w="869" w:type="pct"/>
                  <w:tcBorders>
                    <w:tl2br w:val="nil"/>
                    <w:tr2bl w:val="nil"/>
                  </w:tcBorders>
                  <w:vAlign w:val="center"/>
                </w:tcPr>
                <w:p w14:paraId="3790669E">
                  <w:pPr>
                    <w:pStyle w:val="1305"/>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仓顶除尘</w:t>
                  </w:r>
                </w:p>
              </w:tc>
              <w:tc>
                <w:tcPr>
                  <w:tcW w:w="1250" w:type="pct"/>
                  <w:tcBorders>
                    <w:tl2br w:val="nil"/>
                    <w:tr2bl w:val="nil"/>
                  </w:tcBorders>
                  <w:vAlign w:val="center"/>
                </w:tcPr>
                <w:p w14:paraId="3A07F356">
                  <w:pPr>
                    <w:pStyle w:val="130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《水泥工业大气污染物排放标准》（GB4915-2013）</w:t>
                  </w:r>
                </w:p>
              </w:tc>
              <w:tc>
                <w:tcPr>
                  <w:tcW w:w="714" w:type="pct"/>
                  <w:tcBorders>
                    <w:tl2br w:val="nil"/>
                    <w:tr2bl w:val="nil"/>
                  </w:tcBorders>
                  <w:vAlign w:val="center"/>
                </w:tcPr>
                <w:p w14:paraId="6E2F9DA5">
                  <w:pPr>
                    <w:pStyle w:val="1305"/>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w:t>
                  </w:r>
                </w:p>
              </w:tc>
              <w:tc>
                <w:tcPr>
                  <w:tcW w:w="544" w:type="pct"/>
                  <w:tcBorders>
                    <w:tl2br w:val="nil"/>
                    <w:tr2bl w:val="nil"/>
                  </w:tcBorders>
                  <w:vAlign w:val="center"/>
                </w:tcPr>
                <w:p w14:paraId="0566205B">
                  <w:pPr>
                    <w:pStyle w:val="1305"/>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0.4</w:t>
                  </w:r>
                </w:p>
              </w:tc>
            </w:tr>
          </w:tbl>
          <w:p w14:paraId="17826405">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大气污染物排放量核算表</w:t>
            </w:r>
          </w:p>
          <w:tbl>
            <w:tblPr>
              <w:tblStyle w:val="8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8"/>
              <w:gridCol w:w="4207"/>
              <w:gridCol w:w="3199"/>
            </w:tblGrid>
            <w:tr w14:paraId="6A44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869" w:type="pct"/>
                  <w:tcBorders>
                    <w:tl2br w:val="nil"/>
                    <w:tr2bl w:val="nil"/>
                  </w:tcBorders>
                  <w:vAlign w:val="center"/>
                </w:tcPr>
                <w:p w14:paraId="0043D4E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序号</w:t>
                  </w:r>
                </w:p>
              </w:tc>
              <w:tc>
                <w:tcPr>
                  <w:tcW w:w="2346" w:type="pct"/>
                  <w:tcBorders>
                    <w:tl2br w:val="nil"/>
                    <w:tr2bl w:val="nil"/>
                  </w:tcBorders>
                  <w:vAlign w:val="center"/>
                </w:tcPr>
                <w:p w14:paraId="454C826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污染物</w:t>
                  </w:r>
                </w:p>
              </w:tc>
              <w:tc>
                <w:tcPr>
                  <w:tcW w:w="1784" w:type="pct"/>
                  <w:tcBorders>
                    <w:tl2br w:val="nil"/>
                    <w:tr2bl w:val="nil"/>
                  </w:tcBorders>
                  <w:vAlign w:val="center"/>
                </w:tcPr>
                <w:p w14:paraId="2332ADD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年排放量（t/a）</w:t>
                  </w:r>
                </w:p>
              </w:tc>
            </w:tr>
            <w:tr w14:paraId="4846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9" w:type="pct"/>
                  <w:tcBorders>
                    <w:tl2br w:val="nil"/>
                    <w:tr2bl w:val="nil"/>
                  </w:tcBorders>
                  <w:vAlign w:val="center"/>
                </w:tcPr>
                <w:p w14:paraId="6C3A344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2346" w:type="pct"/>
                  <w:tcBorders>
                    <w:tl2br w:val="nil"/>
                    <w:tr2bl w:val="nil"/>
                  </w:tcBorders>
                  <w:vAlign w:val="center"/>
                </w:tcPr>
                <w:p w14:paraId="0FF3856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颗粒物</w:t>
                  </w:r>
                </w:p>
              </w:tc>
              <w:tc>
                <w:tcPr>
                  <w:tcW w:w="1784" w:type="pct"/>
                  <w:tcBorders>
                    <w:tl2br w:val="nil"/>
                    <w:tr2bl w:val="nil"/>
                  </w:tcBorders>
                  <w:vAlign w:val="center"/>
                </w:tcPr>
                <w:p w14:paraId="0C52319E">
                  <w:pPr>
                    <w:pStyle w:val="1305"/>
                    <w:rPr>
                      <w:rFonts w:hint="default"/>
                      <w:color w:val="000000" w:themeColor="text1"/>
                      <w:sz w:val="21"/>
                      <w:lang w:val="en-US"/>
                      <w14:textFill>
                        <w14:solidFill>
                          <w14:schemeClr w14:val="tx1"/>
                        </w14:solidFill>
                      </w14:textFill>
                    </w:rPr>
                  </w:pPr>
                  <w:r>
                    <w:rPr>
                      <w:rFonts w:hint="eastAsia"/>
                      <w:color w:val="000000" w:themeColor="text1"/>
                      <w:sz w:val="21"/>
                      <w:lang w:val="en-US" w:eastAsia="zh-CN"/>
                      <w14:textFill>
                        <w14:solidFill>
                          <w14:schemeClr w14:val="tx1"/>
                        </w14:solidFill>
                      </w14:textFill>
                    </w:rPr>
                    <w:t>31.995</w:t>
                  </w:r>
                </w:p>
              </w:tc>
            </w:tr>
            <w:tr w14:paraId="13F4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9" w:type="pct"/>
                  <w:tcBorders>
                    <w:tl2br w:val="nil"/>
                    <w:tr2bl w:val="nil"/>
                  </w:tcBorders>
                  <w:vAlign w:val="center"/>
                </w:tcPr>
                <w:p w14:paraId="45A2EFD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4204" w:type="dxa"/>
                  <w:tcBorders>
                    <w:tl2br w:val="nil"/>
                    <w:tr2bl w:val="nil"/>
                  </w:tcBorders>
                  <w:vAlign w:val="center"/>
                </w:tcPr>
                <w:p w14:paraId="16D7A87B">
                  <w:pPr>
                    <w:pStyle w:val="1305"/>
                    <w:rPr>
                      <w:color w:val="000000" w:themeColor="text1"/>
                      <w14:textFill>
                        <w14:solidFill>
                          <w14:schemeClr w14:val="tx1"/>
                        </w14:solidFill>
                      </w14:textFill>
                    </w:rPr>
                  </w:pPr>
                  <w:r>
                    <w:rPr>
                      <w:color w:val="000000" w:themeColor="text1"/>
                      <w:sz w:val="21"/>
                      <w14:textFill>
                        <w14:solidFill>
                          <w14:schemeClr w14:val="tx1"/>
                        </w14:solidFill>
                      </w14:textFill>
                    </w:rPr>
                    <w:t>SO</w:t>
                  </w:r>
                  <w:r>
                    <w:rPr>
                      <w:color w:val="000000" w:themeColor="text1"/>
                      <w:sz w:val="21"/>
                      <w:vertAlign w:val="subscript"/>
                      <w14:textFill>
                        <w14:solidFill>
                          <w14:schemeClr w14:val="tx1"/>
                        </w14:solidFill>
                      </w14:textFill>
                    </w:rPr>
                    <w:t>2</w:t>
                  </w:r>
                </w:p>
              </w:tc>
              <w:tc>
                <w:tcPr>
                  <w:tcW w:w="3197" w:type="dxa"/>
                  <w:tcBorders>
                    <w:tl2br w:val="nil"/>
                    <w:tr2bl w:val="nil"/>
                  </w:tcBorders>
                  <w:vAlign w:val="center"/>
                </w:tcPr>
                <w:p w14:paraId="6A6731F3">
                  <w:pPr>
                    <w:pStyle w:val="1305"/>
                    <w:rPr>
                      <w:rFonts w:hint="default"/>
                      <w:color w:val="000000" w:themeColor="text1"/>
                      <w:sz w:val="21"/>
                      <w:lang w:val="en-US"/>
                      <w14:textFill>
                        <w14:solidFill>
                          <w14:schemeClr w14:val="tx1"/>
                        </w14:solidFill>
                      </w14:textFill>
                    </w:rPr>
                  </w:pPr>
                  <w:r>
                    <w:rPr>
                      <w:rFonts w:hint="eastAsia"/>
                      <w:color w:val="000000" w:themeColor="text1"/>
                      <w:sz w:val="21"/>
                      <w:lang w:val="en-US" w:eastAsia="zh-CN"/>
                      <w14:textFill>
                        <w14:solidFill>
                          <w14:schemeClr w14:val="tx1"/>
                        </w14:solidFill>
                      </w14:textFill>
                    </w:rPr>
                    <w:t>143.2</w:t>
                  </w:r>
                </w:p>
              </w:tc>
            </w:tr>
            <w:tr w14:paraId="1C3D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9" w:type="pct"/>
                  <w:tcBorders>
                    <w:tl2br w:val="nil"/>
                    <w:tr2bl w:val="nil"/>
                  </w:tcBorders>
                  <w:vAlign w:val="center"/>
                </w:tcPr>
                <w:p w14:paraId="1926F0B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4204" w:type="dxa"/>
                  <w:tcBorders>
                    <w:tl2br w:val="nil"/>
                    <w:tr2bl w:val="nil"/>
                  </w:tcBorders>
                  <w:vAlign w:val="center"/>
                </w:tcPr>
                <w:p w14:paraId="05ECAB7E">
                  <w:pPr>
                    <w:pStyle w:val="1305"/>
                    <w:rPr>
                      <w:color w:val="000000" w:themeColor="text1"/>
                      <w14:textFill>
                        <w14:solidFill>
                          <w14:schemeClr w14:val="tx1"/>
                        </w14:solidFill>
                      </w14:textFill>
                    </w:rPr>
                  </w:pPr>
                  <w:r>
                    <w:rPr>
                      <w:color w:val="000000" w:themeColor="text1"/>
                      <w:sz w:val="21"/>
                      <w14:textFill>
                        <w14:solidFill>
                          <w14:schemeClr w14:val="tx1"/>
                        </w14:solidFill>
                      </w14:textFill>
                    </w:rPr>
                    <w:t>NO</w:t>
                  </w:r>
                  <w:r>
                    <w:rPr>
                      <w:color w:val="000000" w:themeColor="text1"/>
                      <w:sz w:val="21"/>
                      <w:vertAlign w:val="subscript"/>
                      <w14:textFill>
                        <w14:solidFill>
                          <w14:schemeClr w14:val="tx1"/>
                        </w14:solidFill>
                      </w14:textFill>
                    </w:rPr>
                    <w:t>X</w:t>
                  </w:r>
                </w:p>
              </w:tc>
              <w:tc>
                <w:tcPr>
                  <w:tcW w:w="3197" w:type="dxa"/>
                  <w:tcBorders>
                    <w:tl2br w:val="nil"/>
                    <w:tr2bl w:val="nil"/>
                  </w:tcBorders>
                  <w:vAlign w:val="center"/>
                </w:tcPr>
                <w:p w14:paraId="637BB78B">
                  <w:pPr>
                    <w:pStyle w:val="1305"/>
                    <w:rPr>
                      <w:rFonts w:hint="default"/>
                      <w:color w:val="000000" w:themeColor="text1"/>
                      <w:sz w:val="21"/>
                      <w:lang w:val="en-US"/>
                      <w14:textFill>
                        <w14:solidFill>
                          <w14:schemeClr w14:val="tx1"/>
                        </w14:solidFill>
                      </w14:textFill>
                    </w:rPr>
                  </w:pPr>
                  <w:r>
                    <w:rPr>
                      <w:rFonts w:hint="eastAsia"/>
                      <w:color w:val="000000" w:themeColor="text1"/>
                      <w:sz w:val="21"/>
                      <w:lang w:val="en-US" w:eastAsia="zh-CN"/>
                      <w14:textFill>
                        <w14:solidFill>
                          <w14:schemeClr w14:val="tx1"/>
                        </w14:solidFill>
                      </w14:textFill>
                    </w:rPr>
                    <w:t>244.8</w:t>
                  </w:r>
                </w:p>
              </w:tc>
            </w:tr>
            <w:tr w14:paraId="0454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9" w:type="pct"/>
                  <w:tcBorders>
                    <w:tl2br w:val="nil"/>
                    <w:tr2bl w:val="nil"/>
                  </w:tcBorders>
                  <w:vAlign w:val="center"/>
                </w:tcPr>
                <w:p w14:paraId="75E2864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p>
              </w:tc>
              <w:tc>
                <w:tcPr>
                  <w:tcW w:w="4204" w:type="dxa"/>
                  <w:tcBorders>
                    <w:tl2br w:val="nil"/>
                    <w:tr2bl w:val="nil"/>
                  </w:tcBorders>
                  <w:vAlign w:val="center"/>
                </w:tcPr>
                <w:p w14:paraId="0E4789C6">
                  <w:pPr>
                    <w:pStyle w:val="1305"/>
                    <w:rPr>
                      <w:color w:val="000000" w:themeColor="text1"/>
                      <w14:textFill>
                        <w14:solidFill>
                          <w14:schemeClr w14:val="tx1"/>
                        </w14:solidFill>
                      </w14:textFill>
                    </w:rPr>
                  </w:pPr>
                  <w:r>
                    <w:rPr>
                      <w:color w:val="000000" w:themeColor="text1"/>
                      <w:sz w:val="21"/>
                      <w14:textFill>
                        <w14:solidFill>
                          <w14:schemeClr w14:val="tx1"/>
                        </w14:solidFill>
                      </w14:textFill>
                    </w:rPr>
                    <w:t>氟化物</w:t>
                  </w:r>
                </w:p>
              </w:tc>
              <w:tc>
                <w:tcPr>
                  <w:tcW w:w="3197" w:type="dxa"/>
                  <w:tcBorders>
                    <w:tl2br w:val="nil"/>
                    <w:tr2bl w:val="nil"/>
                  </w:tcBorders>
                  <w:vAlign w:val="center"/>
                </w:tcPr>
                <w:p w14:paraId="697D3B2E">
                  <w:pPr>
                    <w:pStyle w:val="1305"/>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8.92</w:t>
                  </w:r>
                </w:p>
              </w:tc>
            </w:tr>
          </w:tbl>
          <w:p w14:paraId="322CA94B">
            <w:pPr>
              <w:ind w:firstLine="480"/>
              <w:rPr>
                <w:color w:val="000000" w:themeColor="text1"/>
                <w14:textFill>
                  <w14:solidFill>
                    <w14:schemeClr w14:val="tx1"/>
                  </w14:solidFill>
                </w14:textFill>
              </w:rPr>
            </w:pPr>
            <w:r>
              <w:rPr>
                <w:color w:val="000000" w:themeColor="text1"/>
                <w14:textFill>
                  <w14:solidFill>
                    <w14:schemeClr w14:val="tx1"/>
                  </w14:solidFill>
                </w14:textFill>
              </w:rPr>
              <w:t>（3）大气环境保护措施可行性分析</w:t>
            </w:r>
          </w:p>
          <w:p w14:paraId="76676F45">
            <w:pPr>
              <w:ind w:firstLine="480"/>
              <w:rPr>
                <w:color w:val="000000" w:themeColor="text1"/>
                <w14:textFill>
                  <w14:solidFill>
                    <w14:schemeClr w14:val="tx1"/>
                  </w14:solidFill>
                </w14:textFill>
              </w:rPr>
            </w:pPr>
            <w:r>
              <w:rPr>
                <w:color w:val="000000" w:themeColor="text1"/>
                <w14:textFill>
                  <w14:solidFill>
                    <w14:schemeClr w14:val="tx1"/>
                  </w14:solidFill>
                </w14:textFill>
              </w:rPr>
              <w:t>①钙钠双碱法工艺</w:t>
            </w:r>
          </w:p>
          <w:p w14:paraId="79249FC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本项目采用“双碱法（</w:t>
            </w:r>
            <w:r>
              <w:rPr>
                <w:color w:val="000000" w:themeColor="text1"/>
                <w14:textFill>
                  <w14:solidFill>
                    <w14:schemeClr w14:val="tx1"/>
                  </w14:solidFill>
                </w14:textFill>
              </w:rPr>
              <w:object>
                <v:shape id="_x0000_i1029" o:spt="75" type="#_x0000_t75" style="height:16.75pt;width:49.4pt;" o:ole="t" filled="f" o:preferrelative="t" stroked="f" coordsize="21600,21600">
                  <v:path/>
                  <v:fill on="f" focussize="0,0"/>
                  <v:stroke on="f" joinstyle="miter"/>
                  <v:imagedata r:id="rId30" o:title=""/>
                  <o:lock v:ext="edit" aspectratio="t"/>
                  <w10:wrap type="none"/>
                  <w10:anchorlock/>
                </v:shape>
                <o:OLEObject Type="Embed" ProgID="Equation.3" ShapeID="_x0000_i1029" DrawAspect="Content" ObjectID="_1468075729" r:id="rId29">
                  <o:LockedField>false</o:LockedField>
                </o:OLEObject>
              </w:object>
            </w:r>
            <w:r>
              <w:rPr>
                <w:color w:val="000000" w:themeColor="text1"/>
                <w14:textFill>
                  <w14:solidFill>
                    <w14:schemeClr w14:val="tx1"/>
                  </w14:solidFill>
                </w14:textFill>
              </w:rPr>
              <w:t>和</w:t>
            </w:r>
            <w:r>
              <w:rPr>
                <w:color w:val="000000" w:themeColor="text1"/>
                <w14:textFill>
                  <w14:solidFill>
                    <w14:schemeClr w14:val="tx1"/>
                  </w14:solidFill>
                </w14:textFill>
              </w:rPr>
              <w:object>
                <v:shape id="_x0000_i1030" o:spt="75" type="#_x0000_t75" style="height:14.25pt;width:36.85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r>
              <w:rPr>
                <w:color w:val="000000" w:themeColor="text1"/>
                <w14:textFill>
                  <w14:solidFill>
                    <w14:schemeClr w14:val="tx1"/>
                  </w14:solidFill>
                </w14:textFill>
              </w:rPr>
              <w:t>溶液）”脱硫塔1座，排气筒出口直径8 m，隧道窑余热利用后的烟气及少量燃煤烟气拟采用湿式双碱法脱硫除尘器处理后，由1台风机引到28m排气筒排放。</w:t>
            </w:r>
          </w:p>
          <w:p w14:paraId="0D127CEC">
            <w:pPr>
              <w:ind w:firstLine="480"/>
              <w:rPr>
                <w:color w:val="000000" w:themeColor="text1"/>
                <w14:textFill>
                  <w14:solidFill>
                    <w14:schemeClr w14:val="tx1"/>
                  </w14:solidFill>
                </w14:textFill>
              </w:rPr>
            </w:pPr>
            <w:r>
              <w:rPr>
                <w:color w:val="000000" w:themeColor="text1"/>
                <w14:textFill>
                  <w14:solidFill>
                    <w14:schemeClr w14:val="tx1"/>
                  </w14:solidFill>
                </w14:textFill>
              </w:rPr>
              <w:t>其工艺流程如下：</w:t>
            </w:r>
          </w:p>
          <w:p w14:paraId="194F254E">
            <w:pPr>
              <w:ind w:firstLine="480"/>
              <w:rPr>
                <w:color w:val="000000" w:themeColor="text1"/>
                <w14:textFill>
                  <w14:solidFill>
                    <w14:schemeClr w14:val="tx1"/>
                  </w14:solidFill>
                </w14:textFill>
              </w:rPr>
            </w:pPr>
            <w:r>
              <w:rPr>
                <w:color w:val="000000" w:themeColor="text1"/>
                <w14:textFill>
                  <w14:solidFill>
                    <w14:schemeClr w14:val="tx1"/>
                  </w14:solidFill>
                </w14:textFill>
              </w:rPr>
              <w:t>含尘气体在风机作用下，经管道进入脱硫除尘器进风口，在进口内侧设有喷淋装置，首先对进入的烟气进行有效的碱性喷淋和降温，再垂直进入烟管内喷射冲击底部碱性水面，烟气中大颗粒物的灰尘喷入水中下沉，烟气冲击水面产生的波浪花向外奔流直导波墙，引导导波拍岸，水花拍溅，形成气雾，上升的气雾在旋流板的作用下进一步加大气雾，形成旋流上升，在此过程中，水花水滴落入水中，实现第一次水气分离，净化后的烟气继续旋流上升，经上部锥形及挡烟帽的作用在旋流离心力的作用下，烟气内的雾状水分被甩向筒壁及上盖内壁积成水滴下流。在此过程中，烟气的二氧化硫经过一系列充分的高碱性脱硫剂的接触，交换吸收和反应，其中液膜始终接近中性，能使全过程保持极高而且稳定的传质速率。脱水净化后的烟气经烟囱排入大气，灰尘沉入水下时经排灰水蝶阀排入灰水池，因此，是一种高效的低阻脱硫设备。</w:t>
            </w:r>
          </w:p>
          <w:p w14:paraId="6D4DCEF4">
            <w:pPr>
              <w:ind w:firstLine="480"/>
              <w:rPr>
                <w:color w:val="000000" w:themeColor="text1"/>
                <w14:textFill>
                  <w14:solidFill>
                    <w14:schemeClr w14:val="tx1"/>
                  </w14:solidFill>
                </w14:textFill>
              </w:rPr>
            </w:pPr>
          </w:p>
          <w:p w14:paraId="25E88208">
            <w:pPr>
              <w:ind w:firstLine="480"/>
              <w:rPr>
                <w:color w:val="000000" w:themeColor="text1"/>
                <w14:textFill>
                  <w14:solidFill>
                    <w14:schemeClr w14:val="tx1"/>
                  </w14:solidFill>
                </w14:textFill>
              </w:rPr>
            </w:pPr>
          </w:p>
          <w:p w14:paraId="28ED3BAF">
            <w:pPr>
              <w:ind w:firstLine="480"/>
              <w:rPr>
                <w:color w:val="000000" w:themeColor="text1"/>
                <w14:textFill>
                  <w14:solidFill>
                    <w14:schemeClr w14:val="tx1"/>
                  </w14:solidFill>
                </w14:textFill>
              </w:rPr>
            </w:pPr>
          </w:p>
          <w:p w14:paraId="7FCDB93D">
            <w:pPr>
              <w:ind w:firstLine="480"/>
              <w:rPr>
                <w:color w:val="000000" w:themeColor="text1"/>
                <w14:textFill>
                  <w14:solidFill>
                    <w14:schemeClr w14:val="tx1"/>
                  </w14:solidFill>
                </w14:textFill>
              </w:rPr>
            </w:pPr>
          </w:p>
          <w:p w14:paraId="21F5D07A">
            <w:pPr>
              <w:ind w:firstLine="480"/>
              <w:rPr>
                <w:color w:val="000000" w:themeColor="text1"/>
                <w14:textFill>
                  <w14:solidFill>
                    <w14:schemeClr w14:val="tx1"/>
                  </w14:solidFill>
                </w14:textFill>
              </w:rPr>
            </w:pPr>
          </w:p>
          <w:p w14:paraId="7F0E9B5D">
            <w:pPr>
              <w:ind w:firstLine="480"/>
              <w:rPr>
                <w:color w:val="000000" w:themeColor="text1"/>
                <w14:textFill>
                  <w14:solidFill>
                    <w14:schemeClr w14:val="tx1"/>
                  </w14:solidFill>
                </w14:textFill>
              </w:rPr>
            </w:pPr>
          </w:p>
          <w:p w14:paraId="0502E616">
            <w:pPr>
              <w:ind w:firstLine="480"/>
              <w:rPr>
                <w:color w:val="000000" w:themeColor="text1"/>
                <w14:textFill>
                  <w14:solidFill>
                    <w14:schemeClr w14:val="tx1"/>
                  </w14:solidFill>
                </w14:textFill>
              </w:rPr>
            </w:pPr>
          </w:p>
          <w:p w14:paraId="7FE96551">
            <w:pPr>
              <w:ind w:firstLine="480"/>
              <w:rPr>
                <w:color w:val="000000" w:themeColor="text1"/>
                <w14:textFill>
                  <w14:solidFill>
                    <w14:schemeClr w14:val="tx1"/>
                  </w14:solidFill>
                </w14:textFill>
              </w:rPr>
            </w:pPr>
          </w:p>
          <w:p w14:paraId="03211AD3">
            <w:pPr>
              <w:ind w:firstLine="480"/>
              <w:rPr>
                <w:color w:val="000000" w:themeColor="text1"/>
                <w14:textFill>
                  <w14:solidFill>
                    <w14:schemeClr w14:val="tx1"/>
                  </w14:solidFill>
                </w14:textFill>
              </w:rPr>
            </w:pPr>
          </w:p>
          <w:p w14:paraId="1A69A1C9">
            <w:pPr>
              <w:ind w:firstLine="480"/>
              <w:rPr>
                <w:color w:val="000000" w:themeColor="text1"/>
                <w14:textFill>
                  <w14:solidFill>
                    <w14:schemeClr w14:val="tx1"/>
                  </w14:solidFill>
                </w14:textFill>
              </w:rPr>
            </w:pPr>
          </w:p>
          <w:p w14:paraId="0C56E453">
            <w:pPr>
              <w:pStyle w:val="31"/>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714875" cy="3286125"/>
                  <wp:effectExtent l="0" t="0" r="9525" b="3175"/>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33"/>
                          <a:stretch>
                            <a:fillRect/>
                          </a:stretch>
                        </pic:blipFill>
                        <pic:spPr>
                          <a:xfrm>
                            <a:off x="0" y="0"/>
                            <a:ext cx="4714875" cy="3286125"/>
                          </a:xfrm>
                          <a:prstGeom prst="rect">
                            <a:avLst/>
                          </a:prstGeom>
                          <a:noFill/>
                          <a:ln>
                            <a:noFill/>
                          </a:ln>
                        </pic:spPr>
                      </pic:pic>
                    </a:graphicData>
                  </a:graphic>
                </wp:inline>
              </w:drawing>
            </w:r>
          </w:p>
          <w:p w14:paraId="7C820676">
            <w:pPr>
              <w:ind w:firstLine="482"/>
              <w:jc w:val="center"/>
              <w:rPr>
                <w:b/>
                <w:bCs/>
                <w:color w:val="000000" w:themeColor="text1"/>
                <w14:textFill>
                  <w14:solidFill>
                    <w14:schemeClr w14:val="tx1"/>
                  </w14:solidFill>
                </w14:textFill>
              </w:rPr>
            </w:pPr>
            <w:r>
              <w:rPr>
                <w:b/>
                <w:bCs/>
                <w:color w:val="000000" w:themeColor="text1"/>
                <w14:textFill>
                  <w14:solidFill>
                    <w14:schemeClr w14:val="tx1"/>
                  </w14:solidFill>
                </w14:textFill>
              </w:rPr>
              <w:t>图</w:t>
            </w:r>
            <w:r>
              <w:rPr>
                <w:rFonts w:hint="eastAsia"/>
                <w:b/>
                <w:bCs/>
                <w:color w:val="000000" w:themeColor="text1"/>
                <w14:textFill>
                  <w14:solidFill>
                    <w14:schemeClr w14:val="tx1"/>
                  </w14:solidFill>
                </w14:textFill>
              </w:rPr>
              <w:t>8</w:t>
            </w:r>
            <w:r>
              <w:rPr>
                <w:b/>
                <w:bCs/>
                <w:color w:val="000000" w:themeColor="text1"/>
                <w14:textFill>
                  <w14:solidFill>
                    <w14:schemeClr w14:val="tx1"/>
                  </w14:solidFill>
                </w14:textFill>
              </w:rPr>
              <w:t xml:space="preserve">   钠钙双碱法工艺流程</w:t>
            </w:r>
          </w:p>
          <w:p w14:paraId="233ED38E">
            <w:pPr>
              <w:ind w:left="192" w:leftChars="80" w:firstLine="480"/>
              <w:jc w:val="left"/>
              <w:rPr>
                <w:color w:val="000000" w:themeColor="text1"/>
                <w14:textFill>
                  <w14:solidFill>
                    <w14:schemeClr w14:val="tx1"/>
                  </w14:solidFill>
                </w14:textFill>
              </w:rPr>
            </w:pPr>
            <w:r>
              <w:rPr>
                <w:color w:val="000000" w:themeColor="text1"/>
                <w14:textFill>
                  <w14:solidFill>
                    <w14:schemeClr w14:val="tx1"/>
                  </w14:solidFill>
                </w14:textFill>
              </w:rPr>
              <w:t>其基本化学原理可分为脱硫过程和再生过程。双碱法脱硫原理如下：</w:t>
            </w:r>
          </w:p>
          <w:p w14:paraId="3C46BDA3">
            <w:pPr>
              <w:ind w:left="192" w:leftChars="80" w:firstLine="480"/>
              <w:jc w:val="left"/>
              <w:rPr>
                <w:color w:val="000000" w:themeColor="text1"/>
                <w14:textFill>
                  <w14:solidFill>
                    <w14:schemeClr w14:val="tx1"/>
                  </w14:solidFill>
                </w14:textFill>
              </w:rPr>
            </w:pPr>
            <w:r>
              <w:rPr>
                <w:color w:val="000000" w:themeColor="text1"/>
                <w14:textFill>
                  <w14:solidFill>
                    <w14:schemeClr w14:val="tx1"/>
                  </w14:solidFill>
                </w14:textFill>
              </w:rPr>
              <w:t>脱硫过程：</w:t>
            </w:r>
          </w:p>
          <w:p w14:paraId="00E5E1E6">
            <w:pPr>
              <w:ind w:firstLine="960" w:firstLineChars="400"/>
              <w:jc w:val="lef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1" o:spt="75" type="#_x0000_t75" style="height:18.4pt;width:165.75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r>
              <w:rPr>
                <w:color w:val="000000" w:themeColor="text1"/>
                <w14:textFill>
                  <w14:solidFill>
                    <w14:schemeClr w14:val="tx1"/>
                  </w14:solidFill>
                </w14:textFill>
              </w:rPr>
              <w:t xml:space="preserve">             (1)</w:t>
            </w:r>
          </w:p>
          <w:p w14:paraId="0E17D334">
            <w:pPr>
              <w:ind w:left="192" w:leftChars="80" w:firstLine="480"/>
              <w:jc w:val="left"/>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032" o:spt="75" type="#_x0000_t75" style="height:18.4pt;width:165.85pt;" o:ole="t" filled="f" o:preferrelative="t" stroked="f" coordsize="21600,21600">
                  <v:path/>
                  <v:fill on="f" focussize="0,0"/>
                  <v:stroke on="f" joinstyle="miter"/>
                  <v:imagedata r:id="rId37" o:title=""/>
                  <o:lock v:ext="edit" aspectratio="t"/>
                  <w10:wrap type="none"/>
                  <w10:anchorlock/>
                </v:shape>
                <o:OLEObject Type="Embed" ProgID="Equation.3" ShapeID="_x0000_i1032" DrawAspect="Content" ObjectID="_1468075732" r:id="rId36">
                  <o:LockedField>false</o:LockedField>
                </o:OLEObject>
              </w:object>
            </w:r>
            <w:r>
              <w:rPr>
                <w:color w:val="000000" w:themeColor="text1"/>
                <w14:textFill>
                  <w14:solidFill>
                    <w14:schemeClr w14:val="tx1"/>
                  </w14:solidFill>
                </w14:textFill>
              </w:rPr>
              <w:t xml:space="preserve">            (2)</w:t>
            </w:r>
          </w:p>
          <w:p w14:paraId="430E3088">
            <w:pPr>
              <w:ind w:left="192" w:leftChars="80" w:firstLine="480"/>
              <w:jc w:val="left"/>
              <w:rPr>
                <w:color w:val="000000" w:themeColor="text1"/>
                <w14:textFill>
                  <w14:solidFill>
                    <w14:schemeClr w14:val="tx1"/>
                  </w14:solidFill>
                </w14:textFill>
              </w:rPr>
            </w:pPr>
            <w:r>
              <w:rPr>
                <w:color w:val="000000" w:themeColor="text1"/>
                <w14:textFill>
                  <w14:solidFill>
                    <w14:schemeClr w14:val="tx1"/>
                  </w14:solidFill>
                </w14:textFill>
              </w:rPr>
              <w:t>以上二式视吸收液酸碱度不同而异：碱性较高时，</w:t>
            </w:r>
          </w:p>
          <w:p w14:paraId="1268B10E">
            <w:pPr>
              <w:numPr>
                <w:ilvl w:val="0"/>
                <w:numId w:val="15"/>
              </w:numPr>
              <w:ind w:left="192" w:leftChars="80" w:firstLine="480"/>
              <w:jc w:val="left"/>
              <w:rPr>
                <w:color w:val="000000" w:themeColor="text1"/>
                <w14:textFill>
                  <w14:solidFill>
                    <w14:schemeClr w14:val="tx1"/>
                  </w14:solidFill>
                </w14:textFill>
              </w:rPr>
            </w:pPr>
            <w:r>
              <w:rPr>
                <w:color w:val="000000" w:themeColor="text1"/>
                <w14:textFill>
                  <w14:solidFill>
                    <w14:schemeClr w14:val="tx1"/>
                  </w14:solidFill>
                </w14:textFill>
              </w:rPr>
              <w:t>式为主要反应；碱性降低到中性甚至酸性时，</w:t>
            </w:r>
          </w:p>
          <w:p w14:paraId="555D2793">
            <w:pPr>
              <w:ind w:left="672" w:leftChars="280"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（2）式发生主要反应。</w:t>
            </w:r>
          </w:p>
          <w:p w14:paraId="71C402CC">
            <w:pPr>
              <w:ind w:left="192" w:leftChars="80" w:firstLine="480"/>
              <w:jc w:val="left"/>
              <w:rPr>
                <w:color w:val="000000" w:themeColor="text1"/>
                <w14:textFill>
                  <w14:solidFill>
                    <w14:schemeClr w14:val="tx1"/>
                  </w14:solidFill>
                </w14:textFill>
              </w:rPr>
            </w:pPr>
            <w:r>
              <w:rPr>
                <w:color w:val="000000" w:themeColor="text1"/>
                <w14:textFill>
                  <w14:solidFill>
                    <w14:schemeClr w14:val="tx1"/>
                  </w14:solidFill>
                </w14:textFill>
              </w:rPr>
              <w:t>再生过程：</w:t>
            </w:r>
          </w:p>
          <w:p w14:paraId="07AC487E">
            <w:pPr>
              <w:ind w:left="192" w:leftChars="80" w:firstLine="1392" w:firstLineChars="580"/>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3" o:spt="75" type="#_x0000_t75" style="height:19.25pt;width:260.35pt;" o:ole="t" filled="f" o:preferrelative="t" stroked="f" coordsize="21600,21600">
                  <v:path/>
                  <v:fill on="f" focussize="0,0"/>
                  <v:stroke on="f" joinstyle="miter"/>
                  <v:imagedata r:id="rId39" o:title=""/>
                  <o:lock v:ext="edit" aspectratio="t"/>
                  <w10:wrap type="none"/>
                  <w10:anchorlock/>
                </v:shape>
                <o:OLEObject Type="Embed" ProgID="Equation.3" ShapeID="_x0000_i1033" DrawAspect="Content" ObjectID="_1468075733" r:id="rId38">
                  <o:LockedField>false</o:LockedField>
                </o:OLEObject>
              </w:object>
            </w:r>
            <w:r>
              <w:rPr>
                <w:color w:val="000000" w:themeColor="text1"/>
                <w14:textFill>
                  <w14:solidFill>
                    <w14:schemeClr w14:val="tx1"/>
                  </w14:solidFill>
                </w14:textFill>
              </w:rPr>
              <w:t>（3）</w:t>
            </w:r>
          </w:p>
          <w:p w14:paraId="7765D154">
            <w:pPr>
              <w:ind w:left="192" w:leftChars="80" w:firstLine="480"/>
              <w:jc w:val="center"/>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4" o:spt="75" type="#_x0000_t75" style="height:19.25pt;width:214.35pt;" o:ole="t" filled="f" o:preferrelative="t" stroked="f" coordsize="21600,21600">
                  <v:path/>
                  <v:fill on="f" focussize="0,0"/>
                  <v:stroke on="f" joinstyle="miter"/>
                  <v:imagedata r:id="rId41" o:title=""/>
                  <o:lock v:ext="edit" aspectratio="t"/>
                  <w10:wrap type="none"/>
                  <w10:anchorlock/>
                </v:shape>
                <o:OLEObject Type="Embed" ProgID="Equation.3" ShapeID="_x0000_i1034" DrawAspect="Content" ObjectID="_1468075734" r:id="rId40">
                  <o:LockedField>false</o:LockedField>
                </o:OLEObject>
              </w:object>
            </w:r>
            <w:r>
              <w:rPr>
                <w:color w:val="000000" w:themeColor="text1"/>
                <w14:textFill>
                  <w14:solidFill>
                    <w14:schemeClr w14:val="tx1"/>
                  </w14:solidFill>
                </w14:textFill>
              </w:rPr>
              <w:t xml:space="preserve">        （4）</w:t>
            </w:r>
          </w:p>
          <w:p w14:paraId="181C6F44">
            <w:pPr>
              <w:pStyle w:val="1308"/>
              <w:snapToGrid w:val="0"/>
              <w:spacing w:line="360" w:lineRule="auto"/>
              <w:ind w:firstLine="480" w:firstLineChars="200"/>
              <w:rPr>
                <w:rFonts w:ascii="Times New Roman" w:eastAsia="宋体" w:cs="Times New Roman"/>
                <w:color w:val="000000" w:themeColor="text1"/>
                <w:kern w:val="2"/>
                <w14:textFill>
                  <w14:solidFill>
                    <w14:schemeClr w14:val="tx1"/>
                  </w14:solidFill>
                </w14:textFill>
              </w:rPr>
            </w:pPr>
            <w:r>
              <w:rPr>
                <w:rFonts w:ascii="Times New Roman" w:eastAsia="宋体" w:cs="Times New Roman"/>
                <w:color w:val="000000" w:themeColor="text1"/>
                <w:kern w:val="2"/>
                <w14:textFill>
                  <w14:solidFill>
                    <w14:schemeClr w14:val="tx1"/>
                  </w14:solidFill>
                </w14:textFill>
              </w:rPr>
              <w:t>在</w:t>
            </w:r>
            <w:r>
              <w:rPr>
                <w:rFonts w:ascii="Times New Roman" w:eastAsia="宋体" w:cs="Times New Roman"/>
                <w:color w:val="000000" w:themeColor="text1"/>
                <w:kern w:val="2"/>
                <w:position w:val="-10"/>
                <w14:textFill>
                  <w14:solidFill>
                    <w14:schemeClr w14:val="tx1"/>
                  </w14:solidFill>
                </w14:textFill>
              </w:rPr>
              <w:object>
                <v:shape id="_x0000_i1035" o:spt="75" type="#_x0000_t75" style="height:16.75pt;width:49.4pt;" o:ole="t" filled="f" o:preferrelative="t" stroked="f" coordsize="21600,21600">
                  <v:path/>
                  <v:fill on="f" focussize="0,0"/>
                  <v:stroke on="f" joinstyle="miter"/>
                  <v:imagedata r:id="rId43" o:title=""/>
                  <o:lock v:ext="edit" aspectratio="t"/>
                  <w10:wrap type="none"/>
                  <w10:anchorlock/>
                </v:shape>
                <o:OLEObject Type="Embed" ProgID="Equation.3" ShapeID="_x0000_i1035" DrawAspect="Content" ObjectID="_1468075735" r:id="rId42">
                  <o:LockedField>false</o:LockedField>
                </o:OLEObject>
              </w:object>
            </w:r>
            <w:r>
              <w:rPr>
                <w:rFonts w:ascii="Times New Roman" w:eastAsia="宋体" w:cs="Times New Roman"/>
                <w:color w:val="000000" w:themeColor="text1"/>
                <w:kern w:val="2"/>
                <w14:textFill>
                  <w14:solidFill>
                    <w14:schemeClr w14:val="tx1"/>
                  </w14:solidFill>
                </w14:textFill>
              </w:rPr>
              <w:t>浆液达到过饱和状态时，中性的</w:t>
            </w:r>
            <w:r>
              <w:rPr>
                <w:rFonts w:ascii="Times New Roman" w:eastAsia="宋体" w:cs="Times New Roman"/>
                <w:color w:val="000000" w:themeColor="text1"/>
                <w:kern w:val="2"/>
                <w:position w:val="-12"/>
                <w14:textFill>
                  <w14:solidFill>
                    <w14:schemeClr w14:val="tx1"/>
                  </w14:solidFill>
                </w14:textFill>
              </w:rPr>
              <w:object>
                <v:shape id="_x0000_i1036" o:spt="75" type="#_x0000_t75" style="height:18.4pt;width:44.35pt;" o:ole="t" filled="f" o:preferrelative="t" stroked="f" coordsize="21600,21600">
                  <v:path/>
                  <v:fill on="f" focussize="0,0"/>
                  <v:stroke on="f" joinstyle="miter"/>
                  <v:imagedata r:id="rId45" o:title=""/>
                  <o:lock v:ext="edit" aspectratio="t"/>
                  <w10:wrap type="none"/>
                  <w10:anchorlock/>
                </v:shape>
                <o:OLEObject Type="Embed" ProgID="Equation.3" ShapeID="_x0000_i1036" DrawAspect="Content" ObjectID="_1468075736" r:id="rId44">
                  <o:LockedField>false</o:LockedField>
                </o:OLEObject>
              </w:object>
            </w:r>
            <w:r>
              <w:rPr>
                <w:rFonts w:ascii="Times New Roman" w:eastAsia="宋体" w:cs="Times New Roman"/>
                <w:color w:val="000000" w:themeColor="text1"/>
                <w:kern w:val="2"/>
                <w14:textFill>
                  <w14:solidFill>
                    <w14:schemeClr w14:val="tx1"/>
                  </w14:solidFill>
                </w14:textFill>
              </w:rPr>
              <w:t>很快和</w:t>
            </w:r>
            <w:r>
              <w:rPr>
                <w:rFonts w:ascii="Times New Roman" w:eastAsia="宋体" w:cs="Times New Roman"/>
                <w:color w:val="000000" w:themeColor="text1"/>
                <w:kern w:val="2"/>
                <w:position w:val="-10"/>
                <w14:textFill>
                  <w14:solidFill>
                    <w14:schemeClr w14:val="tx1"/>
                  </w14:solidFill>
                </w14:textFill>
              </w:rPr>
              <w:object>
                <v:shape id="_x0000_i1037" o:spt="75" type="#_x0000_t75" style="height:16.75pt;width:49.4pt;" o:ole="t" filled="f" o:preferrelative="t" stroked="f" coordsize="21600,21600">
                  <v:path/>
                  <v:fill on="f" focussize="0,0"/>
                  <v:stroke on="f" joinstyle="miter"/>
                  <v:imagedata r:id="rId43" o:title=""/>
                  <o:lock v:ext="edit" aspectratio="t"/>
                  <w10:wrap type="none"/>
                  <w10:anchorlock/>
                </v:shape>
                <o:OLEObject Type="Embed" ProgID="Equation.3" ShapeID="_x0000_i1037" DrawAspect="Content" ObjectID="_1468075737" r:id="rId46">
                  <o:LockedField>false</o:LockedField>
                </o:OLEObject>
              </w:object>
            </w:r>
            <w:r>
              <w:rPr>
                <w:rFonts w:ascii="Times New Roman" w:eastAsia="宋体" w:cs="Times New Roman"/>
                <w:color w:val="000000" w:themeColor="text1"/>
                <w:kern w:val="2"/>
                <w14:textFill>
                  <w14:solidFill>
                    <w14:schemeClr w14:val="tx1"/>
                  </w14:solidFill>
                </w14:textFill>
              </w:rPr>
              <w:t>反应从而释放出</w:t>
            </w:r>
            <w:r>
              <w:rPr>
                <w:rFonts w:ascii="Times New Roman" w:eastAsia="宋体" w:cs="Times New Roman"/>
                <w:color w:val="000000" w:themeColor="text1"/>
                <w:kern w:val="2"/>
                <w:position w:val="-10"/>
                <w14:textFill>
                  <w14:solidFill>
                    <w14:schemeClr w14:val="tx1"/>
                  </w14:solidFill>
                </w14:textFill>
              </w:rPr>
              <w:object>
                <v:shape id="_x0000_i1038" o:spt="75" type="#_x0000_t75" style="height:14.25pt;width:24.3pt;" o:ole="t" filled="f" o:preferrelative="t" stroked="f" coordsize="21600,21600">
                  <v:path/>
                  <v:fill on="f" focussize="0,0"/>
                  <v:stroke on="f" joinstyle="miter"/>
                  <v:imagedata r:id="rId48" o:title=""/>
                  <o:lock v:ext="edit" aspectratio="t"/>
                  <w10:wrap type="none"/>
                  <w10:anchorlock/>
                </v:shape>
                <o:OLEObject Type="Embed" ProgID="Equation.3" ShapeID="_x0000_i1038" DrawAspect="Content" ObjectID="_1468075738" r:id="rId47">
                  <o:LockedField>false</o:LockedField>
                </o:OLEObject>
              </w:object>
            </w:r>
            <w:r>
              <w:rPr>
                <w:rFonts w:ascii="Times New Roman" w:eastAsia="宋体" w:cs="Times New Roman"/>
                <w:color w:val="000000" w:themeColor="text1"/>
                <w:kern w:val="2"/>
                <w14:textFill>
                  <w14:solidFill>
                    <w14:schemeClr w14:val="tx1"/>
                  </w14:solidFill>
                </w14:textFill>
              </w:rPr>
              <w:t>，随后生成的</w:t>
            </w:r>
            <w:r>
              <w:rPr>
                <w:rFonts w:ascii="Times New Roman" w:eastAsia="宋体" w:cs="Times New Roman"/>
                <w:color w:val="000000" w:themeColor="text1"/>
                <w:kern w:val="2"/>
                <w:position w:val="-12"/>
                <w14:textFill>
                  <w14:solidFill>
                    <w14:schemeClr w14:val="tx1"/>
                  </w14:solidFill>
                </w14:textFill>
              </w:rPr>
              <w:object>
                <v:shape id="_x0000_i1039" o:spt="75" type="#_x0000_t75" style="height:15.05pt;width:27.65pt;" o:ole="t" filled="f" o:preferrelative="t" stroked="f" coordsize="21600,21600">
                  <v:path/>
                  <v:fill on="f" focussize="0,0"/>
                  <v:stroke on="f" joinstyle="miter"/>
                  <v:imagedata r:id="rId50" o:title=""/>
                  <o:lock v:ext="edit" aspectratio="t"/>
                  <w10:wrap type="none"/>
                  <w10:anchorlock/>
                </v:shape>
                <o:OLEObject Type="Embed" ProgID="Equation.3" ShapeID="_x0000_i1039" DrawAspect="Content" ObjectID="_1468075739" r:id="rId49">
                  <o:LockedField>false</o:LockedField>
                </o:OLEObject>
              </w:object>
            </w:r>
            <w:r>
              <w:rPr>
                <w:rFonts w:ascii="Times New Roman" w:eastAsia="宋体" w:cs="Times New Roman"/>
                <w:color w:val="000000" w:themeColor="text1"/>
                <w:kern w:val="2"/>
                <w14:textFill>
                  <w14:solidFill>
                    <w14:schemeClr w14:val="tx1"/>
                  </w14:solidFill>
                </w14:textFill>
              </w:rPr>
              <w:t>继续与</w:t>
            </w:r>
            <w:r>
              <w:rPr>
                <w:rFonts w:ascii="Times New Roman" w:eastAsia="宋体" w:cs="Times New Roman"/>
                <w:color w:val="000000" w:themeColor="text1"/>
                <w:kern w:val="2"/>
                <w:position w:val="-10"/>
                <w14:textFill>
                  <w14:solidFill>
                    <w14:schemeClr w14:val="tx1"/>
                  </w14:solidFill>
                </w14:textFill>
              </w:rPr>
              <w:object>
                <v:shape id="_x0000_i1040" o:spt="75" type="#_x0000_t75" style="height:16.75pt;width:49.4pt;" o:ole="t" filled="f" o:preferrelative="t" stroked="f" coordsize="21600,21600">
                  <v:path/>
                  <v:fill on="f" focussize="0,0"/>
                  <v:stroke on="f" joinstyle="miter"/>
                  <v:imagedata r:id="rId43" o:title=""/>
                  <o:lock v:ext="edit" aspectratio="t"/>
                  <w10:wrap type="none"/>
                  <w10:anchorlock/>
                </v:shape>
                <o:OLEObject Type="Embed" ProgID="Equation.3" ShapeID="_x0000_i1040" DrawAspect="Content" ObjectID="_1468075740" r:id="rId51">
                  <o:LockedField>false</o:LockedField>
                </o:OLEObject>
              </w:object>
            </w:r>
            <w:r>
              <w:rPr>
                <w:rFonts w:ascii="Times New Roman" w:eastAsia="宋体" w:cs="Times New Roman"/>
                <w:color w:val="000000" w:themeColor="text1"/>
                <w:kern w:val="2"/>
                <w14:textFill>
                  <w14:solidFill>
                    <w14:schemeClr w14:val="tx1"/>
                  </w14:solidFill>
                </w14:textFill>
              </w:rPr>
              <w:t>反应，生成的亚硫酸钙以半水化合物形式慢慢沉淀下来，从而使</w:t>
            </w:r>
            <w:r>
              <w:rPr>
                <w:rFonts w:ascii="Times New Roman" w:eastAsia="宋体" w:cs="Times New Roman"/>
                <w:color w:val="000000" w:themeColor="text1"/>
                <w:kern w:val="2"/>
                <w:position w:val="-10"/>
                <w14:textFill>
                  <w14:solidFill>
                    <w14:schemeClr w14:val="tx1"/>
                  </w14:solidFill>
                </w14:textFill>
              </w:rPr>
              <w:object>
                <v:shape id="_x0000_i1041" o:spt="75" type="#_x0000_t75" style="height:16.75pt;width:27.65pt;" o:ole="t" filled="f" o:preferrelative="t" stroked="f" coordsize="21600,21600">
                  <v:path/>
                  <v:fill on="f" focussize="0,0"/>
                  <v:stroke on="f" joinstyle="miter"/>
                  <v:imagedata r:id="rId53" o:title=""/>
                  <o:lock v:ext="edit" aspectratio="t"/>
                  <w10:wrap type="none"/>
                  <w10:anchorlock/>
                </v:shape>
                <o:OLEObject Type="Embed" ProgID="Equation.3" ShapeID="_x0000_i1041" DrawAspect="Content" ObjectID="_1468075741" r:id="rId52">
                  <o:LockedField>false</o:LockedField>
                </o:OLEObject>
              </w:object>
            </w:r>
            <w:r>
              <w:rPr>
                <w:rFonts w:ascii="Times New Roman" w:eastAsia="宋体" w:cs="Times New Roman"/>
                <w:color w:val="000000" w:themeColor="text1"/>
                <w:kern w:val="2"/>
                <w14:textFill>
                  <w14:solidFill>
                    <w14:schemeClr w14:val="tx1"/>
                  </w14:solidFill>
                </w14:textFill>
              </w:rPr>
              <w:t>得到再生，吸收液恢复对SO</w:t>
            </w:r>
            <w:r>
              <w:rPr>
                <w:rFonts w:ascii="Times New Roman" w:eastAsia="宋体" w:cs="Times New Roman"/>
                <w:color w:val="000000" w:themeColor="text1"/>
                <w:kern w:val="2"/>
                <w:vertAlign w:val="subscript"/>
                <w14:textFill>
                  <w14:solidFill>
                    <w14:schemeClr w14:val="tx1"/>
                  </w14:solidFill>
                </w14:textFill>
              </w:rPr>
              <w:t>2</w:t>
            </w:r>
            <w:r>
              <w:rPr>
                <w:rFonts w:ascii="Times New Roman" w:eastAsia="宋体" w:cs="Times New Roman"/>
                <w:color w:val="000000" w:themeColor="text1"/>
                <w:kern w:val="2"/>
                <w14:textFill>
                  <w14:solidFill>
                    <w14:schemeClr w14:val="tx1"/>
                  </w14:solidFill>
                </w14:textFill>
              </w:rPr>
              <w:t>的吸收能力，循环使用。</w:t>
            </w:r>
          </w:p>
          <w:p w14:paraId="15E53EF9">
            <w:pPr>
              <w:adjustRightInd/>
              <w:snapToGrid/>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钠钙双碱法是先用活性极强的钠碱作为吸收液吸收 SO</w:t>
            </w:r>
            <w:r>
              <w:rPr>
                <w:color w:val="000000" w:themeColor="text1"/>
                <w:szCs w:val="24"/>
                <w:vertAlign w:val="subscript"/>
                <w14:textFill>
                  <w14:solidFill>
                    <w14:schemeClr w14:val="tx1"/>
                  </w14:solidFill>
                </w14:textFill>
              </w:rPr>
              <w:t>2</w:t>
            </w:r>
            <w:r>
              <w:rPr>
                <w:color w:val="000000" w:themeColor="text1"/>
                <w:szCs w:val="24"/>
                <w14:textFill>
                  <w14:solidFill>
                    <w14:schemeClr w14:val="tx1"/>
                  </w14:solidFill>
                </w14:textFill>
              </w:rPr>
              <w:t>，然后再用钙碱对吸收 液进行再生。该方法工艺先进、技术成熟、运行稳定可靠，本项目主要脱硫技术指 标见下表。</w:t>
            </w:r>
          </w:p>
          <w:p w14:paraId="16ADA3F0">
            <w:pPr>
              <w:pStyle w:val="312"/>
              <w:widowControl w:val="0"/>
              <w:numPr>
                <w:ilvl w:val="0"/>
                <w:numId w:val="14"/>
              </w:numPr>
              <w:spacing w:line="240" w:lineRule="auto"/>
              <w:ind w:left="-2" w:firstLine="482" w:firstLineChars="0"/>
              <w:rPr>
                <w:rFonts w:hint="eastAsia" w:ascii="宋体" w:hAnsi="宋体" w:cs="宋体"/>
                <w:b/>
                <w:color w:val="000000" w:themeColor="text1"/>
                <w:lang w:val="zh-CN"/>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w:t>
            </w:r>
            <w:r>
              <w:rPr>
                <w:rFonts w:ascii="宋体" w:hAnsi="宋体" w:cs="宋体"/>
                <w:b/>
                <w:color w:val="000000" w:themeColor="text1"/>
                <w:lang w:val="zh-CN"/>
                <w14:textFill>
                  <w14:solidFill>
                    <w14:schemeClr w14:val="tx1"/>
                  </w14:solidFill>
                </w14:textFill>
              </w:rPr>
              <w:t>钙钠双碱法技术指标表</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2704"/>
              <w:gridCol w:w="2046"/>
              <w:gridCol w:w="2541"/>
            </w:tblGrid>
            <w:tr w14:paraId="5F5E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tcBorders>
                    <w:tl2br w:val="nil"/>
                    <w:tr2bl w:val="nil"/>
                  </w:tcBorders>
                  <w:vAlign w:val="center"/>
                </w:tcPr>
                <w:p w14:paraId="1E76DA9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序号</w:t>
                  </w:r>
                </w:p>
              </w:tc>
              <w:tc>
                <w:tcPr>
                  <w:tcW w:w="1507" w:type="pct"/>
                  <w:tcBorders>
                    <w:tl2br w:val="nil"/>
                    <w:tr2bl w:val="nil"/>
                  </w:tcBorders>
                  <w:vAlign w:val="center"/>
                </w:tcPr>
                <w:p w14:paraId="50ADD49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指标</w:t>
                  </w:r>
                </w:p>
              </w:tc>
              <w:tc>
                <w:tcPr>
                  <w:tcW w:w="1140" w:type="pct"/>
                  <w:tcBorders>
                    <w:tl2br w:val="nil"/>
                    <w:tr2bl w:val="nil"/>
                  </w:tcBorders>
                  <w:vAlign w:val="center"/>
                </w:tcPr>
                <w:p w14:paraId="37C15BA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单位</w:t>
                  </w:r>
                </w:p>
              </w:tc>
              <w:tc>
                <w:tcPr>
                  <w:tcW w:w="1416" w:type="pct"/>
                  <w:tcBorders>
                    <w:tl2br w:val="nil"/>
                    <w:tr2bl w:val="nil"/>
                  </w:tcBorders>
                  <w:vAlign w:val="center"/>
                </w:tcPr>
                <w:p w14:paraId="0FE500D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指标值</w:t>
                  </w:r>
                </w:p>
              </w:tc>
            </w:tr>
            <w:tr w14:paraId="4540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tcBorders>
                    <w:tl2br w:val="nil"/>
                    <w:tr2bl w:val="nil"/>
                  </w:tcBorders>
                  <w:vAlign w:val="center"/>
                </w:tcPr>
                <w:p w14:paraId="5523262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1507" w:type="pct"/>
                  <w:tcBorders>
                    <w:tl2br w:val="nil"/>
                    <w:tr2bl w:val="nil"/>
                  </w:tcBorders>
                  <w:vAlign w:val="center"/>
                </w:tcPr>
                <w:p w14:paraId="407CA35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脱硫效率</w:t>
                  </w:r>
                </w:p>
              </w:tc>
              <w:tc>
                <w:tcPr>
                  <w:tcW w:w="1140" w:type="pct"/>
                  <w:tcBorders>
                    <w:tl2br w:val="nil"/>
                    <w:tr2bl w:val="nil"/>
                  </w:tcBorders>
                  <w:vAlign w:val="center"/>
                </w:tcPr>
                <w:p w14:paraId="0892A79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416" w:type="pct"/>
                  <w:tcBorders>
                    <w:tl2br w:val="nil"/>
                    <w:tr2bl w:val="nil"/>
                  </w:tcBorders>
                  <w:vAlign w:val="center"/>
                </w:tcPr>
                <w:p w14:paraId="7D33BF5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90</w:t>
                  </w:r>
                </w:p>
              </w:tc>
            </w:tr>
            <w:tr w14:paraId="714C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tcBorders>
                    <w:tl2br w:val="nil"/>
                    <w:tr2bl w:val="nil"/>
                  </w:tcBorders>
                  <w:vAlign w:val="center"/>
                </w:tcPr>
                <w:p w14:paraId="51AF88F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p>
              </w:tc>
              <w:tc>
                <w:tcPr>
                  <w:tcW w:w="1507" w:type="pct"/>
                  <w:tcBorders>
                    <w:tl2br w:val="nil"/>
                    <w:tr2bl w:val="nil"/>
                  </w:tcBorders>
                  <w:vAlign w:val="center"/>
                </w:tcPr>
                <w:p w14:paraId="5627131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除尘效率</w:t>
                  </w:r>
                </w:p>
              </w:tc>
              <w:tc>
                <w:tcPr>
                  <w:tcW w:w="1140" w:type="pct"/>
                  <w:tcBorders>
                    <w:tl2br w:val="nil"/>
                    <w:tr2bl w:val="nil"/>
                  </w:tcBorders>
                  <w:vAlign w:val="center"/>
                </w:tcPr>
                <w:p w14:paraId="341480F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416" w:type="pct"/>
                  <w:tcBorders>
                    <w:tl2br w:val="nil"/>
                    <w:tr2bl w:val="nil"/>
                  </w:tcBorders>
                  <w:vAlign w:val="center"/>
                </w:tcPr>
                <w:p w14:paraId="11A4909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r>
            <w:tr w14:paraId="568C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tcBorders>
                    <w:tl2br w:val="nil"/>
                    <w:tr2bl w:val="nil"/>
                  </w:tcBorders>
                  <w:vAlign w:val="center"/>
                </w:tcPr>
                <w:p w14:paraId="0C347E0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p>
              </w:tc>
              <w:tc>
                <w:tcPr>
                  <w:tcW w:w="1507" w:type="pct"/>
                  <w:tcBorders>
                    <w:tl2br w:val="nil"/>
                    <w:tr2bl w:val="nil"/>
                  </w:tcBorders>
                  <w:vAlign w:val="center"/>
                </w:tcPr>
                <w:p w14:paraId="54D479A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脱氟效率</w:t>
                  </w:r>
                </w:p>
              </w:tc>
              <w:tc>
                <w:tcPr>
                  <w:tcW w:w="1140" w:type="pct"/>
                  <w:tcBorders>
                    <w:tl2br w:val="nil"/>
                    <w:tr2bl w:val="nil"/>
                  </w:tcBorders>
                  <w:vAlign w:val="center"/>
                </w:tcPr>
                <w:p w14:paraId="764D1AE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416" w:type="pct"/>
                  <w:tcBorders>
                    <w:tl2br w:val="nil"/>
                    <w:tr2bl w:val="nil"/>
                  </w:tcBorders>
                  <w:vAlign w:val="center"/>
                </w:tcPr>
                <w:p w14:paraId="070E9C3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96</w:t>
                  </w:r>
                </w:p>
              </w:tc>
            </w:tr>
            <w:tr w14:paraId="3760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tcBorders>
                    <w:tl2br w:val="nil"/>
                    <w:tr2bl w:val="nil"/>
                  </w:tcBorders>
                  <w:vAlign w:val="center"/>
                </w:tcPr>
                <w:p w14:paraId="6A43779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p>
              </w:tc>
              <w:tc>
                <w:tcPr>
                  <w:tcW w:w="1507" w:type="pct"/>
                  <w:tcBorders>
                    <w:tl2br w:val="nil"/>
                    <w:tr2bl w:val="nil"/>
                  </w:tcBorders>
                  <w:vAlign w:val="center"/>
                </w:tcPr>
                <w:p w14:paraId="3951094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液气比</w:t>
                  </w:r>
                </w:p>
              </w:tc>
              <w:tc>
                <w:tcPr>
                  <w:tcW w:w="1140" w:type="pct"/>
                  <w:tcBorders>
                    <w:tl2br w:val="nil"/>
                    <w:tr2bl w:val="nil"/>
                  </w:tcBorders>
                  <w:vAlign w:val="center"/>
                </w:tcPr>
                <w:p w14:paraId="74DD753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无量纲</w:t>
                  </w:r>
                </w:p>
              </w:tc>
              <w:tc>
                <w:tcPr>
                  <w:tcW w:w="1416" w:type="pct"/>
                  <w:tcBorders>
                    <w:tl2br w:val="nil"/>
                    <w:tr2bl w:val="nil"/>
                  </w:tcBorders>
                  <w:vAlign w:val="center"/>
                </w:tcPr>
                <w:p w14:paraId="6EE7381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2.5</w:t>
                  </w:r>
                </w:p>
              </w:tc>
            </w:tr>
            <w:tr w14:paraId="0EF7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tcBorders>
                    <w:tl2br w:val="nil"/>
                    <w:tr2bl w:val="nil"/>
                  </w:tcBorders>
                  <w:vAlign w:val="center"/>
                </w:tcPr>
                <w:p w14:paraId="1329D74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w:t>
                  </w:r>
                </w:p>
              </w:tc>
              <w:tc>
                <w:tcPr>
                  <w:tcW w:w="1507" w:type="pct"/>
                  <w:tcBorders>
                    <w:tl2br w:val="nil"/>
                    <w:tr2bl w:val="nil"/>
                  </w:tcBorders>
                  <w:vAlign w:val="center"/>
                </w:tcPr>
                <w:p w14:paraId="4733A08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钙硫比</w:t>
                  </w:r>
                </w:p>
              </w:tc>
              <w:tc>
                <w:tcPr>
                  <w:tcW w:w="1140" w:type="pct"/>
                  <w:tcBorders>
                    <w:tl2br w:val="nil"/>
                    <w:tr2bl w:val="nil"/>
                  </w:tcBorders>
                  <w:vAlign w:val="center"/>
                </w:tcPr>
                <w:p w14:paraId="22A2DCB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无量纲</w:t>
                  </w:r>
                </w:p>
              </w:tc>
              <w:tc>
                <w:tcPr>
                  <w:tcW w:w="1416" w:type="pct"/>
                  <w:tcBorders>
                    <w:tl2br w:val="nil"/>
                    <w:tr2bl w:val="nil"/>
                  </w:tcBorders>
                  <w:vAlign w:val="center"/>
                </w:tcPr>
                <w:p w14:paraId="5CFA721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1.05</w:t>
                  </w:r>
                </w:p>
              </w:tc>
            </w:tr>
            <w:tr w14:paraId="2BB9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tcBorders>
                    <w:tl2br w:val="nil"/>
                    <w:tr2bl w:val="nil"/>
                  </w:tcBorders>
                  <w:vAlign w:val="center"/>
                </w:tcPr>
                <w:p w14:paraId="46AC9A3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p>
              </w:tc>
              <w:tc>
                <w:tcPr>
                  <w:tcW w:w="1507" w:type="pct"/>
                  <w:tcBorders>
                    <w:tl2br w:val="nil"/>
                    <w:tr2bl w:val="nil"/>
                  </w:tcBorders>
                  <w:vAlign w:val="center"/>
                </w:tcPr>
                <w:p w14:paraId="66A4E3C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循环液pH值</w:t>
                  </w:r>
                </w:p>
              </w:tc>
              <w:tc>
                <w:tcPr>
                  <w:tcW w:w="1140" w:type="pct"/>
                  <w:tcBorders>
                    <w:tl2br w:val="nil"/>
                    <w:tr2bl w:val="nil"/>
                  </w:tcBorders>
                  <w:vAlign w:val="center"/>
                </w:tcPr>
                <w:p w14:paraId="5EC250A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无量纲</w:t>
                  </w:r>
                </w:p>
              </w:tc>
              <w:tc>
                <w:tcPr>
                  <w:tcW w:w="1416" w:type="pct"/>
                  <w:tcBorders>
                    <w:tl2br w:val="nil"/>
                    <w:tr2bl w:val="nil"/>
                  </w:tcBorders>
                  <w:vAlign w:val="center"/>
                </w:tcPr>
                <w:p w14:paraId="5F9D2C4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9</w:t>
                  </w:r>
                  <w:r>
                    <w:rPr>
                      <w:rFonts w:ascii="Times New Roman" w:hAnsi="Times New Roman"/>
                      <w:color w:val="000000" w:themeColor="text1"/>
                      <w14:textFill>
                        <w14:solidFill>
                          <w14:schemeClr w14:val="tx1"/>
                        </w14:solidFill>
                      </w14:textFill>
                    </w:rPr>
                    <w:t>.0～</w:t>
                  </w:r>
                  <w:r>
                    <w:rPr>
                      <w:rFonts w:hint="eastAsia" w:ascii="Times New Roman" w:hAnsi="Times New Roman"/>
                      <w:color w:val="000000" w:themeColor="text1"/>
                      <w14:textFill>
                        <w14:solidFill>
                          <w14:schemeClr w14:val="tx1"/>
                        </w14:solidFill>
                      </w14:textFill>
                    </w:rPr>
                    <w:t>12</w:t>
                  </w:r>
                  <w:r>
                    <w:rPr>
                      <w:rFonts w:ascii="Times New Roman" w:hAnsi="Times New Roman"/>
                      <w:color w:val="000000" w:themeColor="text1"/>
                      <w14:textFill>
                        <w14:solidFill>
                          <w14:schemeClr w14:val="tx1"/>
                        </w14:solidFill>
                      </w14:textFill>
                    </w:rPr>
                    <w:t>.0</w:t>
                  </w:r>
                </w:p>
              </w:tc>
            </w:tr>
          </w:tbl>
          <w:p w14:paraId="001971B3">
            <w:pPr>
              <w:adjustRightInd/>
              <w:snapToGrid/>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钙钠双碱法对氟化物的去除效率依据桂林理工大学高技术研究所、桂林理工大学环境科学与工程学院文献《浅谈双碱法脱硫技术在页岩砖厂烟气治理中的应用》，“采用钙钠双碱法，烟气中的氟化物容易与砖坯中的钙﹑镁发生反应生成CaF</w:t>
            </w:r>
            <w:r>
              <w:rPr>
                <w:color w:val="000000" w:themeColor="text1"/>
                <w:szCs w:val="24"/>
                <w:vertAlign w:val="subscript"/>
                <w14:textFill>
                  <w14:solidFill>
                    <w14:schemeClr w14:val="tx1"/>
                  </w14:solidFill>
                </w14:textFill>
              </w:rPr>
              <w:t>2</w:t>
            </w:r>
            <w:r>
              <w:rPr>
                <w:color w:val="000000" w:themeColor="text1"/>
                <w:szCs w:val="24"/>
                <w14:textFill>
                  <w14:solidFill>
                    <w14:schemeClr w14:val="tx1"/>
                  </w14:solidFill>
                </w14:textFill>
              </w:rPr>
              <w:t>而固定在砖坯内。…氟化物的去除率可达98%以上”。本项目核算钙钠双碱法氟去除率取</w:t>
            </w:r>
            <w:r>
              <w:rPr>
                <w:rFonts w:hint="eastAsia"/>
                <w:color w:val="000000" w:themeColor="text1"/>
                <w:szCs w:val="24"/>
                <w14:textFill>
                  <w14:solidFill>
                    <w14:schemeClr w14:val="tx1"/>
                  </w14:solidFill>
                </w14:textFill>
              </w:rPr>
              <w:t>60</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，氮氧化物去除率为20%，二氧化硫去除率为90%</w:t>
            </w:r>
            <w:r>
              <w:rPr>
                <w:color w:val="000000" w:themeColor="text1"/>
                <w:szCs w:val="24"/>
                <w14:textFill>
                  <w14:solidFill>
                    <w14:schemeClr w14:val="tx1"/>
                  </w14:solidFill>
                </w14:textFill>
              </w:rPr>
              <w:t>。</w:t>
            </w:r>
          </w:p>
          <w:p w14:paraId="6B2B7FF2">
            <w:pPr>
              <w:adjustRightInd/>
              <w:snapToGrid/>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另外，在烧制过程中会产生一定的废气无组织排放（污染物主要为烟尘、SO</w:t>
            </w:r>
            <w:r>
              <w:rPr>
                <w:rFonts w:hint="eastAsia"/>
                <w:color w:val="000000" w:themeColor="text1"/>
                <w:szCs w:val="24"/>
                <w:vertAlign w:val="subscript"/>
                <w14:textFill>
                  <w14:solidFill>
                    <w14:schemeClr w14:val="tx1"/>
                  </w14:solidFill>
                </w14:textFill>
              </w:rPr>
              <w:t>2</w:t>
            </w:r>
            <w:r>
              <w:rPr>
                <w:rFonts w:hint="eastAsia"/>
                <w:color w:val="000000" w:themeColor="text1"/>
                <w:szCs w:val="24"/>
                <w14:textFill>
                  <w14:solidFill>
                    <w14:schemeClr w14:val="tx1"/>
                  </w14:solidFill>
                </w14:textFill>
              </w:rPr>
              <w:t>、NOx和氟化物），项目应采取如下措施控制无组织废气的排放：</w:t>
            </w:r>
          </w:p>
          <w:p w14:paraId="7ED84F49">
            <w:pPr>
              <w:numPr>
                <w:ilvl w:val="0"/>
                <w:numId w:val="16"/>
              </w:numPr>
              <w:adjustRightInd/>
              <w:snapToGrid/>
              <w:ind w:left="0"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加强窑炉的密封性，减少炉内烟气外泄。</w:t>
            </w:r>
          </w:p>
          <w:p w14:paraId="4B66B268">
            <w:pPr>
              <w:numPr>
                <w:ilvl w:val="0"/>
                <w:numId w:val="16"/>
              </w:numPr>
              <w:adjustRightInd/>
              <w:snapToGrid/>
              <w:ind w:left="0"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要做好集气设备的日常维护、检修，确保各类风机能够正常稳定运行，防止因风机故障导致窑内烟气无法顺利排出，在窑内积聚后外泄，造成烟气无组织排放。</w:t>
            </w:r>
          </w:p>
          <w:p w14:paraId="3DD7289B">
            <w:pPr>
              <w:numPr>
                <w:ilvl w:val="0"/>
                <w:numId w:val="16"/>
              </w:numPr>
              <w:adjustRightInd/>
              <w:snapToGrid/>
              <w:ind w:left="0"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加强废气输送管道、脱硫设施的运行管理，做好维护，保证管道、连接处等不泄漏，脱硫设施运转正常</w:t>
            </w:r>
          </w:p>
          <w:p w14:paraId="023DA093">
            <w:pPr>
              <w:adjustRightInd/>
              <w:snapToGrid/>
              <w:ind w:firstLine="482"/>
              <w:rPr>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 xml:space="preserve">② </w:t>
            </w:r>
            <w:r>
              <w:rPr>
                <w:rFonts w:hint="eastAsia"/>
                <w:b/>
                <w:bCs/>
                <w:color w:val="000000" w:themeColor="text1"/>
                <w:szCs w:val="24"/>
                <w14:textFill>
                  <w14:solidFill>
                    <w14:schemeClr w14:val="tx1"/>
                  </w14:solidFill>
                </w14:textFill>
              </w:rPr>
              <w:t>集气罩</w:t>
            </w:r>
          </w:p>
          <w:p w14:paraId="1145C7D9">
            <w:pPr>
              <w:adjustRightInd/>
              <w:snapToGrid/>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根据《袋式除尘工程通用技术规范》（HJ2020-2012）对集气罩的相关要求：</w:t>
            </w:r>
          </w:p>
          <w:p w14:paraId="3D109C43">
            <w:pPr>
              <w:adjustRightInd/>
              <w:snapToGrid/>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6.2.8集气罩应能实现对烟气（尘）的捕集效果，捕集率不低于：a)密闭罩100%；b)半密闭罩95%；c）吹吸罩90%；d）屋顶排烟罩90%；f）含有毒有害、易燃易爆污染源控制装置100%。</w:t>
            </w:r>
          </w:p>
          <w:p w14:paraId="41478B4F">
            <w:pPr>
              <w:adjustRightInd/>
              <w:snapToGrid/>
              <w:ind w:firstLine="482"/>
              <w:rPr>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③</w:t>
            </w:r>
            <w:r>
              <w:rPr>
                <w:rFonts w:hint="eastAsia"/>
                <w:b/>
                <w:bCs/>
                <w:color w:val="000000" w:themeColor="text1"/>
                <w:szCs w:val="24"/>
                <w14:textFill>
                  <w14:solidFill>
                    <w14:schemeClr w14:val="tx1"/>
                  </w14:solidFill>
                </w14:textFill>
              </w:rPr>
              <w:t>布袋除尘器</w:t>
            </w:r>
          </w:p>
          <w:p w14:paraId="70B82EC9">
            <w:pPr>
              <w:adjustRightInd/>
              <w:snapToGrid/>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布袋除尘器，是一种自动清灰结构的单体除尘设备，在水泥、矿粉、采矿、冶金、建材、机械、化工、粮食加工等工矿企业广泛，用于过滤气体中的细小的，非纤维性的干燥粉尘或在工艺流程中回收干燥粉料的一种除尘设备。布袋除尘器除尘效率高达99%以上。</w:t>
            </w:r>
          </w:p>
          <w:p w14:paraId="64E7D419">
            <w:pPr>
              <w:adjustRightInd/>
              <w:snapToGrid/>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布袋除尘器工作原理：含尘气体由进风口进入除尘器箱体内，细小尘粒由于布袋的多种效应作用，被滞阻在布袋外壁。净化后的气体通过布袋上箱体出风口排出。随着使用时间的增长，布袋表面吸附的粉尘增多，布袋的透气性减弱，使除尘器阻力不断增大。为保证除尘器的阻力控制在限定的范围之内，由脉冲控制仪发出信号，循序打开电磁脉冲阀，使气包内的压缩空气由喷吹管各喷孔喷射到对应的文氏管（称为一次风），并在高速气流通过文氏管时诱导数倍于一次风的周围空气（称为二次风）进入滤筒，造成布袋间急剧膨胀，由于反向脉冲气流的冲击作用很快消失，布袋又急剧收缩，这样使积附在布袋外壁上的粉尘被清除，落下的灰尘进入灰库。</w:t>
            </w:r>
          </w:p>
          <w:p w14:paraId="2CC09F52">
            <w:pPr>
              <w:adjustRightInd/>
              <w:snapToGrid/>
              <w:ind w:firstLine="482"/>
              <w:rPr>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④</w:t>
            </w:r>
            <w:r>
              <w:rPr>
                <w:rFonts w:hint="eastAsia"/>
                <w:b/>
                <w:bCs/>
                <w:color w:val="000000" w:themeColor="text1"/>
                <w:szCs w:val="24"/>
                <w14:textFill>
                  <w14:solidFill>
                    <w14:schemeClr w14:val="tx1"/>
                  </w14:solidFill>
                </w14:textFill>
              </w:rPr>
              <w:t>无组织粉尘控制措施</w:t>
            </w:r>
          </w:p>
          <w:p w14:paraId="74ACD744">
            <w:pPr>
              <w:adjustRightInd/>
              <w:snapToGrid/>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项目无组织粉尘主要包括为破碎筛分逸散粉尘、物料装卸粉尘和道路运输扬尘。</w:t>
            </w:r>
          </w:p>
          <w:p w14:paraId="25CB3AAD">
            <w:pPr>
              <w:numPr>
                <w:ilvl w:val="0"/>
                <w:numId w:val="17"/>
              </w:numPr>
              <w:adjustRightInd/>
              <w:snapToGrid/>
              <w:ind w:left="0"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破碎、筛分环节全部在全封闭车间内进行，经过集气罩收集和布袋除尘器处理后，有效减少无组织排放量。</w:t>
            </w:r>
          </w:p>
          <w:p w14:paraId="0096B2C7">
            <w:pPr>
              <w:numPr>
                <w:ilvl w:val="0"/>
                <w:numId w:val="17"/>
              </w:numPr>
              <w:adjustRightInd/>
              <w:snapToGrid/>
              <w:ind w:left="0"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物料装卸载粉尘</w:t>
            </w:r>
          </w:p>
          <w:p w14:paraId="30552B0D">
            <w:pPr>
              <w:adjustRightInd/>
              <w:snapToGrid/>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通过各落料点及转载点均设置喷雾洒水装置，采取洒水降尘来降低扬尘的产生量，加之原料卸载过程在全封闭储棚内有效减少无组织排放量。</w:t>
            </w:r>
          </w:p>
          <w:p w14:paraId="4E615263">
            <w:pPr>
              <w:numPr>
                <w:ilvl w:val="0"/>
                <w:numId w:val="17"/>
              </w:numPr>
              <w:adjustRightInd/>
              <w:snapToGrid/>
              <w:ind w:left="0"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道路运输扬尘</w:t>
            </w:r>
          </w:p>
          <w:p w14:paraId="06A27BF1">
            <w:pPr>
              <w:adjustRightInd/>
              <w:snapToGrid/>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评价要求对进场道路及场地进行硬化，且项目运营期间对厂区内地面定时洒水，对运输车辆每次装卸进行控制，不得超载，对厂区及道路及时清扫，以减少道路扬尘，能有效的减少运输车辆对沿线敏感点的影响，减少无组织排放。综上所述，采取以上防治措施后，项目有组织、无组织粉尘均可达标排放，对项目周围环境空气影响较小</w:t>
            </w:r>
          </w:p>
          <w:p w14:paraId="227991C9">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大气排放口基础信息表</w:t>
            </w:r>
          </w:p>
          <w:tbl>
            <w:tblPr>
              <w:tblStyle w:val="8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060"/>
              <w:gridCol w:w="1302"/>
              <w:gridCol w:w="1304"/>
              <w:gridCol w:w="1236"/>
              <w:gridCol w:w="997"/>
              <w:gridCol w:w="981"/>
              <w:gridCol w:w="754"/>
            </w:tblGrid>
            <w:tr w14:paraId="7830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41" w:type="pct"/>
                  <w:vMerge w:val="restart"/>
                  <w:vAlign w:val="center"/>
                </w:tcPr>
                <w:p w14:paraId="2CDA9F91">
                  <w:pPr>
                    <w:pStyle w:val="144"/>
                    <w:textAlignment w:val="baseline"/>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14:textFill>
                        <w14:solidFill>
                          <w14:schemeClr w14:val="tx1"/>
                        </w14:solidFill>
                      </w14:textFill>
                    </w:rPr>
                    <w:t>排放口编号</w:t>
                  </w:r>
                  <w:r>
                    <w:rPr>
                      <w:rFonts w:hint="eastAsia" w:ascii="Times New Roman" w:hAnsi="Times New Roman"/>
                      <w:color w:val="000000" w:themeColor="text1"/>
                      <w:lang w:val="en-US" w:eastAsia="zh-CN"/>
                      <w14:textFill>
                        <w14:solidFill>
                          <w14:schemeClr w14:val="tx1"/>
                        </w14:solidFill>
                      </w14:textFill>
                    </w:rPr>
                    <w:t>（类型）</w:t>
                  </w:r>
                </w:p>
              </w:tc>
              <w:tc>
                <w:tcPr>
                  <w:tcW w:w="591" w:type="pct"/>
                  <w:vMerge w:val="restart"/>
                  <w:vAlign w:val="center"/>
                </w:tcPr>
                <w:p w14:paraId="5A284575">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排放口名称</w:t>
                  </w:r>
                </w:p>
              </w:tc>
              <w:tc>
                <w:tcPr>
                  <w:tcW w:w="726" w:type="pct"/>
                  <w:vMerge w:val="restart"/>
                  <w:vAlign w:val="center"/>
                </w:tcPr>
                <w:p w14:paraId="55FD73CB">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污染物种类</w:t>
                  </w:r>
                </w:p>
              </w:tc>
              <w:tc>
                <w:tcPr>
                  <w:tcW w:w="1416" w:type="pct"/>
                  <w:gridSpan w:val="2"/>
                  <w:vAlign w:val="center"/>
                </w:tcPr>
                <w:p w14:paraId="775007DD">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排放口地理坐标</w:t>
                  </w:r>
                </w:p>
              </w:tc>
              <w:tc>
                <w:tcPr>
                  <w:tcW w:w="556" w:type="pct"/>
                  <w:vMerge w:val="restart"/>
                  <w:vAlign w:val="center"/>
                </w:tcPr>
                <w:p w14:paraId="544A9050">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排气筒高度（m）</w:t>
                  </w:r>
                </w:p>
              </w:tc>
              <w:tc>
                <w:tcPr>
                  <w:tcW w:w="547" w:type="pct"/>
                  <w:vMerge w:val="restart"/>
                  <w:vAlign w:val="center"/>
                </w:tcPr>
                <w:p w14:paraId="4B8F1D9C">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排气筒出口内径（m）</w:t>
                  </w:r>
                </w:p>
              </w:tc>
              <w:tc>
                <w:tcPr>
                  <w:tcW w:w="420" w:type="pct"/>
                  <w:vMerge w:val="restart"/>
                  <w:vAlign w:val="center"/>
                </w:tcPr>
                <w:p w14:paraId="4C6FCDA0">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排气温度</w:t>
                  </w:r>
                  <w:r>
                    <w:rPr>
                      <w:rFonts w:ascii="Times New Roman" w:hAnsi="Times New Roman"/>
                      <w:color w:val="000000" w:themeColor="text1"/>
                      <w14:textFill>
                        <w14:solidFill>
                          <w14:schemeClr w14:val="tx1"/>
                        </w14:solidFill>
                      </w14:textFill>
                    </w:rPr>
                    <w:t>℃</w:t>
                  </w:r>
                </w:p>
              </w:tc>
            </w:tr>
            <w:tr w14:paraId="3C45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pct"/>
                  <w:vMerge w:val="continue"/>
                  <w:vAlign w:val="center"/>
                </w:tcPr>
                <w:p w14:paraId="71CB9CF7">
                  <w:pPr>
                    <w:pStyle w:val="144"/>
                    <w:textAlignment w:val="baseline"/>
                    <w:rPr>
                      <w:rFonts w:ascii="Times New Roman" w:hAnsi="Times New Roman"/>
                      <w:color w:val="000000" w:themeColor="text1"/>
                      <w14:textFill>
                        <w14:solidFill>
                          <w14:schemeClr w14:val="tx1"/>
                        </w14:solidFill>
                      </w14:textFill>
                    </w:rPr>
                  </w:pPr>
                </w:p>
              </w:tc>
              <w:tc>
                <w:tcPr>
                  <w:tcW w:w="591" w:type="pct"/>
                  <w:vMerge w:val="continue"/>
                  <w:vAlign w:val="center"/>
                </w:tcPr>
                <w:p w14:paraId="2B51B089">
                  <w:pPr>
                    <w:pStyle w:val="144"/>
                    <w:textAlignment w:val="baseline"/>
                    <w:rPr>
                      <w:rFonts w:ascii="Times New Roman" w:hAnsi="Times New Roman"/>
                      <w:color w:val="000000" w:themeColor="text1"/>
                      <w14:textFill>
                        <w14:solidFill>
                          <w14:schemeClr w14:val="tx1"/>
                        </w14:solidFill>
                      </w14:textFill>
                    </w:rPr>
                  </w:pPr>
                </w:p>
              </w:tc>
              <w:tc>
                <w:tcPr>
                  <w:tcW w:w="726" w:type="pct"/>
                  <w:vMerge w:val="continue"/>
                  <w:vAlign w:val="center"/>
                </w:tcPr>
                <w:p w14:paraId="77EE3489">
                  <w:pPr>
                    <w:pStyle w:val="144"/>
                    <w:textAlignment w:val="baseline"/>
                    <w:rPr>
                      <w:rFonts w:ascii="Times New Roman" w:hAnsi="Times New Roman"/>
                      <w:color w:val="000000" w:themeColor="text1"/>
                      <w14:textFill>
                        <w14:solidFill>
                          <w14:schemeClr w14:val="tx1"/>
                        </w14:solidFill>
                      </w14:textFill>
                    </w:rPr>
                  </w:pPr>
                </w:p>
              </w:tc>
              <w:tc>
                <w:tcPr>
                  <w:tcW w:w="727" w:type="pct"/>
                  <w:vAlign w:val="center"/>
                </w:tcPr>
                <w:p w14:paraId="08625187">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经度</w:t>
                  </w:r>
                </w:p>
              </w:tc>
              <w:tc>
                <w:tcPr>
                  <w:tcW w:w="689" w:type="pct"/>
                  <w:vAlign w:val="center"/>
                </w:tcPr>
                <w:p w14:paraId="3EDE4EEE">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纬度</w:t>
                  </w:r>
                </w:p>
              </w:tc>
              <w:tc>
                <w:tcPr>
                  <w:tcW w:w="556" w:type="pct"/>
                  <w:vMerge w:val="continue"/>
                  <w:vAlign w:val="center"/>
                </w:tcPr>
                <w:p w14:paraId="7186E4B6">
                  <w:pPr>
                    <w:pStyle w:val="144"/>
                    <w:textAlignment w:val="baseline"/>
                    <w:rPr>
                      <w:rFonts w:ascii="Times New Roman" w:hAnsi="Times New Roman"/>
                      <w:color w:val="000000" w:themeColor="text1"/>
                      <w14:textFill>
                        <w14:solidFill>
                          <w14:schemeClr w14:val="tx1"/>
                        </w14:solidFill>
                      </w14:textFill>
                    </w:rPr>
                  </w:pPr>
                </w:p>
              </w:tc>
              <w:tc>
                <w:tcPr>
                  <w:tcW w:w="547" w:type="pct"/>
                  <w:vMerge w:val="continue"/>
                  <w:vAlign w:val="center"/>
                </w:tcPr>
                <w:p w14:paraId="5F011BAB">
                  <w:pPr>
                    <w:pStyle w:val="144"/>
                    <w:textAlignment w:val="baseline"/>
                    <w:rPr>
                      <w:rFonts w:ascii="Times New Roman" w:hAnsi="Times New Roman"/>
                      <w:color w:val="000000" w:themeColor="text1"/>
                      <w14:textFill>
                        <w14:solidFill>
                          <w14:schemeClr w14:val="tx1"/>
                        </w14:solidFill>
                      </w14:textFill>
                    </w:rPr>
                  </w:pPr>
                </w:p>
              </w:tc>
              <w:tc>
                <w:tcPr>
                  <w:tcW w:w="420" w:type="pct"/>
                  <w:vMerge w:val="continue"/>
                  <w:vAlign w:val="center"/>
                </w:tcPr>
                <w:p w14:paraId="488F4B35">
                  <w:pPr>
                    <w:pStyle w:val="144"/>
                    <w:textAlignment w:val="baseline"/>
                    <w:rPr>
                      <w:rFonts w:ascii="Times New Roman" w:hAnsi="Times New Roman"/>
                      <w:color w:val="000000" w:themeColor="text1"/>
                      <w14:textFill>
                        <w14:solidFill>
                          <w14:schemeClr w14:val="tx1"/>
                        </w14:solidFill>
                      </w14:textFill>
                    </w:rPr>
                  </w:pPr>
                </w:p>
              </w:tc>
            </w:tr>
            <w:tr w14:paraId="65BE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pct"/>
                  <w:vAlign w:val="center"/>
                </w:tcPr>
                <w:p w14:paraId="40FCDCBE">
                  <w:pPr>
                    <w:pStyle w:val="144"/>
                    <w:textAlignment w:val="baseline"/>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DA001</w:t>
                  </w:r>
                </w:p>
                <w:p w14:paraId="7A9FB98F">
                  <w:pPr>
                    <w:pStyle w:val="144"/>
                    <w:jc w:val="both"/>
                    <w:textAlignment w:val="baseline"/>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主要排放口</w:t>
                  </w:r>
                </w:p>
              </w:tc>
              <w:tc>
                <w:tcPr>
                  <w:tcW w:w="591" w:type="pct"/>
                  <w:vAlign w:val="center"/>
                </w:tcPr>
                <w:p w14:paraId="3FAD3E7D">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隧道窑</w:t>
                  </w:r>
                </w:p>
              </w:tc>
              <w:tc>
                <w:tcPr>
                  <w:tcW w:w="726" w:type="pct"/>
                  <w:vAlign w:val="center"/>
                </w:tcPr>
                <w:p w14:paraId="7443169A">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颗粒物、氟化物、SO</w:t>
                  </w:r>
                  <w:r>
                    <w:rPr>
                      <w:rFonts w:hint="eastAsia"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、NO</w:t>
                  </w:r>
                  <w:r>
                    <w:rPr>
                      <w:rFonts w:hint="eastAsia" w:ascii="Times New Roman" w:hAnsi="Times New Roman"/>
                      <w:color w:val="000000" w:themeColor="text1"/>
                      <w:vertAlign w:val="subscript"/>
                      <w14:textFill>
                        <w14:solidFill>
                          <w14:schemeClr w14:val="tx1"/>
                        </w14:solidFill>
                      </w14:textFill>
                    </w:rPr>
                    <w:t>X</w:t>
                  </w:r>
                </w:p>
              </w:tc>
              <w:tc>
                <w:tcPr>
                  <w:tcW w:w="727" w:type="pct"/>
                  <w:vAlign w:val="center"/>
                </w:tcPr>
                <w:p w14:paraId="4CC6FFF1">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109.81870</w:t>
                  </w:r>
                </w:p>
              </w:tc>
              <w:tc>
                <w:tcPr>
                  <w:tcW w:w="689" w:type="pct"/>
                  <w:vAlign w:val="center"/>
                </w:tcPr>
                <w:p w14:paraId="09558CE8">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38.52084</w:t>
                  </w:r>
                </w:p>
              </w:tc>
              <w:tc>
                <w:tcPr>
                  <w:tcW w:w="556" w:type="pct"/>
                  <w:vAlign w:val="center"/>
                </w:tcPr>
                <w:p w14:paraId="320B5748">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28</w:t>
                  </w:r>
                </w:p>
              </w:tc>
              <w:tc>
                <w:tcPr>
                  <w:tcW w:w="547" w:type="pct"/>
                  <w:vAlign w:val="center"/>
                </w:tcPr>
                <w:p w14:paraId="78202511">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w:t>
                  </w:r>
                </w:p>
              </w:tc>
              <w:tc>
                <w:tcPr>
                  <w:tcW w:w="420" w:type="pct"/>
                  <w:vAlign w:val="center"/>
                </w:tcPr>
                <w:p w14:paraId="043AFB0F">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80</w:t>
                  </w:r>
                </w:p>
              </w:tc>
            </w:tr>
            <w:tr w14:paraId="2759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pct"/>
                  <w:vAlign w:val="center"/>
                </w:tcPr>
                <w:p w14:paraId="3DD8E857">
                  <w:pPr>
                    <w:pStyle w:val="144"/>
                    <w:textAlignment w:val="baseline"/>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DA002</w:t>
                  </w:r>
                </w:p>
                <w:p w14:paraId="4B0E486C">
                  <w:pPr>
                    <w:pStyle w:val="144"/>
                    <w:jc w:val="both"/>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主要排放口</w:t>
                  </w:r>
                </w:p>
              </w:tc>
              <w:tc>
                <w:tcPr>
                  <w:tcW w:w="591" w:type="pct"/>
                  <w:vAlign w:val="center"/>
                </w:tcPr>
                <w:p w14:paraId="7DFD4035">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隧道窑</w:t>
                  </w:r>
                </w:p>
              </w:tc>
              <w:tc>
                <w:tcPr>
                  <w:tcW w:w="726" w:type="pct"/>
                  <w:vAlign w:val="center"/>
                </w:tcPr>
                <w:p w14:paraId="77951D73">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颗粒物、氟化物、SO</w:t>
                  </w:r>
                  <w:r>
                    <w:rPr>
                      <w:rFonts w:hint="eastAsia"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、NO</w:t>
                  </w:r>
                  <w:r>
                    <w:rPr>
                      <w:rFonts w:hint="eastAsia" w:ascii="Times New Roman" w:hAnsi="Times New Roman"/>
                      <w:color w:val="000000" w:themeColor="text1"/>
                      <w:vertAlign w:val="subscript"/>
                      <w14:textFill>
                        <w14:solidFill>
                          <w14:schemeClr w14:val="tx1"/>
                        </w14:solidFill>
                      </w14:textFill>
                    </w:rPr>
                    <w:t>X</w:t>
                  </w:r>
                </w:p>
              </w:tc>
              <w:tc>
                <w:tcPr>
                  <w:tcW w:w="727" w:type="pct"/>
                  <w:vAlign w:val="center"/>
                </w:tcPr>
                <w:p w14:paraId="2E97A9B5">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109.81848</w:t>
                  </w:r>
                </w:p>
              </w:tc>
              <w:tc>
                <w:tcPr>
                  <w:tcW w:w="689" w:type="pct"/>
                  <w:vAlign w:val="center"/>
                </w:tcPr>
                <w:p w14:paraId="0B565202">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38.51996</w:t>
                  </w:r>
                </w:p>
              </w:tc>
              <w:tc>
                <w:tcPr>
                  <w:tcW w:w="556" w:type="pct"/>
                  <w:vAlign w:val="center"/>
                </w:tcPr>
                <w:p w14:paraId="0994D49F">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28</w:t>
                  </w:r>
                </w:p>
              </w:tc>
              <w:tc>
                <w:tcPr>
                  <w:tcW w:w="547" w:type="pct"/>
                  <w:vAlign w:val="center"/>
                </w:tcPr>
                <w:p w14:paraId="2DAD8C96">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w:t>
                  </w:r>
                </w:p>
              </w:tc>
              <w:tc>
                <w:tcPr>
                  <w:tcW w:w="420" w:type="pct"/>
                  <w:vAlign w:val="center"/>
                </w:tcPr>
                <w:p w14:paraId="75F73280">
                  <w:pPr>
                    <w:pStyle w:val="144"/>
                    <w:textAlignment w:val="baseline"/>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80</w:t>
                  </w:r>
                </w:p>
              </w:tc>
            </w:tr>
          </w:tbl>
          <w:p w14:paraId="29FD3F85">
            <w:pPr>
              <w:pStyle w:val="31"/>
              <w:adjustRightInd/>
              <w:snapToGrid/>
              <w:spacing w:after="0"/>
              <w:ind w:firstLine="482"/>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w:t>
            </w:r>
            <w:r>
              <w:rPr>
                <w:rFonts w:hint="eastAsia"/>
                <w:b/>
                <w:bCs/>
                <w:color w:val="000000" w:themeColor="text1"/>
                <w:szCs w:val="24"/>
                <w14:textFill>
                  <w14:solidFill>
                    <w14:schemeClr w14:val="tx1"/>
                  </w14:solidFill>
                </w14:textFill>
              </w:rPr>
              <w:t>4</w:t>
            </w:r>
            <w:r>
              <w:rPr>
                <w:b/>
                <w:bCs/>
                <w:color w:val="000000" w:themeColor="text1"/>
                <w:szCs w:val="24"/>
                <w14:textFill>
                  <w14:solidFill>
                    <w14:schemeClr w14:val="tx1"/>
                  </w14:solidFill>
                </w14:textFill>
              </w:rPr>
              <w:t>）监测计划</w:t>
            </w:r>
          </w:p>
          <w:p w14:paraId="737A8B02">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根据《排污单位自行监测技术指南总则》（HJ819-2017）和《排污许可证申请与核发技术规范陶瓷砖瓦工业》（HJ954—2018）要求，本项目废气监测计划见表</w:t>
            </w:r>
            <w:r>
              <w:rPr>
                <w:rFonts w:hint="eastAsia"/>
                <w:color w:val="000000" w:themeColor="text1"/>
                <w:szCs w:val="24"/>
                <w14:textFill>
                  <w14:solidFill>
                    <w14:schemeClr w14:val="tx1"/>
                  </w14:solidFill>
                </w14:textFill>
              </w:rPr>
              <w:t>：</w:t>
            </w:r>
          </w:p>
          <w:p w14:paraId="3F33C6AF">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运营期大气污染源监测及管理计划一览表</w:t>
            </w:r>
          </w:p>
          <w:tbl>
            <w:tblPr>
              <w:tblStyle w:val="82"/>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22"/>
              <w:gridCol w:w="997"/>
              <w:gridCol w:w="994"/>
              <w:gridCol w:w="1706"/>
              <w:gridCol w:w="777"/>
              <w:gridCol w:w="1223"/>
              <w:gridCol w:w="2545"/>
            </w:tblGrid>
            <w:tr w14:paraId="497B34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405A0443">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产污环节</w:t>
                  </w:r>
                </w:p>
              </w:tc>
              <w:tc>
                <w:tcPr>
                  <w:tcW w:w="555" w:type="pct"/>
                  <w:tcBorders>
                    <w:tl2br w:val="nil"/>
                    <w:tr2bl w:val="nil"/>
                  </w:tcBorders>
                  <w:vAlign w:val="center"/>
                </w:tcPr>
                <w:p w14:paraId="58624C4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污染源</w:t>
                  </w:r>
                </w:p>
                <w:p w14:paraId="4E14A2F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名称</w:t>
                  </w:r>
                </w:p>
              </w:tc>
              <w:tc>
                <w:tcPr>
                  <w:tcW w:w="554" w:type="pct"/>
                  <w:tcBorders>
                    <w:tl2br w:val="nil"/>
                    <w:tr2bl w:val="nil"/>
                  </w:tcBorders>
                  <w:vAlign w:val="center"/>
                </w:tcPr>
                <w:p w14:paraId="08BBFA6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监测项目</w:t>
                  </w:r>
                </w:p>
              </w:tc>
              <w:tc>
                <w:tcPr>
                  <w:tcW w:w="951" w:type="pct"/>
                  <w:tcBorders>
                    <w:tl2br w:val="nil"/>
                    <w:tr2bl w:val="nil"/>
                  </w:tcBorders>
                  <w:vAlign w:val="center"/>
                </w:tcPr>
                <w:p w14:paraId="2E81144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监测点位置</w:t>
                  </w:r>
                </w:p>
              </w:tc>
              <w:tc>
                <w:tcPr>
                  <w:tcW w:w="433" w:type="pct"/>
                  <w:tcBorders>
                    <w:tl2br w:val="nil"/>
                    <w:tr2bl w:val="nil"/>
                  </w:tcBorders>
                  <w:vAlign w:val="center"/>
                </w:tcPr>
                <w:p w14:paraId="28F30A9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监测点数</w:t>
                  </w:r>
                </w:p>
              </w:tc>
              <w:tc>
                <w:tcPr>
                  <w:tcW w:w="682" w:type="pct"/>
                  <w:tcBorders>
                    <w:tl2br w:val="nil"/>
                    <w:tr2bl w:val="nil"/>
                  </w:tcBorders>
                  <w:vAlign w:val="center"/>
                </w:tcPr>
                <w:p w14:paraId="0EE9D17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监测频率</w:t>
                  </w:r>
                </w:p>
              </w:tc>
              <w:tc>
                <w:tcPr>
                  <w:tcW w:w="1419" w:type="pct"/>
                  <w:tcBorders>
                    <w:tl2br w:val="nil"/>
                    <w:tr2bl w:val="nil"/>
                  </w:tcBorders>
                  <w:vAlign w:val="center"/>
                </w:tcPr>
                <w:p w14:paraId="3B15AC2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控制指标</w:t>
                  </w:r>
                </w:p>
              </w:tc>
            </w:tr>
            <w:tr w14:paraId="3E34F3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2" w:hRule="atLeast"/>
                <w:jc w:val="center"/>
              </w:trPr>
              <w:tc>
                <w:tcPr>
                  <w:tcW w:w="403" w:type="pct"/>
                  <w:vMerge w:val="restart"/>
                  <w:tcBorders>
                    <w:tl2br w:val="nil"/>
                    <w:tr2bl w:val="nil"/>
                  </w:tcBorders>
                  <w:vAlign w:val="center"/>
                </w:tcPr>
                <w:p w14:paraId="16964F8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隧道窑烟气</w:t>
                  </w:r>
                </w:p>
              </w:tc>
              <w:tc>
                <w:tcPr>
                  <w:tcW w:w="555" w:type="pct"/>
                  <w:tcBorders>
                    <w:tl2br w:val="nil"/>
                    <w:tr2bl w:val="nil"/>
                  </w:tcBorders>
                  <w:vAlign w:val="center"/>
                </w:tcPr>
                <w:p w14:paraId="1F74B38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排气筒</w:t>
                  </w:r>
                  <w:r>
                    <w:rPr>
                      <w:rFonts w:hint="eastAsia" w:ascii="Times New Roman" w:hAnsi="Times New Roman"/>
                      <w:color w:val="000000" w:themeColor="text1"/>
                      <w14:textFill>
                        <w14:solidFill>
                          <w14:schemeClr w14:val="tx1"/>
                        </w14:solidFill>
                      </w14:textFill>
                    </w:rPr>
                    <w:t>DA001</w:t>
                  </w:r>
                </w:p>
              </w:tc>
              <w:tc>
                <w:tcPr>
                  <w:tcW w:w="554" w:type="pct"/>
                  <w:tcBorders>
                    <w:tl2br w:val="nil"/>
                    <w:tr2bl w:val="nil"/>
                  </w:tcBorders>
                  <w:vAlign w:val="center"/>
                </w:tcPr>
                <w:p w14:paraId="5B18D7B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颗粒物、SO</w:t>
                  </w:r>
                  <w:r>
                    <w:rPr>
                      <w:rFonts w:hint="eastAsia"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、NO</w:t>
                  </w:r>
                  <w:r>
                    <w:rPr>
                      <w:rFonts w:hint="eastAsia" w:ascii="Times New Roman" w:hAnsi="Times New Roman"/>
                      <w:color w:val="000000" w:themeColor="text1"/>
                      <w:vertAlign w:val="subscript"/>
                      <w14:textFill>
                        <w14:solidFill>
                          <w14:schemeClr w14:val="tx1"/>
                        </w14:solidFill>
                      </w14:textFill>
                    </w:rPr>
                    <w:t>X</w:t>
                  </w:r>
                  <w:r>
                    <w:rPr>
                      <w:rFonts w:hint="eastAsia" w:ascii="Times New Roman" w:hAnsi="Times New Roman"/>
                      <w:color w:val="000000" w:themeColor="text1"/>
                      <w14:textFill>
                        <w14:solidFill>
                          <w14:schemeClr w14:val="tx1"/>
                        </w14:solidFill>
                      </w14:textFill>
                    </w:rPr>
                    <w:t>、氟化物</w:t>
                  </w:r>
                </w:p>
              </w:tc>
              <w:tc>
                <w:tcPr>
                  <w:tcW w:w="951" w:type="pct"/>
                  <w:tcBorders>
                    <w:tl2br w:val="nil"/>
                    <w:tr2bl w:val="nil"/>
                  </w:tcBorders>
                  <w:vAlign w:val="center"/>
                </w:tcPr>
                <w:p w14:paraId="6318DA8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排气口出口</w:t>
                  </w:r>
                </w:p>
              </w:tc>
              <w:tc>
                <w:tcPr>
                  <w:tcW w:w="433" w:type="pct"/>
                  <w:tcBorders>
                    <w:tl2br w:val="nil"/>
                    <w:tr2bl w:val="nil"/>
                  </w:tcBorders>
                  <w:vAlign w:val="center"/>
                </w:tcPr>
                <w:p w14:paraId="4B85473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682" w:type="pct"/>
                  <w:tcBorders>
                    <w:tl2br w:val="nil"/>
                    <w:tr2bl w:val="nil"/>
                  </w:tcBorders>
                  <w:vAlign w:val="center"/>
                </w:tcPr>
                <w:p w14:paraId="5309C35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1次</w:t>
                  </w:r>
                  <w:r>
                    <w:rPr>
                      <w:rFonts w:hint="eastAsia" w:ascii="Times New Roman" w:hAnsi="Times New Roman"/>
                      <w:color w:val="000000" w:themeColor="text1"/>
                      <w14:textFill>
                        <w14:solidFill>
                          <w14:schemeClr w14:val="tx1"/>
                        </w14:solidFill>
                      </w14:textFill>
                    </w:rPr>
                    <w:t>/半年</w:t>
                  </w:r>
                </w:p>
              </w:tc>
              <w:tc>
                <w:tcPr>
                  <w:tcW w:w="1419" w:type="pct"/>
                  <w:vMerge w:val="restart"/>
                  <w:tcBorders>
                    <w:tl2br w:val="nil"/>
                    <w:tr2bl w:val="nil"/>
                  </w:tcBorders>
                  <w:vAlign w:val="center"/>
                </w:tcPr>
                <w:p w14:paraId="38981A4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《砖瓦工业大气污染物排放标准》（GB29620-2013）表2及修改单标准限值</w:t>
                  </w:r>
                </w:p>
              </w:tc>
            </w:tr>
            <w:tr w14:paraId="55B251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2" w:hRule="atLeast"/>
                <w:jc w:val="center"/>
              </w:trPr>
              <w:tc>
                <w:tcPr>
                  <w:tcW w:w="403" w:type="pct"/>
                  <w:vMerge w:val="continue"/>
                  <w:tcBorders>
                    <w:tl2br w:val="nil"/>
                    <w:tr2bl w:val="nil"/>
                  </w:tcBorders>
                  <w:vAlign w:val="center"/>
                </w:tcPr>
                <w:p w14:paraId="1075248B">
                  <w:pPr>
                    <w:pStyle w:val="144"/>
                    <w:rPr>
                      <w:rFonts w:ascii="Times New Roman" w:hAnsi="Times New Roman"/>
                      <w:color w:val="000000" w:themeColor="text1"/>
                      <w14:textFill>
                        <w14:solidFill>
                          <w14:schemeClr w14:val="tx1"/>
                        </w14:solidFill>
                      </w14:textFill>
                    </w:rPr>
                  </w:pPr>
                </w:p>
              </w:tc>
              <w:tc>
                <w:tcPr>
                  <w:tcW w:w="555" w:type="pct"/>
                  <w:tcBorders>
                    <w:tl2br w:val="nil"/>
                    <w:tr2bl w:val="nil"/>
                  </w:tcBorders>
                  <w:vAlign w:val="center"/>
                </w:tcPr>
                <w:p w14:paraId="7907A32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排气筒DA002</w:t>
                  </w:r>
                </w:p>
              </w:tc>
              <w:tc>
                <w:tcPr>
                  <w:tcW w:w="554" w:type="pct"/>
                  <w:tcBorders>
                    <w:tl2br w:val="nil"/>
                    <w:tr2bl w:val="nil"/>
                  </w:tcBorders>
                  <w:vAlign w:val="center"/>
                </w:tcPr>
                <w:p w14:paraId="350B64B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颗粒物、SO</w:t>
                  </w:r>
                  <w:r>
                    <w:rPr>
                      <w:rFonts w:hint="eastAsia" w:ascii="Times New Roman" w:hAnsi="Times New Roman"/>
                      <w:color w:val="000000" w:themeColor="text1"/>
                      <w:vertAlign w:val="subscript"/>
                      <w14:textFill>
                        <w14:solidFill>
                          <w14:schemeClr w14:val="tx1"/>
                        </w14:solidFill>
                      </w14:textFill>
                    </w:rPr>
                    <w:t>2</w:t>
                  </w:r>
                  <w:r>
                    <w:rPr>
                      <w:rFonts w:hint="eastAsia" w:ascii="Times New Roman" w:hAnsi="Times New Roman"/>
                      <w:color w:val="000000" w:themeColor="text1"/>
                      <w14:textFill>
                        <w14:solidFill>
                          <w14:schemeClr w14:val="tx1"/>
                        </w14:solidFill>
                      </w14:textFill>
                    </w:rPr>
                    <w:t>、NO</w:t>
                  </w:r>
                  <w:r>
                    <w:rPr>
                      <w:rFonts w:hint="eastAsia" w:ascii="Times New Roman" w:hAnsi="Times New Roman"/>
                      <w:color w:val="000000" w:themeColor="text1"/>
                      <w:vertAlign w:val="subscript"/>
                      <w14:textFill>
                        <w14:solidFill>
                          <w14:schemeClr w14:val="tx1"/>
                        </w14:solidFill>
                      </w14:textFill>
                    </w:rPr>
                    <w:t>X</w:t>
                  </w:r>
                  <w:r>
                    <w:rPr>
                      <w:rFonts w:hint="eastAsia" w:ascii="Times New Roman" w:hAnsi="Times New Roman"/>
                      <w:color w:val="000000" w:themeColor="text1"/>
                      <w14:textFill>
                        <w14:solidFill>
                          <w14:schemeClr w14:val="tx1"/>
                        </w14:solidFill>
                      </w14:textFill>
                    </w:rPr>
                    <w:t>、氟化物</w:t>
                  </w:r>
                </w:p>
              </w:tc>
              <w:tc>
                <w:tcPr>
                  <w:tcW w:w="951" w:type="pct"/>
                  <w:tcBorders>
                    <w:tl2br w:val="nil"/>
                    <w:tr2bl w:val="nil"/>
                  </w:tcBorders>
                  <w:vAlign w:val="center"/>
                </w:tcPr>
                <w:p w14:paraId="11238E0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排气口出口</w:t>
                  </w:r>
                </w:p>
              </w:tc>
              <w:tc>
                <w:tcPr>
                  <w:tcW w:w="433" w:type="pct"/>
                  <w:tcBorders>
                    <w:tl2br w:val="nil"/>
                    <w:tr2bl w:val="nil"/>
                  </w:tcBorders>
                  <w:vAlign w:val="center"/>
                </w:tcPr>
                <w:p w14:paraId="1C0CA2A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682" w:type="pct"/>
                  <w:tcBorders>
                    <w:tl2br w:val="nil"/>
                    <w:tr2bl w:val="nil"/>
                  </w:tcBorders>
                  <w:vAlign w:val="center"/>
                </w:tcPr>
                <w:p w14:paraId="2BC96B3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1次</w:t>
                  </w:r>
                  <w:r>
                    <w:rPr>
                      <w:rFonts w:hint="eastAsia" w:ascii="Times New Roman" w:hAnsi="Times New Roman"/>
                      <w:color w:val="000000" w:themeColor="text1"/>
                      <w14:textFill>
                        <w14:solidFill>
                          <w14:schemeClr w14:val="tx1"/>
                        </w14:solidFill>
                      </w14:textFill>
                    </w:rPr>
                    <w:t>/半年</w:t>
                  </w:r>
                </w:p>
              </w:tc>
              <w:tc>
                <w:tcPr>
                  <w:tcW w:w="1419" w:type="pct"/>
                  <w:vMerge w:val="continue"/>
                  <w:tcBorders>
                    <w:tl2br w:val="nil"/>
                    <w:tr2bl w:val="nil"/>
                  </w:tcBorders>
                  <w:vAlign w:val="center"/>
                </w:tcPr>
                <w:p w14:paraId="6921EDF2">
                  <w:pPr>
                    <w:pStyle w:val="144"/>
                    <w:rPr>
                      <w:rFonts w:ascii="Times New Roman" w:hAnsi="Times New Roman"/>
                      <w:color w:val="000000" w:themeColor="text1"/>
                      <w14:textFill>
                        <w14:solidFill>
                          <w14:schemeClr w14:val="tx1"/>
                        </w14:solidFill>
                      </w14:textFill>
                    </w:rPr>
                  </w:pPr>
                </w:p>
              </w:tc>
            </w:tr>
            <w:tr w14:paraId="4DC869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8" w:hRule="atLeast"/>
                <w:jc w:val="center"/>
              </w:trPr>
              <w:tc>
                <w:tcPr>
                  <w:tcW w:w="959" w:type="pct"/>
                  <w:gridSpan w:val="2"/>
                  <w:tcBorders>
                    <w:tl2br w:val="nil"/>
                    <w:tr2bl w:val="nil"/>
                  </w:tcBorders>
                  <w:vAlign w:val="center"/>
                </w:tcPr>
                <w:p w14:paraId="34DF2E4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厂界无组织</w:t>
                  </w:r>
                </w:p>
              </w:tc>
              <w:tc>
                <w:tcPr>
                  <w:tcW w:w="554" w:type="pct"/>
                  <w:tcBorders>
                    <w:tl2br w:val="nil"/>
                    <w:tr2bl w:val="nil"/>
                  </w:tcBorders>
                  <w:vAlign w:val="center"/>
                </w:tcPr>
                <w:p w14:paraId="70FEA0E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颗粒物、氟化物SO</w:t>
                  </w:r>
                  <w:r>
                    <w:rPr>
                      <w:rFonts w:ascii="Times New Roman" w:hAnsi="Times New Roman"/>
                      <w:color w:val="000000" w:themeColor="text1"/>
                      <w:vertAlign w:val="subscript"/>
                      <w14:textFill>
                        <w14:solidFill>
                          <w14:schemeClr w14:val="tx1"/>
                        </w14:solidFill>
                      </w14:textFill>
                    </w:rPr>
                    <w:t>2</w:t>
                  </w:r>
                </w:p>
              </w:tc>
              <w:tc>
                <w:tcPr>
                  <w:tcW w:w="951" w:type="pct"/>
                  <w:tcBorders>
                    <w:tl2br w:val="nil"/>
                    <w:tr2bl w:val="nil"/>
                  </w:tcBorders>
                  <w:vAlign w:val="center"/>
                </w:tcPr>
                <w:p w14:paraId="73705CB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厂界外上风向10处1个、下风向10m处3个</w:t>
                  </w:r>
                </w:p>
              </w:tc>
              <w:tc>
                <w:tcPr>
                  <w:tcW w:w="433" w:type="pct"/>
                  <w:tcBorders>
                    <w:tl2br w:val="nil"/>
                    <w:tr2bl w:val="nil"/>
                  </w:tcBorders>
                  <w:vAlign w:val="center"/>
                </w:tcPr>
                <w:p w14:paraId="38A2CB2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w:t>
                  </w:r>
                </w:p>
              </w:tc>
              <w:tc>
                <w:tcPr>
                  <w:tcW w:w="682" w:type="pct"/>
                  <w:tcBorders>
                    <w:tl2br w:val="nil"/>
                    <w:tr2bl w:val="nil"/>
                  </w:tcBorders>
                  <w:vAlign w:val="center"/>
                </w:tcPr>
                <w:p w14:paraId="585860D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1次</w:t>
                  </w:r>
                  <w:r>
                    <w:rPr>
                      <w:rFonts w:hint="eastAsia" w:ascii="Times New Roman" w:hAnsi="Times New Roman"/>
                      <w:color w:val="000000" w:themeColor="text1"/>
                      <w14:textFill>
                        <w14:solidFill>
                          <w14:schemeClr w14:val="tx1"/>
                        </w14:solidFill>
                      </w14:textFill>
                    </w:rPr>
                    <w:t>/年</w:t>
                  </w:r>
                </w:p>
              </w:tc>
              <w:tc>
                <w:tcPr>
                  <w:tcW w:w="1419" w:type="pct"/>
                  <w:tcBorders>
                    <w:tl2br w:val="nil"/>
                    <w:tr2bl w:val="nil"/>
                  </w:tcBorders>
                  <w:vAlign w:val="center"/>
                </w:tcPr>
                <w:p w14:paraId="5187475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《砖瓦工业大气污染物排放标准》（GB29620-2013）表3及修改单标准限值</w:t>
                  </w:r>
                </w:p>
              </w:tc>
            </w:tr>
          </w:tbl>
          <w:p w14:paraId="1C7354D8">
            <w:pPr>
              <w:ind w:firstLine="482"/>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2.废水</w:t>
            </w:r>
          </w:p>
          <w:p w14:paraId="0F8AA7A1">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项目废水为生活污水、洗车废水、雨水等。</w:t>
            </w:r>
          </w:p>
          <w:p w14:paraId="554D9810">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1）生产废水</w:t>
            </w:r>
          </w:p>
          <w:p w14:paraId="1CCF9015">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洗选废水经浓缩机处理后闭路循环，项目设浓缩机2座（容积为2500m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，一用一备）可确保煤泥水闭路循环，不外排</w:t>
            </w:r>
            <w:r>
              <w:rPr>
                <w:rFonts w:hint="eastAsia"/>
                <w:color w:val="000000" w:themeColor="text1"/>
                <w:szCs w:val="24"/>
                <w14:textFill>
                  <w14:solidFill>
                    <w14:schemeClr w14:val="tx1"/>
                  </w14:solidFill>
                </w14:textFill>
              </w:rPr>
              <w:t>，本项目洗选废水对比原项目无变化</w:t>
            </w:r>
            <w:r>
              <w:rPr>
                <w:color w:val="000000" w:themeColor="text1"/>
                <w:szCs w:val="24"/>
                <w14:textFill>
                  <w14:solidFill>
                    <w14:schemeClr w14:val="tx1"/>
                  </w14:solidFill>
                </w14:textFill>
              </w:rPr>
              <w:t>。</w:t>
            </w:r>
          </w:p>
          <w:p w14:paraId="61D7292E">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2）生活污水</w:t>
            </w:r>
          </w:p>
          <w:p w14:paraId="1653A25B">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生活污水主要为职工盥洗废水，设立50m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和80m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化粪池，厂区设3个旱厕，定期清掏，用作肥料</w:t>
            </w:r>
            <w:r>
              <w:rPr>
                <w:rFonts w:hint="eastAsia"/>
                <w:color w:val="000000" w:themeColor="text1"/>
                <w:szCs w:val="24"/>
                <w14:textFill>
                  <w14:solidFill>
                    <w14:schemeClr w14:val="tx1"/>
                  </w14:solidFill>
                </w14:textFill>
              </w:rPr>
              <w:t>，本项目无新增员工，生活污水处理方式无变化</w:t>
            </w:r>
            <w:r>
              <w:rPr>
                <w:color w:val="000000" w:themeColor="text1"/>
                <w:szCs w:val="24"/>
                <w14:textFill>
                  <w14:solidFill>
                    <w14:schemeClr w14:val="tx1"/>
                  </w14:solidFill>
                </w14:textFill>
              </w:rPr>
              <w:t>。</w:t>
            </w:r>
          </w:p>
          <w:p w14:paraId="21882BF7">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3）车辆冲洗废水</w:t>
            </w:r>
          </w:p>
          <w:p w14:paraId="000B7156">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车辆冲洗废水经沉淀池（100m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）沉淀后回用于车辆冲洗</w:t>
            </w:r>
            <w:r>
              <w:rPr>
                <w:rFonts w:hint="eastAsia"/>
                <w:color w:val="000000" w:themeColor="text1"/>
                <w:szCs w:val="24"/>
                <w14:textFill>
                  <w14:solidFill>
                    <w14:schemeClr w14:val="tx1"/>
                  </w14:solidFill>
                </w14:textFill>
              </w:rPr>
              <w:t>，本项目建成后车辆无明显增加，冲洗系统能够满足项目要求。</w:t>
            </w:r>
          </w:p>
          <w:p w14:paraId="5207921C">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4）初期雨水</w:t>
            </w:r>
          </w:p>
          <w:p w14:paraId="077D19EA">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西区免烧砖生产线设310m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雨水收集池1座，东区烧结砖生产线设263m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和284m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雨水收集池2座，防渗处理，</w:t>
            </w:r>
            <w:r>
              <w:rPr>
                <w:rFonts w:hint="eastAsia"/>
                <w:color w:val="000000" w:themeColor="text1"/>
                <w:szCs w:val="24"/>
                <w14:textFill>
                  <w14:solidFill>
                    <w14:schemeClr w14:val="tx1"/>
                  </w14:solidFill>
                </w14:textFill>
              </w:rPr>
              <w:t>初期雨水收集后可</w:t>
            </w:r>
            <w:r>
              <w:rPr>
                <w:color w:val="000000" w:themeColor="text1"/>
                <w:szCs w:val="24"/>
                <w14:textFill>
                  <w14:solidFill>
                    <w14:schemeClr w14:val="tx1"/>
                  </w14:solidFill>
                </w14:textFill>
              </w:rPr>
              <w:t>回用生产</w:t>
            </w:r>
            <w:r>
              <w:rPr>
                <w:rFonts w:hint="eastAsia"/>
                <w:color w:val="000000" w:themeColor="text1"/>
                <w:szCs w:val="24"/>
                <w14:textFill>
                  <w14:solidFill>
                    <w14:schemeClr w14:val="tx1"/>
                  </w14:solidFill>
                </w14:textFill>
              </w:rPr>
              <w:t>。</w:t>
            </w:r>
          </w:p>
          <w:p w14:paraId="6557C9AC">
            <w:pPr>
              <w:pStyle w:val="31"/>
              <w:adjustRightInd/>
              <w:snapToGrid/>
              <w:spacing w:after="0"/>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通过上述分析，产生的污废水经处理后综合利用，不外排，对水环境影响较小，措施可行。</w:t>
            </w:r>
          </w:p>
          <w:p w14:paraId="73E0B701">
            <w:pPr>
              <w:tabs>
                <w:tab w:val="left" w:pos="377"/>
              </w:tabs>
              <w:ind w:firstLine="482"/>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3.噪声</w:t>
            </w:r>
          </w:p>
          <w:p w14:paraId="0ED9944E">
            <w:pPr>
              <w:pStyle w:val="76"/>
              <w:widowControl w:val="0"/>
              <w:spacing w:before="0" w:beforeAutospacing="0" w:after="0" w:afterAutospacing="0"/>
              <w:ind w:firstLine="482"/>
              <w:rPr>
                <w:rFonts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
                <w:bCs/>
                <w:color w:val="000000" w:themeColor="text1"/>
                <w:kern w:val="2"/>
                <w:lang w:bidi="ar"/>
                <w14:textFill>
                  <w14:solidFill>
                    <w14:schemeClr w14:val="tx1"/>
                  </w14:solidFill>
                </w14:textFill>
              </w:rPr>
              <w:t>（1）主要噪声源强及距离</w:t>
            </w:r>
          </w:p>
          <w:p w14:paraId="4C1B4063">
            <w:pPr>
              <w:pStyle w:val="76"/>
              <w:widowControl w:val="0"/>
              <w:snapToGrid/>
              <w:spacing w:before="0" w:beforeAutospacing="0" w:after="0" w:afterAutospacing="0"/>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kern w:val="2"/>
                <w:lang w:bidi="ar"/>
                <w14:textFill>
                  <w14:solidFill>
                    <w14:schemeClr w14:val="tx1"/>
                  </w14:solidFill>
                </w14:textFill>
              </w:rPr>
              <w:t>项目主要噪声源为筛分机、破碎机、制砖机、隧道窑及其配套设施、风机和各类水泵等设备运行时产生的噪声及进出厂区车辆产生的噪声。项目主要噪声源源强见表34。原料棚和洗煤车间中心距厂界的距离见表35。</w:t>
            </w:r>
          </w:p>
          <w:p w14:paraId="4C81FDD1">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主要噪声源一览表</w:t>
            </w:r>
          </w:p>
          <w:tbl>
            <w:tblPr>
              <w:tblStyle w:val="82"/>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0" w:type="dxa"/>
                <w:bottom w:w="0" w:type="dxa"/>
                <w:right w:w="0" w:type="dxa"/>
              </w:tblCellMar>
            </w:tblPr>
            <w:tblGrid>
              <w:gridCol w:w="1371"/>
              <w:gridCol w:w="1647"/>
              <w:gridCol w:w="948"/>
              <w:gridCol w:w="1263"/>
              <w:gridCol w:w="1373"/>
              <w:gridCol w:w="1208"/>
              <w:gridCol w:w="1159"/>
            </w:tblGrid>
            <w:tr w14:paraId="5B66F43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tcBorders>
                    <w:top w:val="single" w:color="auto" w:sz="2" w:space="0"/>
                    <w:left w:val="single" w:color="auto" w:sz="2" w:space="0"/>
                    <w:bottom w:val="single" w:color="auto" w:sz="4" w:space="0"/>
                    <w:right w:val="single" w:color="auto" w:sz="4" w:space="0"/>
                  </w:tcBorders>
                  <w:shd w:val="clear" w:color="auto" w:fill="auto"/>
                  <w:vAlign w:val="center"/>
                </w:tcPr>
                <w:p w14:paraId="31F30B53">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噪声源</w:t>
                  </w:r>
                </w:p>
                <w:p w14:paraId="5406452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位置</w:t>
                  </w:r>
                </w:p>
              </w:tc>
              <w:tc>
                <w:tcPr>
                  <w:tcW w:w="917" w:type="pct"/>
                  <w:tcBorders>
                    <w:top w:val="single" w:color="auto" w:sz="2" w:space="0"/>
                    <w:left w:val="single" w:color="auto" w:sz="4" w:space="0"/>
                    <w:bottom w:val="single" w:color="auto" w:sz="4" w:space="0"/>
                    <w:right w:val="single" w:color="auto" w:sz="4" w:space="0"/>
                  </w:tcBorders>
                  <w:shd w:val="clear" w:color="auto" w:fill="auto"/>
                  <w:vAlign w:val="center"/>
                </w:tcPr>
                <w:p w14:paraId="0F98708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声源名称</w:t>
                  </w:r>
                </w:p>
              </w:tc>
              <w:tc>
                <w:tcPr>
                  <w:tcW w:w="528" w:type="pct"/>
                  <w:tcBorders>
                    <w:top w:val="single" w:color="auto" w:sz="2" w:space="0"/>
                    <w:left w:val="single" w:color="auto" w:sz="4" w:space="0"/>
                    <w:bottom w:val="single" w:color="auto" w:sz="4" w:space="0"/>
                    <w:right w:val="single" w:color="auto" w:sz="4" w:space="0"/>
                  </w:tcBorders>
                  <w:shd w:val="clear" w:color="auto" w:fill="auto"/>
                  <w:vAlign w:val="center"/>
                </w:tcPr>
                <w:p w14:paraId="662249E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数量</w:t>
                  </w:r>
                </w:p>
                <w:p w14:paraId="4C791E3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台</w:t>
                  </w:r>
                  <w:r>
                    <w:rPr>
                      <w:rFonts w:ascii="Times New Roman" w:hAnsi="Times New Roman"/>
                      <w:color w:val="000000" w:themeColor="text1"/>
                      <w14:textFill>
                        <w14:solidFill>
                          <w14:schemeClr w14:val="tx1"/>
                        </w14:solidFill>
                      </w14:textFill>
                    </w:rPr>
                    <w:t>)</w:t>
                  </w:r>
                </w:p>
              </w:tc>
              <w:tc>
                <w:tcPr>
                  <w:tcW w:w="704" w:type="pct"/>
                  <w:tcBorders>
                    <w:top w:val="single" w:color="auto" w:sz="2" w:space="0"/>
                    <w:left w:val="single" w:color="auto" w:sz="4" w:space="0"/>
                    <w:bottom w:val="single" w:color="auto" w:sz="4" w:space="0"/>
                    <w:right w:val="single" w:color="auto" w:sz="4" w:space="0"/>
                  </w:tcBorders>
                  <w:shd w:val="clear" w:color="auto" w:fill="auto"/>
                  <w:vAlign w:val="center"/>
                </w:tcPr>
                <w:p w14:paraId="5D89303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防治前声压级（</w:t>
                  </w:r>
                  <w:r>
                    <w:rPr>
                      <w:rFonts w:ascii="Times New Roman" w:hAnsi="Times New Roman"/>
                      <w:color w:val="000000" w:themeColor="text1"/>
                      <w14:textFill>
                        <w14:solidFill>
                          <w14:schemeClr w14:val="tx1"/>
                        </w14:solidFill>
                      </w14:textFill>
                    </w:rPr>
                    <w:t>dB(A)</w:t>
                  </w:r>
                  <w:r>
                    <w:rPr>
                      <w:rFonts w:hint="eastAsia" w:ascii="Times New Roman" w:hAnsi="Times New Roman"/>
                      <w:color w:val="000000" w:themeColor="text1"/>
                      <w14:textFill>
                        <w14:solidFill>
                          <w14:schemeClr w14:val="tx1"/>
                        </w14:solidFill>
                      </w14:textFill>
                    </w:rPr>
                    <w:t>）</w:t>
                  </w:r>
                </w:p>
              </w:tc>
              <w:tc>
                <w:tcPr>
                  <w:tcW w:w="765" w:type="pct"/>
                  <w:tcBorders>
                    <w:top w:val="single" w:color="auto" w:sz="2" w:space="0"/>
                    <w:left w:val="single" w:color="auto" w:sz="4" w:space="0"/>
                    <w:bottom w:val="single" w:color="auto" w:sz="4" w:space="0"/>
                    <w:right w:val="single" w:color="auto" w:sz="4" w:space="0"/>
                  </w:tcBorders>
                  <w:shd w:val="clear" w:color="auto" w:fill="auto"/>
                  <w:vAlign w:val="center"/>
                </w:tcPr>
                <w:p w14:paraId="730CBBE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治理措施</w:t>
                  </w:r>
                </w:p>
              </w:tc>
              <w:tc>
                <w:tcPr>
                  <w:tcW w:w="673" w:type="pct"/>
                  <w:tcBorders>
                    <w:top w:val="single" w:color="auto" w:sz="2" w:space="0"/>
                    <w:left w:val="single" w:color="auto" w:sz="4" w:space="0"/>
                    <w:bottom w:val="single" w:color="auto" w:sz="4" w:space="0"/>
                    <w:right w:val="single" w:color="auto" w:sz="4" w:space="0"/>
                  </w:tcBorders>
                  <w:shd w:val="clear" w:color="auto" w:fill="auto"/>
                  <w:vAlign w:val="center"/>
                </w:tcPr>
                <w:p w14:paraId="4A92412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防治后声压级（</w:t>
                  </w:r>
                  <w:r>
                    <w:rPr>
                      <w:rFonts w:ascii="Times New Roman" w:hAnsi="Times New Roman"/>
                      <w:color w:val="000000" w:themeColor="text1"/>
                      <w14:textFill>
                        <w14:solidFill>
                          <w14:schemeClr w14:val="tx1"/>
                        </w14:solidFill>
                      </w14:textFill>
                    </w:rPr>
                    <w:t>dB(A)</w:t>
                  </w:r>
                  <w:r>
                    <w:rPr>
                      <w:rFonts w:hint="eastAsia" w:ascii="Times New Roman" w:hAnsi="Times New Roman"/>
                      <w:color w:val="000000" w:themeColor="text1"/>
                      <w14:textFill>
                        <w14:solidFill>
                          <w14:schemeClr w14:val="tx1"/>
                        </w14:solidFill>
                      </w14:textFill>
                    </w:rPr>
                    <w:t>）</w:t>
                  </w:r>
                </w:p>
              </w:tc>
              <w:tc>
                <w:tcPr>
                  <w:tcW w:w="646" w:type="pct"/>
                  <w:tcBorders>
                    <w:top w:val="single" w:color="auto" w:sz="2" w:space="0"/>
                    <w:left w:val="single" w:color="auto" w:sz="4" w:space="0"/>
                    <w:bottom w:val="single" w:color="auto" w:sz="4" w:space="0"/>
                    <w:right w:val="single" w:color="auto" w:sz="2" w:space="0"/>
                  </w:tcBorders>
                  <w:shd w:val="clear" w:color="auto" w:fill="auto"/>
                  <w:vAlign w:val="center"/>
                </w:tcPr>
                <w:p w14:paraId="67DB195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备注</w:t>
                  </w:r>
                </w:p>
              </w:tc>
            </w:tr>
            <w:tr w14:paraId="4D66AC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restart"/>
                  <w:tcBorders>
                    <w:top w:val="single" w:color="auto" w:sz="4" w:space="0"/>
                    <w:left w:val="single" w:color="auto" w:sz="2" w:space="0"/>
                    <w:bottom w:val="single" w:color="auto" w:sz="4" w:space="0"/>
                    <w:right w:val="single" w:color="auto" w:sz="4" w:space="0"/>
                  </w:tcBorders>
                  <w:shd w:val="clear" w:color="auto" w:fill="auto"/>
                  <w:vAlign w:val="center"/>
                </w:tcPr>
                <w:p w14:paraId="17B3E03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洗矸工段</w:t>
                  </w: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AAE3A1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给</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料</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8F8159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2062394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733B007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98E12F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A79CAD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63FCA46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76EB553C">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3D31E94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电</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ECEA2F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84E4EE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0F35826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12D79F4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73</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7505362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68C9A8E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6E3C0305">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0F4CBD7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减</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速</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器</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E0D78B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35DDC3D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7AE555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160C9C5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7CD7404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51D86B2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1B608580">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0EE371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原料皮带</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2DC48B6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123</w:t>
                  </w:r>
                  <w:r>
                    <w:rPr>
                      <w:rFonts w:hint="eastAsia" w:ascii="Times New Roman" w:hAnsi="Times New Roman"/>
                      <w:color w:val="000000" w:themeColor="text1"/>
                      <w14:textFill>
                        <w14:solidFill>
                          <w14:schemeClr w14:val="tx1"/>
                        </w14:solidFill>
                      </w14:textFill>
                    </w:rPr>
                    <w:t>米</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6823E52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41AC5A3">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521CC81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35351E4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28F0AA2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7693A8AE">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19BB228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电</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动</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B28970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F37607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A7C2BB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78A5E2B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0EF6B0F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30EFBDD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33BCAEFA">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8917C9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减</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速</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器</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066A46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6CBD9F3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191E9B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15C0826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55675B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482CD4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78527CFA">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0F91728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洗料主机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9E3EB6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段</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7C9BA8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3104F80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26AAEB9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061E018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0F51B58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7AEAEBF7">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216B6C9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矸石提升机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1320BD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67FC096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B024C6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23AC36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367C733">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447E788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4CAD2F17">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2AF470A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中料提升机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7E9294B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585F95A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5FD26F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BCCE93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3F1C874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5B7ACDA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42E27C54">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05C87F9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精料振动筛</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77D31B2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78C6289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5113A1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0EE9EE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3D54061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5ACDC8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1130D1C5">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18EC325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离</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心</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853B07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7DA5609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C76F31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0A57C33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63E81DD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3D92F74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239778B3">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04FE303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螺旋分选机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268B6E0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w:t>
                  </w:r>
                  <w:r>
                    <w:rPr>
                      <w:rFonts w:hint="eastAsia" w:ascii="Times New Roman" w:hAnsi="Times New Roman"/>
                      <w:color w:val="000000" w:themeColor="text1"/>
                      <w14:textFill>
                        <w14:solidFill>
                          <w14:schemeClr w14:val="tx1"/>
                        </w14:solidFill>
                      </w14:textFill>
                    </w:rPr>
                    <w:t>个</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4E085B5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31A58BF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6F7A81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55F89C5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67219F1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4A25E6D7">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2B15A3D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浓缩机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783B51D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6C04E3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A84B5F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0044E05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6D5EC11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1B84B0B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0FE20004">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C27632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浓缩机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E14D1B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3FBE835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0AC1985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FFE257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3F0E4C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1E7A596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4C7CCFFF">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B44503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尾料压滤机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6C61B0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6906EB1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9751F7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2D44800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37F0730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45AA328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56C53157">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602BDC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三叶罗茨风机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1237801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7638E0E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7F1981E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1099F99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7E094BB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4C072F6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restart"/>
                  <w:tcBorders>
                    <w:top w:val="single" w:color="auto" w:sz="4" w:space="0"/>
                    <w:left w:val="single" w:color="auto" w:sz="2" w:space="0"/>
                    <w:right w:val="single" w:color="auto" w:sz="4" w:space="0"/>
                  </w:tcBorders>
                  <w:shd w:val="clear" w:color="auto" w:fill="auto"/>
                  <w:vAlign w:val="center"/>
                </w:tcPr>
                <w:p w14:paraId="2D611B8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烧结砖车间</w:t>
                  </w: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016972D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可移布料机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456689E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09C6265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1B8888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F59949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5AA6CCA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23B7564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left w:val="single" w:color="auto" w:sz="2" w:space="0"/>
                    <w:right w:val="single" w:color="auto" w:sz="4" w:space="0"/>
                  </w:tcBorders>
                  <w:shd w:val="clear" w:color="auto" w:fill="auto"/>
                  <w:vAlign w:val="center"/>
                </w:tcPr>
                <w:p w14:paraId="4AB2C72E">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4790091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液压多斗挖掘机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7BB9F8A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2885AA3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AE0B23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0921A97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6B6F30F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14F620F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left w:val="single" w:color="auto" w:sz="2" w:space="0"/>
                    <w:right w:val="single" w:color="auto" w:sz="4" w:space="0"/>
                  </w:tcBorders>
                  <w:shd w:val="clear" w:color="auto" w:fill="auto"/>
                  <w:vAlign w:val="center"/>
                </w:tcPr>
                <w:p w14:paraId="4B7642CD">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12ED9E3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输送带</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40DBABD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465BA38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49E59A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09E11D3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C2A11B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03AACE8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left w:val="single" w:color="auto" w:sz="2" w:space="0"/>
                    <w:right w:val="single" w:color="auto" w:sz="4" w:space="0"/>
                  </w:tcBorders>
                  <w:shd w:val="clear" w:color="auto" w:fill="auto"/>
                  <w:vAlign w:val="center"/>
                </w:tcPr>
                <w:p w14:paraId="415BD097">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7A5E0C6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箱式给料机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50F3D5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34B1E03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6F2959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43626B6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31BEE6D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4E25E1D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left w:val="single" w:color="auto" w:sz="2" w:space="0"/>
                    <w:right w:val="single" w:color="auto" w:sz="4" w:space="0"/>
                  </w:tcBorders>
                  <w:shd w:val="clear" w:color="auto" w:fill="auto"/>
                  <w:vAlign w:val="center"/>
                </w:tcPr>
                <w:p w14:paraId="4AC2C825">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2D8513E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对辊破碎机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6558497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070688C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0BA4FD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269626F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6961206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12106C0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left w:val="single" w:color="auto" w:sz="2" w:space="0"/>
                    <w:right w:val="single" w:color="auto" w:sz="4" w:space="0"/>
                  </w:tcBorders>
                  <w:shd w:val="clear" w:color="auto" w:fill="auto"/>
                  <w:vAlign w:val="center"/>
                </w:tcPr>
                <w:p w14:paraId="1E56ED8C">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07E3DCE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双轴搅拌挤出机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4B9EDAA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2837ADE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7B178AA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512FF02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371DECC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0F935C3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left w:val="single" w:color="auto" w:sz="2" w:space="0"/>
                    <w:right w:val="single" w:color="auto" w:sz="4" w:space="0"/>
                  </w:tcBorders>
                  <w:shd w:val="clear" w:color="auto" w:fill="auto"/>
                  <w:vAlign w:val="center"/>
                </w:tcPr>
                <w:p w14:paraId="1B0C0535">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3730877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真空挤砖机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BCA99F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068113C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0E0E04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E0A0BD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27437F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77210FD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pct"/>
                  <w:vMerge w:val="continue"/>
                  <w:tcBorders>
                    <w:left w:val="single" w:color="auto" w:sz="2" w:space="0"/>
                    <w:right w:val="single" w:color="auto" w:sz="4" w:space="0"/>
                  </w:tcBorders>
                  <w:shd w:val="clear" w:color="auto" w:fill="auto"/>
                  <w:vAlign w:val="center"/>
                </w:tcPr>
                <w:p w14:paraId="23448165">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1624BF0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输送带</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1AC075D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w:t>
                  </w:r>
                  <w:r>
                    <w:rPr>
                      <w:rFonts w:hint="eastAsia" w:ascii="Times New Roman" w:hAnsi="Times New Roman"/>
                      <w:color w:val="000000" w:themeColor="text1"/>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6476535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A68D37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1285CE1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3240B30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44332A5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left w:val="single" w:color="auto" w:sz="2" w:space="0"/>
                    <w:right w:val="single" w:color="auto" w:sz="4" w:space="0"/>
                  </w:tcBorders>
                  <w:shd w:val="clear" w:color="auto" w:fill="auto"/>
                  <w:vAlign w:val="center"/>
                </w:tcPr>
                <w:p w14:paraId="4A69DEC9">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5A948EA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切坯切条机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10324B8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74885B3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E208A1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15ECC9B">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CDC22E3">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23C84A1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left w:val="single" w:color="auto" w:sz="2" w:space="0"/>
                    <w:right w:val="single" w:color="auto" w:sz="4" w:space="0"/>
                  </w:tcBorders>
                  <w:shd w:val="clear" w:color="auto" w:fill="auto"/>
                  <w:vAlign w:val="center"/>
                </w:tcPr>
                <w:p w14:paraId="79ED320F">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1BA6687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r>
                    <w:rPr>
                      <w:rFonts w:ascii="Times New Roman" w:hAnsi="Times New Roman"/>
                      <w:color w:val="000000" w:themeColor="text1"/>
                      <w14:textFill>
                        <w14:solidFill>
                          <w14:schemeClr w14:val="tx1"/>
                        </w14:solidFill>
                      </w14:textFill>
                    </w:rPr>
                    <w:t>800</w:t>
                  </w:r>
                  <w:r>
                    <w:rPr>
                      <w:rFonts w:hint="eastAsia" w:ascii="Times New Roman" w:hAnsi="Times New Roman"/>
                      <w:color w:val="000000" w:themeColor="text1"/>
                      <w14:textFill>
                        <w14:solidFill>
                          <w14:schemeClr w14:val="tx1"/>
                        </w14:solidFill>
                      </w14:textFill>
                    </w:rPr>
                    <w:t>公斤机器人，</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台小螳螂）</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A01FF7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9B30D9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051E2A83">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71519B5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62C1117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51EFEEB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left w:val="single" w:color="auto" w:sz="2" w:space="0"/>
                    <w:right w:val="single" w:color="auto" w:sz="4" w:space="0"/>
                  </w:tcBorders>
                  <w:shd w:val="clear" w:color="auto" w:fill="auto"/>
                  <w:vAlign w:val="center"/>
                </w:tcPr>
                <w:p w14:paraId="55CE325C">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26ED88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布坯台</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174819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7D9D391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3A3945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057E08E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4F2823B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0431C0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left w:val="single" w:color="auto" w:sz="2" w:space="0"/>
                    <w:right w:val="single" w:color="auto" w:sz="4" w:space="0"/>
                  </w:tcBorders>
                  <w:shd w:val="clear" w:color="auto" w:fill="auto"/>
                  <w:vAlign w:val="center"/>
                </w:tcPr>
                <w:p w14:paraId="7CA6A3C5">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1FE5B7F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移动平台</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4ACFAB9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BF69B6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EB5305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80D271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5BA280B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5C37ED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left w:val="single" w:color="auto" w:sz="2" w:space="0"/>
                    <w:right w:val="single" w:color="auto" w:sz="4" w:space="0"/>
                  </w:tcBorders>
                  <w:shd w:val="clear" w:color="auto" w:fill="auto"/>
                  <w:vAlign w:val="center"/>
                </w:tcPr>
                <w:p w14:paraId="03B2F9A5">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041FEE2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窑炉行走</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801403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48</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430A42B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7BAE6F8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DF949F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0F982E6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745BE91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left w:val="single" w:color="auto" w:sz="2" w:space="0"/>
                    <w:right w:val="single" w:color="auto" w:sz="4" w:space="0"/>
                  </w:tcBorders>
                  <w:shd w:val="clear" w:color="auto" w:fill="auto"/>
                  <w:vAlign w:val="center"/>
                </w:tcPr>
                <w:p w14:paraId="688CB1FB">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7894C9D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环形运坯</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7F1121C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4F49270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46C2F9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056B404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7E8CA32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7B95A4A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left w:val="single" w:color="auto" w:sz="2" w:space="0"/>
                    <w:right w:val="single" w:color="auto" w:sz="4" w:space="0"/>
                  </w:tcBorders>
                  <w:shd w:val="clear" w:color="auto" w:fill="auto"/>
                  <w:vAlign w:val="center"/>
                </w:tcPr>
                <w:p w14:paraId="0509A346">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5DC9636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窑炉风机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11F788B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6044989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29EB6F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5DDE00F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28D7D86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559C182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left w:val="single" w:color="auto" w:sz="2" w:space="0"/>
                    <w:right w:val="single" w:color="auto" w:sz="4" w:space="0"/>
                  </w:tcBorders>
                  <w:shd w:val="clear" w:color="auto" w:fill="auto"/>
                  <w:vAlign w:val="center"/>
                </w:tcPr>
                <w:p w14:paraId="36D9C40D">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5B43017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窑门提升</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49BE46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5B97449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53080D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40CBCCB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65785D3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6054AE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left w:val="single" w:color="auto" w:sz="2" w:space="0"/>
                    <w:right w:val="single" w:color="auto" w:sz="4" w:space="0"/>
                  </w:tcBorders>
                  <w:shd w:val="clear" w:color="auto" w:fill="auto"/>
                  <w:vAlign w:val="center"/>
                </w:tcPr>
                <w:p w14:paraId="6057C44B">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2212649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行车抱砖机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6A8B0B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008F61F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7AE67F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18D77F1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E34881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584E3BD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764" w:type="pct"/>
                  <w:vMerge w:val="continue"/>
                  <w:tcBorders>
                    <w:left w:val="single" w:color="auto" w:sz="2" w:space="0"/>
                    <w:right w:val="single" w:color="auto" w:sz="4" w:space="0"/>
                  </w:tcBorders>
                  <w:shd w:val="clear" w:color="auto" w:fill="auto"/>
                  <w:vAlign w:val="center"/>
                </w:tcPr>
                <w:p w14:paraId="2BA64849">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252FD79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刮平机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76F534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44DA182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7DDCFF0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222FD91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20A796B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0DE62B8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764" w:type="pct"/>
                  <w:vMerge w:val="continue"/>
                  <w:tcBorders>
                    <w:left w:val="single" w:color="auto" w:sz="2" w:space="0"/>
                    <w:right w:val="single" w:color="auto" w:sz="4" w:space="0"/>
                  </w:tcBorders>
                  <w:shd w:val="clear" w:color="auto" w:fill="auto"/>
                  <w:vAlign w:val="center"/>
                </w:tcPr>
                <w:p w14:paraId="4C5A2130">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38B7FAD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脱硫系统</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51FD49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312C6D3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065C8B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2BD10A9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0D90FA7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65B6A6F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764" w:type="pct"/>
                  <w:vMerge w:val="continue"/>
                  <w:tcBorders>
                    <w:left w:val="single" w:color="auto" w:sz="2" w:space="0"/>
                    <w:right w:val="single" w:color="auto" w:sz="4" w:space="0"/>
                  </w:tcBorders>
                  <w:shd w:val="clear" w:color="auto" w:fill="auto"/>
                  <w:vAlign w:val="center"/>
                </w:tcPr>
                <w:p w14:paraId="5220DAFE">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517E334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给料机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71818E3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23AD8D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769E3EF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2FE2A223">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2472DDE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05E4A0C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continue"/>
                  <w:tcBorders>
                    <w:left w:val="single" w:color="auto" w:sz="2" w:space="0"/>
                    <w:right w:val="single" w:color="auto" w:sz="4" w:space="0"/>
                  </w:tcBorders>
                  <w:shd w:val="clear" w:color="auto" w:fill="auto"/>
                  <w:vAlign w:val="center"/>
                </w:tcPr>
                <w:p w14:paraId="2B2FAA8B">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5EAE706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破碎机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651B44C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622AA84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986ED7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851764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8335F8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01B5CB8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764" w:type="pct"/>
                  <w:vMerge w:val="continue"/>
                  <w:tcBorders>
                    <w:left w:val="single" w:color="auto" w:sz="2" w:space="0"/>
                    <w:right w:val="single" w:color="auto" w:sz="4" w:space="0"/>
                  </w:tcBorders>
                  <w:shd w:val="clear" w:color="auto" w:fill="auto"/>
                  <w:vAlign w:val="center"/>
                </w:tcPr>
                <w:p w14:paraId="2EF99B63">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38CAE04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分级振动筛</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A0C0B2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1台</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B14591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76ABA31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19CCFB3">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75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67D8C2C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147CA7D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restart"/>
                  <w:tcBorders>
                    <w:top w:val="single" w:color="auto" w:sz="4" w:space="0"/>
                    <w:left w:val="single" w:color="auto" w:sz="2" w:space="0"/>
                    <w:bottom w:val="single" w:color="auto" w:sz="4" w:space="0"/>
                    <w:right w:val="single" w:color="auto" w:sz="4" w:space="0"/>
                  </w:tcBorders>
                  <w:shd w:val="clear" w:color="auto" w:fill="auto"/>
                  <w:vAlign w:val="center"/>
                </w:tcPr>
                <w:p w14:paraId="364CBA9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免烧砖车间</w:t>
                  </w: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389F7C4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en-US"/>
                      <w14:textFill>
                        <w14:solidFill>
                          <w14:schemeClr w14:val="tx1"/>
                        </w14:solidFill>
                      </w14:textFill>
                    </w:rPr>
                    <w:t>成型主机</w:t>
                  </w:r>
                </w:p>
              </w:tc>
              <w:tc>
                <w:tcPr>
                  <w:tcW w:w="528" w:type="pct"/>
                  <w:tcBorders>
                    <w:top w:val="single" w:color="auto" w:sz="4" w:space="0"/>
                    <w:left w:val="single" w:color="auto" w:sz="4" w:space="0"/>
                    <w:bottom w:val="single" w:color="auto" w:sz="4" w:space="0"/>
                    <w:right w:val="single" w:color="auto" w:sz="4" w:space="0"/>
                  </w:tcBorders>
                  <w:shd w:val="clear" w:color="auto" w:fill="auto"/>
                </w:tcPr>
                <w:p w14:paraId="596F10C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4E34E2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F39056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799224B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7696DBD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46CC6EF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0D3FA9C4">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5E6082B1">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en-US"/>
                      <w14:textFill>
                        <w14:solidFill>
                          <w14:schemeClr w14:val="tx1"/>
                        </w14:solidFill>
                      </w14:textFill>
                    </w:rPr>
                    <w:t>布料机</w:t>
                  </w:r>
                </w:p>
              </w:tc>
              <w:tc>
                <w:tcPr>
                  <w:tcW w:w="528" w:type="pct"/>
                  <w:tcBorders>
                    <w:top w:val="single" w:color="auto" w:sz="4" w:space="0"/>
                    <w:left w:val="single" w:color="auto" w:sz="4" w:space="0"/>
                    <w:bottom w:val="single" w:color="auto" w:sz="4" w:space="0"/>
                    <w:right w:val="single" w:color="auto" w:sz="4" w:space="0"/>
                  </w:tcBorders>
                  <w:shd w:val="clear" w:color="auto" w:fill="auto"/>
                </w:tcPr>
                <w:p w14:paraId="3782ACD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2B2EC86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3CCB8FC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858B0F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2D8AF45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4CEC9B3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2BC8FC61">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5886CD2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en-US"/>
                      <w14:textFill>
                        <w14:solidFill>
                          <w14:schemeClr w14:val="tx1"/>
                        </w14:solidFill>
                      </w14:textFill>
                    </w:rPr>
                    <w:t>送板机</w:t>
                  </w:r>
                </w:p>
              </w:tc>
              <w:tc>
                <w:tcPr>
                  <w:tcW w:w="528" w:type="pct"/>
                  <w:tcBorders>
                    <w:top w:val="single" w:color="auto" w:sz="4" w:space="0"/>
                    <w:left w:val="single" w:color="auto" w:sz="4" w:space="0"/>
                    <w:bottom w:val="single" w:color="auto" w:sz="4" w:space="0"/>
                    <w:right w:val="single" w:color="auto" w:sz="4" w:space="0"/>
                  </w:tcBorders>
                  <w:shd w:val="clear" w:color="auto" w:fill="auto"/>
                </w:tcPr>
                <w:p w14:paraId="46787E8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179AA71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3099B2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42916FD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607D95E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2D2625C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2C0BF7E2">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2315D9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en-US"/>
                      <w14:textFill>
                        <w14:solidFill>
                          <w14:schemeClr w14:val="tx1"/>
                        </w14:solidFill>
                      </w14:textFill>
                    </w:rPr>
                    <w:t>液压系统</w:t>
                  </w:r>
                </w:p>
              </w:tc>
              <w:tc>
                <w:tcPr>
                  <w:tcW w:w="528" w:type="pct"/>
                  <w:tcBorders>
                    <w:top w:val="single" w:color="auto" w:sz="4" w:space="0"/>
                    <w:left w:val="single" w:color="auto" w:sz="4" w:space="0"/>
                    <w:bottom w:val="single" w:color="auto" w:sz="4" w:space="0"/>
                    <w:right w:val="single" w:color="auto" w:sz="4" w:space="0"/>
                  </w:tcBorders>
                  <w:shd w:val="clear" w:color="auto" w:fill="auto"/>
                </w:tcPr>
                <w:p w14:paraId="1AE01E15">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22EED64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3F9E788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3D82584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4C81DDC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7AB408F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2B837718">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D7C919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en-US"/>
                      <w14:textFill>
                        <w14:solidFill>
                          <w14:schemeClr w14:val="tx1"/>
                        </w14:solidFill>
                      </w14:textFill>
                    </w:rPr>
                    <w:t>激振电机</w:t>
                  </w:r>
                </w:p>
              </w:tc>
              <w:tc>
                <w:tcPr>
                  <w:tcW w:w="528" w:type="pct"/>
                  <w:tcBorders>
                    <w:top w:val="single" w:color="auto" w:sz="4" w:space="0"/>
                    <w:left w:val="single" w:color="auto" w:sz="4" w:space="0"/>
                    <w:bottom w:val="single" w:color="auto" w:sz="4" w:space="0"/>
                    <w:right w:val="single" w:color="auto" w:sz="4" w:space="0"/>
                  </w:tcBorders>
                  <w:shd w:val="clear" w:color="auto" w:fill="auto"/>
                </w:tcPr>
                <w:p w14:paraId="5EEAE8D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74F41C0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3E35BA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543F26B3">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5BC7A7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5CD924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67C8D9B9">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1F5580E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en-US"/>
                      <w14:textFill>
                        <w14:solidFill>
                          <w14:schemeClr w14:val="tx1"/>
                        </w14:solidFill>
                      </w14:textFill>
                    </w:rPr>
                    <w:t>二次布料机</w:t>
                  </w:r>
                </w:p>
              </w:tc>
              <w:tc>
                <w:tcPr>
                  <w:tcW w:w="528" w:type="pct"/>
                  <w:tcBorders>
                    <w:top w:val="single" w:color="auto" w:sz="4" w:space="0"/>
                    <w:left w:val="single" w:color="auto" w:sz="4" w:space="0"/>
                    <w:bottom w:val="single" w:color="auto" w:sz="4" w:space="0"/>
                    <w:right w:val="single" w:color="auto" w:sz="4" w:space="0"/>
                  </w:tcBorders>
                  <w:shd w:val="clear" w:color="auto" w:fill="auto"/>
                </w:tcPr>
                <w:p w14:paraId="2E3FBB1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5DF96DF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4FDA72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52026300">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409CDD0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0EEEA9A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1161ACDD">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6B3158D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PLC</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F2A705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7A25C9F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6C1362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0D47967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0E6334D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2B688EC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74EFDA3D">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30943D3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en-US"/>
                      <w14:textFill>
                        <w14:solidFill>
                          <w14:schemeClr w14:val="tx1"/>
                        </w14:solidFill>
                      </w14:textFill>
                    </w:rPr>
                    <w:t>出砖机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41FC2AF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0209E98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14FB92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7A7FDFD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6BB52E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6194979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653A7C33">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0FBB9FC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en-US"/>
                      <w14:textFill>
                        <w14:solidFill>
                          <w14:schemeClr w14:val="tx1"/>
                        </w14:solidFill>
                      </w14:textFill>
                    </w:rPr>
                    <w:t>叠板机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2BEE24D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6A07E36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BABF96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1F8CB2F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73BAD54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6E2896C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764" w:type="pct"/>
                  <w:vMerge w:val="continue"/>
                  <w:tcBorders>
                    <w:top w:val="single" w:color="auto" w:sz="4" w:space="0"/>
                    <w:left w:val="single" w:color="auto" w:sz="2" w:space="0"/>
                    <w:bottom w:val="single" w:color="auto" w:sz="4" w:space="0"/>
                    <w:right w:val="single" w:color="auto" w:sz="4" w:space="0"/>
                  </w:tcBorders>
                  <w:shd w:val="clear" w:color="auto" w:fill="auto"/>
                  <w:vAlign w:val="center"/>
                </w:tcPr>
                <w:p w14:paraId="1C88B934">
                  <w:pPr>
                    <w:pStyle w:val="144"/>
                    <w:rPr>
                      <w:rFonts w:ascii="Times New Roman" w:hAnsi="Times New Roman"/>
                      <w:color w:val="000000" w:themeColor="text1"/>
                      <w14:textFill>
                        <w14:solidFill>
                          <w14:schemeClr w14:val="tx1"/>
                        </w14:solidFill>
                      </w14:textFill>
                    </w:rPr>
                  </w:pPr>
                </w:p>
              </w:tc>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14:paraId="4435B39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en-US"/>
                      <w14:textFill>
                        <w14:solidFill>
                          <w14:schemeClr w14:val="tx1"/>
                        </w14:solidFill>
                      </w14:textFill>
                    </w:rPr>
                    <w:t>自动上板机</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B378E6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en-US"/>
                      <w14:textFill>
                        <w14:solidFill>
                          <w14:schemeClr w14:val="tx1"/>
                        </w14:solidFill>
                      </w14:textFill>
                    </w:rPr>
                    <w:t>1</w:t>
                  </w:r>
                  <w:r>
                    <w:rPr>
                      <w:rFonts w:hint="eastAsia" w:ascii="Times New Roman" w:hAnsi="Times New Roman"/>
                      <w:color w:val="000000" w:themeColor="text1"/>
                      <w:lang w:eastAsia="en-US"/>
                      <w14:textFill>
                        <w14:solidFill>
                          <w14:schemeClr w14:val="tx1"/>
                        </w14:solidFill>
                      </w14:textFill>
                    </w:rPr>
                    <w:t>套</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7D60055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7BA1D0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基础减振</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9F9169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75</w:t>
                  </w:r>
                </w:p>
              </w:tc>
              <w:tc>
                <w:tcPr>
                  <w:tcW w:w="646" w:type="pct"/>
                  <w:tcBorders>
                    <w:top w:val="single" w:color="auto" w:sz="4" w:space="0"/>
                    <w:left w:val="single" w:color="auto" w:sz="4" w:space="0"/>
                    <w:bottom w:val="single" w:color="auto" w:sz="4" w:space="0"/>
                    <w:right w:val="single" w:color="auto" w:sz="2" w:space="0"/>
                  </w:tcBorders>
                  <w:shd w:val="clear" w:color="auto" w:fill="auto"/>
                  <w:vAlign w:val="center"/>
                </w:tcPr>
                <w:p w14:paraId="13E5B39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室内</w:t>
                  </w:r>
                </w:p>
              </w:tc>
            </w:tr>
            <w:tr w14:paraId="37A3AC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2" w:type="pct"/>
                  <w:gridSpan w:val="2"/>
                  <w:tcBorders>
                    <w:top w:val="single" w:color="auto" w:sz="4" w:space="0"/>
                    <w:left w:val="single" w:color="auto" w:sz="2" w:space="0"/>
                    <w:bottom w:val="single" w:color="auto" w:sz="2" w:space="0"/>
                    <w:right w:val="single" w:color="auto" w:sz="4" w:space="0"/>
                  </w:tcBorders>
                  <w:shd w:val="clear" w:color="auto" w:fill="auto"/>
                  <w:vAlign w:val="center"/>
                </w:tcPr>
                <w:p w14:paraId="262D3D1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运输车辆</w:t>
                  </w:r>
                </w:p>
              </w:tc>
              <w:tc>
                <w:tcPr>
                  <w:tcW w:w="528" w:type="pct"/>
                  <w:tcBorders>
                    <w:top w:val="single" w:color="auto" w:sz="4" w:space="0"/>
                    <w:left w:val="single" w:color="auto" w:sz="4" w:space="0"/>
                    <w:bottom w:val="single" w:color="auto" w:sz="2" w:space="0"/>
                    <w:right w:val="single" w:color="auto" w:sz="4" w:space="0"/>
                  </w:tcBorders>
                  <w:shd w:val="clear" w:color="auto" w:fill="auto"/>
                  <w:vAlign w:val="center"/>
                </w:tcPr>
                <w:p w14:paraId="308D6B4E">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704" w:type="pct"/>
                  <w:tcBorders>
                    <w:top w:val="single" w:color="auto" w:sz="4" w:space="0"/>
                    <w:left w:val="single" w:color="auto" w:sz="4" w:space="0"/>
                    <w:bottom w:val="single" w:color="auto" w:sz="2" w:space="0"/>
                    <w:right w:val="single" w:color="auto" w:sz="4" w:space="0"/>
                  </w:tcBorders>
                  <w:shd w:val="clear" w:color="auto" w:fill="auto"/>
                  <w:vAlign w:val="center"/>
                </w:tcPr>
                <w:p w14:paraId="3C5A61E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70-80</w:t>
                  </w:r>
                </w:p>
              </w:tc>
              <w:tc>
                <w:tcPr>
                  <w:tcW w:w="765" w:type="pct"/>
                  <w:tcBorders>
                    <w:top w:val="single" w:color="auto" w:sz="4" w:space="0"/>
                    <w:left w:val="single" w:color="auto" w:sz="4" w:space="0"/>
                    <w:bottom w:val="single" w:color="auto" w:sz="2" w:space="0"/>
                    <w:right w:val="single" w:color="auto" w:sz="4" w:space="0"/>
                  </w:tcBorders>
                  <w:shd w:val="clear" w:color="auto" w:fill="auto"/>
                  <w:vAlign w:val="center"/>
                </w:tcPr>
                <w:p w14:paraId="726AE19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厂区内禁止鸣笛，合理安排运输时间</w:t>
                  </w:r>
                </w:p>
              </w:tc>
              <w:tc>
                <w:tcPr>
                  <w:tcW w:w="673" w:type="pct"/>
                  <w:tcBorders>
                    <w:top w:val="single" w:color="auto" w:sz="4" w:space="0"/>
                    <w:left w:val="single" w:color="auto" w:sz="4" w:space="0"/>
                    <w:bottom w:val="single" w:color="auto" w:sz="2" w:space="0"/>
                    <w:right w:val="single" w:color="auto" w:sz="4" w:space="0"/>
                  </w:tcBorders>
                  <w:shd w:val="clear" w:color="auto" w:fill="auto"/>
                  <w:vAlign w:val="center"/>
                </w:tcPr>
                <w:p w14:paraId="095C3AD1">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c>
                <w:tcPr>
                  <w:tcW w:w="646" w:type="pct"/>
                  <w:tcBorders>
                    <w:top w:val="single" w:color="auto" w:sz="4" w:space="0"/>
                    <w:left w:val="single" w:color="auto" w:sz="4" w:space="0"/>
                    <w:bottom w:val="single" w:color="auto" w:sz="2" w:space="0"/>
                    <w:right w:val="single" w:color="auto" w:sz="2" w:space="0"/>
                  </w:tcBorders>
                  <w:shd w:val="clear" w:color="auto" w:fill="auto"/>
                  <w:vAlign w:val="center"/>
                </w:tcPr>
                <w:p w14:paraId="32490DD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室外</w:t>
                  </w:r>
                </w:p>
              </w:tc>
            </w:tr>
          </w:tbl>
          <w:p w14:paraId="1D2305BE">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车间中心距厂界距离</w:t>
            </w:r>
          </w:p>
          <w:tbl>
            <w:tblPr>
              <w:tblStyle w:val="8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274"/>
              <w:gridCol w:w="1257"/>
              <w:gridCol w:w="1369"/>
              <w:gridCol w:w="1247"/>
              <w:gridCol w:w="1403"/>
            </w:tblGrid>
            <w:tr w14:paraId="2A1C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A00EA8">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噪声源位置</w:t>
                  </w:r>
                </w:p>
              </w:tc>
              <w:tc>
                <w:tcPr>
                  <w:tcW w:w="12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5F2B8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声源名称</w:t>
                  </w:r>
                </w:p>
              </w:tc>
              <w:tc>
                <w:tcPr>
                  <w:tcW w:w="2941"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416CF5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噪声源距各预测点距离</w:t>
                  </w:r>
                  <w:r>
                    <w:rPr>
                      <w:rFonts w:ascii="Times New Roman" w:hAnsi="Times New Roman"/>
                      <w:color w:val="000000" w:themeColor="text1"/>
                      <w14:textFill>
                        <w14:solidFill>
                          <w14:schemeClr w14:val="tx1"/>
                        </w14:solidFill>
                      </w14:textFill>
                    </w:rPr>
                    <w:t>(m)</w:t>
                  </w:r>
                </w:p>
              </w:tc>
            </w:tr>
            <w:tr w14:paraId="26E6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D16BC6">
                  <w:pPr>
                    <w:pStyle w:val="144"/>
                    <w:rPr>
                      <w:rFonts w:ascii="Times New Roman" w:hAnsi="Times New Roman"/>
                      <w:color w:val="000000" w:themeColor="text1"/>
                      <w14:textFill>
                        <w14:solidFill>
                          <w14:schemeClr w14:val="tx1"/>
                        </w14:solidFill>
                      </w14:textFill>
                    </w:rPr>
                  </w:pPr>
                </w:p>
              </w:tc>
              <w:tc>
                <w:tcPr>
                  <w:tcW w:w="12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205DF4">
                  <w:pPr>
                    <w:pStyle w:val="144"/>
                    <w:rPr>
                      <w:rFonts w:ascii="Times New Roman" w:hAnsi="Times New Roman"/>
                      <w:color w:val="000000" w:themeColor="text1"/>
                      <w14:textFill>
                        <w14:solidFill>
                          <w14:schemeClr w14:val="tx1"/>
                        </w14:solidFill>
                      </w14:textFill>
                    </w:rPr>
                  </w:pPr>
                </w:p>
              </w:tc>
              <w:tc>
                <w:tcPr>
                  <w:tcW w:w="701" w:type="pct"/>
                  <w:tcBorders>
                    <w:top w:val="single" w:color="auto" w:sz="4" w:space="0"/>
                    <w:left w:val="single" w:color="auto" w:sz="4" w:space="0"/>
                    <w:bottom w:val="single" w:color="auto" w:sz="4" w:space="0"/>
                    <w:right w:val="single" w:color="auto" w:sz="4" w:space="0"/>
                  </w:tcBorders>
                  <w:shd w:val="clear" w:color="auto" w:fill="auto"/>
                  <w:vAlign w:val="center"/>
                </w:tcPr>
                <w:p w14:paraId="1FC11702">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东厂界</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14:paraId="4D9C788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南厂界</w:t>
                  </w:r>
                </w:p>
              </w:tc>
              <w:tc>
                <w:tcPr>
                  <w:tcW w:w="695" w:type="pct"/>
                  <w:tcBorders>
                    <w:top w:val="single" w:color="auto" w:sz="4" w:space="0"/>
                    <w:left w:val="single" w:color="auto" w:sz="4" w:space="0"/>
                    <w:bottom w:val="single" w:color="auto" w:sz="4" w:space="0"/>
                    <w:right w:val="single" w:color="auto" w:sz="4" w:space="0"/>
                  </w:tcBorders>
                  <w:shd w:val="clear" w:color="auto" w:fill="auto"/>
                  <w:vAlign w:val="center"/>
                </w:tcPr>
                <w:p w14:paraId="06C7990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西厂界</w:t>
                  </w:r>
                </w:p>
              </w:tc>
              <w:tc>
                <w:tcPr>
                  <w:tcW w:w="780" w:type="pct"/>
                  <w:tcBorders>
                    <w:top w:val="single" w:color="auto" w:sz="4" w:space="0"/>
                    <w:left w:val="single" w:color="auto" w:sz="4" w:space="0"/>
                    <w:bottom w:val="single" w:color="auto" w:sz="4" w:space="0"/>
                    <w:right w:val="single" w:color="auto" w:sz="4" w:space="0"/>
                  </w:tcBorders>
                  <w:shd w:val="clear" w:color="auto" w:fill="auto"/>
                  <w:vAlign w:val="center"/>
                </w:tcPr>
                <w:p w14:paraId="324547F4">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北厂界</w:t>
                  </w:r>
                </w:p>
              </w:tc>
            </w:tr>
            <w:tr w14:paraId="4EA4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tcBorders>
                    <w:top w:val="single" w:color="auto" w:sz="4" w:space="0"/>
                    <w:left w:val="single" w:color="auto" w:sz="4" w:space="0"/>
                    <w:bottom w:val="single" w:color="auto" w:sz="4" w:space="0"/>
                    <w:right w:val="single" w:color="auto" w:sz="4" w:space="0"/>
                  </w:tcBorders>
                  <w:shd w:val="clear" w:color="auto" w:fill="auto"/>
                  <w:vAlign w:val="center"/>
                </w:tcPr>
                <w:p w14:paraId="65D5A16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洗矸工段</w:t>
                  </w:r>
                </w:p>
              </w:tc>
              <w:tc>
                <w:tcPr>
                  <w:tcW w:w="1268" w:type="pct"/>
                  <w:tcBorders>
                    <w:top w:val="single" w:color="auto" w:sz="4" w:space="0"/>
                    <w:left w:val="single" w:color="auto" w:sz="4" w:space="0"/>
                    <w:bottom w:val="single" w:color="auto" w:sz="4" w:space="0"/>
                    <w:right w:val="single" w:color="auto" w:sz="4" w:space="0"/>
                  </w:tcBorders>
                  <w:shd w:val="clear" w:color="auto" w:fill="auto"/>
                  <w:vAlign w:val="center"/>
                </w:tcPr>
                <w:p w14:paraId="4F9EC49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洗料主机、给料机等</w:t>
                  </w:r>
                </w:p>
              </w:tc>
              <w:tc>
                <w:tcPr>
                  <w:tcW w:w="701" w:type="pct"/>
                  <w:tcBorders>
                    <w:top w:val="single" w:color="auto" w:sz="4" w:space="0"/>
                    <w:left w:val="single" w:color="auto" w:sz="4" w:space="0"/>
                    <w:bottom w:val="single" w:color="auto" w:sz="4" w:space="0"/>
                    <w:right w:val="single" w:color="auto" w:sz="4" w:space="0"/>
                  </w:tcBorders>
                  <w:shd w:val="clear" w:color="auto" w:fill="auto"/>
                  <w:vAlign w:val="center"/>
                </w:tcPr>
                <w:p w14:paraId="18E7ACB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48</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14:paraId="0AD9D19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197</w:t>
                  </w:r>
                </w:p>
              </w:tc>
              <w:tc>
                <w:tcPr>
                  <w:tcW w:w="695" w:type="pct"/>
                  <w:tcBorders>
                    <w:top w:val="single" w:color="auto" w:sz="4" w:space="0"/>
                    <w:left w:val="single" w:color="auto" w:sz="4" w:space="0"/>
                    <w:bottom w:val="single" w:color="auto" w:sz="4" w:space="0"/>
                    <w:right w:val="single" w:color="auto" w:sz="4" w:space="0"/>
                  </w:tcBorders>
                  <w:shd w:val="clear" w:color="auto" w:fill="auto"/>
                  <w:vAlign w:val="center"/>
                </w:tcPr>
                <w:p w14:paraId="614AFB1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267</w:t>
                  </w:r>
                </w:p>
              </w:tc>
              <w:tc>
                <w:tcPr>
                  <w:tcW w:w="780" w:type="pct"/>
                  <w:tcBorders>
                    <w:top w:val="single" w:color="auto" w:sz="4" w:space="0"/>
                    <w:left w:val="single" w:color="auto" w:sz="4" w:space="0"/>
                    <w:bottom w:val="single" w:color="auto" w:sz="4" w:space="0"/>
                    <w:right w:val="single" w:color="auto" w:sz="4" w:space="0"/>
                  </w:tcBorders>
                  <w:shd w:val="clear" w:color="auto" w:fill="auto"/>
                  <w:vAlign w:val="center"/>
                </w:tcPr>
                <w:p w14:paraId="148F0AF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r>
            <w:tr w14:paraId="424F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tcBorders>
                    <w:top w:val="single" w:color="auto" w:sz="4" w:space="0"/>
                    <w:left w:val="single" w:color="auto" w:sz="4" w:space="0"/>
                    <w:bottom w:val="single" w:color="auto" w:sz="4" w:space="0"/>
                    <w:right w:val="single" w:color="auto" w:sz="4" w:space="0"/>
                  </w:tcBorders>
                  <w:shd w:val="clear" w:color="auto" w:fill="auto"/>
                  <w:vAlign w:val="center"/>
                </w:tcPr>
                <w:p w14:paraId="04B690EC">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烧结砖车间</w:t>
                  </w:r>
                </w:p>
              </w:tc>
              <w:tc>
                <w:tcPr>
                  <w:tcW w:w="1268" w:type="pct"/>
                  <w:tcBorders>
                    <w:top w:val="single" w:color="auto" w:sz="4" w:space="0"/>
                    <w:left w:val="single" w:color="auto" w:sz="4" w:space="0"/>
                    <w:bottom w:val="single" w:color="auto" w:sz="4" w:space="0"/>
                    <w:right w:val="single" w:color="auto" w:sz="4" w:space="0"/>
                  </w:tcBorders>
                  <w:shd w:val="clear" w:color="auto" w:fill="auto"/>
                  <w:vAlign w:val="center"/>
                </w:tcPr>
                <w:p w14:paraId="6AE263D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箱式给料机、对辊破碎机等</w:t>
                  </w:r>
                </w:p>
              </w:tc>
              <w:tc>
                <w:tcPr>
                  <w:tcW w:w="701" w:type="pct"/>
                  <w:tcBorders>
                    <w:top w:val="single" w:color="auto" w:sz="4" w:space="0"/>
                    <w:left w:val="single" w:color="auto" w:sz="4" w:space="0"/>
                    <w:bottom w:val="single" w:color="auto" w:sz="4" w:space="0"/>
                    <w:right w:val="single" w:color="auto" w:sz="4" w:space="0"/>
                  </w:tcBorders>
                  <w:shd w:val="clear" w:color="auto" w:fill="auto"/>
                  <w:vAlign w:val="center"/>
                </w:tcPr>
                <w:p w14:paraId="0A1CC1C4">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139</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14:paraId="0C423886">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86</w:t>
                  </w:r>
                </w:p>
              </w:tc>
              <w:tc>
                <w:tcPr>
                  <w:tcW w:w="695" w:type="pct"/>
                  <w:tcBorders>
                    <w:top w:val="single" w:color="auto" w:sz="4" w:space="0"/>
                    <w:left w:val="single" w:color="auto" w:sz="4" w:space="0"/>
                    <w:bottom w:val="single" w:color="auto" w:sz="4" w:space="0"/>
                    <w:right w:val="single" w:color="auto" w:sz="4" w:space="0"/>
                  </w:tcBorders>
                  <w:shd w:val="clear" w:color="auto" w:fill="auto"/>
                  <w:vAlign w:val="center"/>
                </w:tcPr>
                <w:p w14:paraId="637F289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191</w:t>
                  </w:r>
                </w:p>
              </w:tc>
              <w:tc>
                <w:tcPr>
                  <w:tcW w:w="780" w:type="pct"/>
                  <w:tcBorders>
                    <w:top w:val="single" w:color="auto" w:sz="4" w:space="0"/>
                    <w:left w:val="single" w:color="auto" w:sz="4" w:space="0"/>
                    <w:bottom w:val="single" w:color="auto" w:sz="4" w:space="0"/>
                    <w:right w:val="single" w:color="auto" w:sz="4" w:space="0"/>
                  </w:tcBorders>
                  <w:shd w:val="clear" w:color="auto" w:fill="auto"/>
                  <w:vAlign w:val="center"/>
                </w:tcPr>
                <w:p w14:paraId="2046419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70</w:t>
                  </w:r>
                </w:p>
              </w:tc>
            </w:tr>
            <w:tr w14:paraId="7A06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tcBorders>
                    <w:top w:val="single" w:color="auto" w:sz="4" w:space="0"/>
                    <w:left w:val="single" w:color="auto" w:sz="4" w:space="0"/>
                    <w:bottom w:val="single" w:color="auto" w:sz="4" w:space="0"/>
                    <w:right w:val="single" w:color="auto" w:sz="4" w:space="0"/>
                  </w:tcBorders>
                  <w:shd w:val="clear" w:color="auto" w:fill="auto"/>
                  <w:vAlign w:val="center"/>
                </w:tcPr>
                <w:p w14:paraId="6E6F834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免烧砖车间</w:t>
                  </w:r>
                </w:p>
              </w:tc>
              <w:tc>
                <w:tcPr>
                  <w:tcW w:w="1268" w:type="pct"/>
                  <w:tcBorders>
                    <w:top w:val="single" w:color="auto" w:sz="4" w:space="0"/>
                    <w:left w:val="single" w:color="auto" w:sz="4" w:space="0"/>
                    <w:bottom w:val="single" w:color="auto" w:sz="4" w:space="0"/>
                    <w:right w:val="single" w:color="auto" w:sz="4" w:space="0"/>
                  </w:tcBorders>
                  <w:shd w:val="clear" w:color="auto" w:fill="auto"/>
                  <w:vAlign w:val="center"/>
                </w:tcPr>
                <w:p w14:paraId="470CB80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成型主机、布料机等</w:t>
                  </w:r>
                </w:p>
              </w:tc>
              <w:tc>
                <w:tcPr>
                  <w:tcW w:w="701" w:type="pct"/>
                  <w:tcBorders>
                    <w:top w:val="single" w:color="auto" w:sz="4" w:space="0"/>
                    <w:left w:val="single" w:color="auto" w:sz="4" w:space="0"/>
                    <w:bottom w:val="single" w:color="auto" w:sz="4" w:space="0"/>
                    <w:right w:val="single" w:color="auto" w:sz="4" w:space="0"/>
                  </w:tcBorders>
                  <w:shd w:val="clear" w:color="auto" w:fill="auto"/>
                  <w:vAlign w:val="center"/>
                </w:tcPr>
                <w:p w14:paraId="4DFDA27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199</w:t>
                  </w:r>
                </w:p>
              </w:tc>
              <w:tc>
                <w:tcPr>
                  <w:tcW w:w="763" w:type="pct"/>
                  <w:tcBorders>
                    <w:top w:val="single" w:color="auto" w:sz="4" w:space="0"/>
                    <w:left w:val="single" w:color="auto" w:sz="4" w:space="0"/>
                    <w:bottom w:val="single" w:color="auto" w:sz="4" w:space="0"/>
                    <w:right w:val="single" w:color="auto" w:sz="4" w:space="0"/>
                  </w:tcBorders>
                  <w:shd w:val="clear" w:color="auto" w:fill="auto"/>
                  <w:vAlign w:val="center"/>
                </w:tcPr>
                <w:p w14:paraId="164E7D9C">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177</w:t>
                  </w:r>
                </w:p>
              </w:tc>
              <w:tc>
                <w:tcPr>
                  <w:tcW w:w="695" w:type="pct"/>
                  <w:tcBorders>
                    <w:top w:val="single" w:color="auto" w:sz="4" w:space="0"/>
                    <w:left w:val="single" w:color="auto" w:sz="4" w:space="0"/>
                    <w:bottom w:val="single" w:color="auto" w:sz="4" w:space="0"/>
                    <w:right w:val="single" w:color="auto" w:sz="4" w:space="0"/>
                  </w:tcBorders>
                  <w:shd w:val="clear" w:color="auto" w:fill="auto"/>
                  <w:vAlign w:val="center"/>
                </w:tcPr>
                <w:p w14:paraId="5C357CFF">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269</w:t>
                  </w:r>
                </w:p>
              </w:tc>
              <w:tc>
                <w:tcPr>
                  <w:tcW w:w="780" w:type="pct"/>
                  <w:tcBorders>
                    <w:top w:val="single" w:color="auto" w:sz="4" w:space="0"/>
                    <w:left w:val="single" w:color="auto" w:sz="4" w:space="0"/>
                    <w:bottom w:val="single" w:color="auto" w:sz="4" w:space="0"/>
                    <w:right w:val="single" w:color="auto" w:sz="4" w:space="0"/>
                  </w:tcBorders>
                  <w:shd w:val="clear" w:color="auto" w:fill="auto"/>
                  <w:vAlign w:val="center"/>
                </w:tcPr>
                <w:p w14:paraId="0B092CBD">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100</w:t>
                  </w:r>
                </w:p>
              </w:tc>
            </w:tr>
          </w:tbl>
          <w:p w14:paraId="54B7BCF0">
            <w:pPr>
              <w:pStyle w:val="76"/>
              <w:widowControl w:val="0"/>
              <w:spacing w:before="0" w:beforeAutospacing="0" w:after="0" w:afterAutospacing="0"/>
              <w:ind w:firstLine="482"/>
              <w:rPr>
                <w:rFonts w:ascii="Times New Roman" w:hAnsi="Times New Roman" w:cs="Times New Roman"/>
                <w:b/>
                <w:bCs/>
                <w:color w:val="000000" w:themeColor="text1"/>
                <w:kern w:val="2"/>
                <w:lang w:bidi="ar"/>
                <w14:textFill>
                  <w14:solidFill>
                    <w14:schemeClr w14:val="tx1"/>
                  </w14:solidFill>
                </w14:textFill>
              </w:rPr>
            </w:pPr>
            <w:r>
              <w:rPr>
                <w:rFonts w:hint="eastAsia" w:ascii="Times New Roman" w:hAnsi="Times New Roman" w:cs="Times New Roman"/>
                <w:b/>
                <w:bCs/>
                <w:color w:val="000000" w:themeColor="text1"/>
                <w:kern w:val="2"/>
                <w:lang w:bidi="ar"/>
                <w14:textFill>
                  <w14:solidFill>
                    <w14:schemeClr w14:val="tx1"/>
                  </w14:solidFill>
                </w14:textFill>
              </w:rPr>
              <w:t>（2）预测模式</w:t>
            </w:r>
          </w:p>
          <w:p w14:paraId="27D81623">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按照《环境影响评价技术导则</w:t>
            </w:r>
            <w:r>
              <w:rPr>
                <w:color w:val="000000" w:themeColor="text1"/>
                <w:szCs w:val="24"/>
                <w:lang w:bidi="ar"/>
                <w14:textFill>
                  <w14:solidFill>
                    <w14:schemeClr w14:val="tx1"/>
                  </w14:solidFill>
                </w14:textFill>
              </w:rPr>
              <w:t xml:space="preserve"> </w:t>
            </w:r>
            <w:r>
              <w:rPr>
                <w:rFonts w:hint="eastAsia" w:cs="宋体"/>
                <w:color w:val="000000" w:themeColor="text1"/>
                <w:szCs w:val="24"/>
                <w:lang w:bidi="ar"/>
                <w14:textFill>
                  <w14:solidFill>
                    <w14:schemeClr w14:val="tx1"/>
                  </w14:solidFill>
                </w14:textFill>
              </w:rPr>
              <w:t>声环境》（</w:t>
            </w:r>
            <w:r>
              <w:rPr>
                <w:color w:val="000000" w:themeColor="text1"/>
                <w:szCs w:val="24"/>
                <w:lang w:bidi="ar"/>
                <w14:textFill>
                  <w14:solidFill>
                    <w14:schemeClr w14:val="tx1"/>
                  </w14:solidFill>
                </w14:textFill>
              </w:rPr>
              <w:t>HJ2.4-20</w:t>
            </w:r>
            <w:r>
              <w:rPr>
                <w:rFonts w:hint="eastAsia"/>
                <w:color w:val="000000" w:themeColor="text1"/>
                <w:szCs w:val="24"/>
                <w:lang w:bidi="ar"/>
                <w14:textFill>
                  <w14:solidFill>
                    <w14:schemeClr w14:val="tx1"/>
                  </w14:solidFill>
                </w14:textFill>
              </w:rPr>
              <w:t>21</w:t>
            </w:r>
            <w:r>
              <w:rPr>
                <w:rFonts w:hint="eastAsia" w:cs="宋体"/>
                <w:color w:val="000000" w:themeColor="text1"/>
                <w:szCs w:val="24"/>
                <w:lang w:bidi="ar"/>
                <w14:textFill>
                  <w14:solidFill>
                    <w14:schemeClr w14:val="tx1"/>
                  </w14:solidFill>
                </w14:textFill>
              </w:rPr>
              <w:t>）中推荐的模式预测厂界环境噪声。预测方法为室外声源采用户外声传播衰减模式，室内声源等效为室外声源后采用户外声传播衰减模式，且只考虑几何发散衰减。</w:t>
            </w:r>
          </w:p>
          <w:p w14:paraId="27D5F31D">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①室内声源至预测点</w:t>
            </w:r>
            <w:r>
              <w:rPr>
                <w:color w:val="000000" w:themeColor="text1"/>
                <w:szCs w:val="24"/>
                <w:lang w:bidi="ar"/>
                <w14:textFill>
                  <w14:solidFill>
                    <w14:schemeClr w14:val="tx1"/>
                  </w14:solidFill>
                </w14:textFill>
              </w:rPr>
              <w:t>A</w:t>
            </w:r>
            <w:r>
              <w:rPr>
                <w:rFonts w:hint="eastAsia" w:cs="宋体"/>
                <w:color w:val="000000" w:themeColor="text1"/>
                <w:szCs w:val="24"/>
                <w:lang w:bidi="ar"/>
                <w14:textFill>
                  <w14:solidFill>
                    <w14:schemeClr w14:val="tx1"/>
                  </w14:solidFill>
                </w14:textFill>
              </w:rPr>
              <w:t>声级</w:t>
            </w:r>
            <w:r>
              <w:rPr>
                <w:color w:val="000000" w:themeColor="text1"/>
                <w:szCs w:val="24"/>
                <w:lang w:bidi="ar"/>
                <w14:textFill>
                  <w14:solidFill>
                    <w14:schemeClr w14:val="tx1"/>
                  </w14:solidFill>
                </w14:textFill>
              </w:rPr>
              <w:object>
                <v:shape id="_x0000_i1042" o:spt="75" type="#_x0000_t75" style="height:19pt;width:32.5pt;" o:ole="t" filled="f" o:preferrelative="t" stroked="f" coordsize="21600,21600">
                  <v:path/>
                  <v:fill on="f" focussize="0,0"/>
                  <v:stroke on="f" joinstyle="miter"/>
                  <v:imagedata r:id="rId55" o:title=""/>
                  <o:lock v:ext="edit" aspectratio="t"/>
                  <w10:wrap type="none"/>
                  <w10:anchorlock/>
                </v:shape>
                <o:OLEObject Type="Embed" ProgID="" ShapeID="_x0000_i1042" DrawAspect="Content" ObjectID="_1468075742" r:id="rId54">
                  <o:LockedField>false</o:LockedField>
                </o:OLEObject>
              </w:object>
            </w:r>
          </w:p>
          <w:p w14:paraId="55DC746E">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车间内第</w:t>
            </w:r>
            <w:r>
              <w:rPr>
                <w:color w:val="000000" w:themeColor="text1"/>
                <w:szCs w:val="24"/>
                <w:lang w:bidi="ar"/>
                <w14:textFill>
                  <w14:solidFill>
                    <w14:schemeClr w14:val="tx1"/>
                  </w14:solidFill>
                </w14:textFill>
              </w:rPr>
              <w:t>j</w:t>
            </w:r>
            <w:r>
              <w:rPr>
                <w:rFonts w:hint="eastAsia" w:cs="宋体"/>
                <w:color w:val="000000" w:themeColor="text1"/>
                <w:szCs w:val="24"/>
                <w:lang w:bidi="ar"/>
                <w14:textFill>
                  <w14:solidFill>
                    <w14:schemeClr w14:val="tx1"/>
                  </w14:solidFill>
                </w14:textFill>
              </w:rPr>
              <w:t>个室内声源在车间围护结构处的</w:t>
            </w:r>
            <w:r>
              <w:rPr>
                <w:color w:val="000000" w:themeColor="text1"/>
                <w:szCs w:val="24"/>
                <w:lang w:bidi="ar"/>
                <w14:textFill>
                  <w14:solidFill>
                    <w14:schemeClr w14:val="tx1"/>
                  </w14:solidFill>
                </w14:textFill>
              </w:rPr>
              <w:object>
                <v:shape id="_x0000_i1043" o:spt="75" type="#_x0000_t75" style="height:19pt;width:23pt;" o:ole="t" filled="f" o:preferrelative="t" stroked="f" coordsize="21600,21600">
                  <v:path/>
                  <v:fill on="f" focussize="0,0"/>
                  <v:stroke on="f" joinstyle="miter"/>
                  <v:imagedata r:id="rId57" o:title=""/>
                  <o:lock v:ext="edit" aspectratio="t"/>
                  <w10:wrap type="none"/>
                  <w10:anchorlock/>
                </v:shape>
                <o:OLEObject Type="Embed" ProgID="" ShapeID="_x0000_i1043" DrawAspect="Content" ObjectID="_1468075743" r:id="rId56">
                  <o:LockedField>false</o:LockedField>
                </o:OLEObject>
              </w:object>
            </w:r>
          </w:p>
          <w:p w14:paraId="056B7216">
            <w:pPr>
              <w:widowControl w:val="0"/>
              <w:ind w:firstLine="1200" w:firstLineChars="500"/>
              <w:jc w:val="center"/>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44" o:spt="75" type="#_x0000_t75" style="height:33pt;width:135pt;" o:ole="t" filled="f" o:preferrelative="t" stroked="f" coordsize="21600,21600">
                  <v:path/>
                  <v:fill on="f" focussize="0,0"/>
                  <v:stroke on="f" joinstyle="miter"/>
                  <v:imagedata r:id="rId59" o:title=""/>
                  <o:lock v:ext="edit" aspectratio="t"/>
                  <w10:wrap type="none"/>
                  <w10:anchorlock/>
                </v:shape>
                <o:OLEObject Type="Embed" ProgID="" ShapeID="_x0000_i1044" DrawAspect="Content" ObjectID="_1468075744" r:id="rId58">
                  <o:LockedField>false</o:LockedField>
                </o:OLEObject>
              </w:object>
            </w:r>
          </w:p>
          <w:p w14:paraId="06046C78">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式中：</w:t>
            </w:r>
          </w:p>
          <w:p w14:paraId="72C1ED17">
            <w:pPr>
              <w:widowControl w:val="0"/>
              <w:ind w:firstLine="480"/>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45" o:spt="75" type="#_x0000_t75" style="height:18pt;width:18pt;" o:ole="t" filled="f" o:preferrelative="t" stroked="f" coordsize="21600,21600">
                  <v:path/>
                  <v:fill on="f" focussize="0,0"/>
                  <v:stroke on="f" joinstyle="miter"/>
                  <v:imagedata r:id="rId61" o:title=""/>
                  <o:lock v:ext="edit" aspectratio="t"/>
                  <w10:wrap type="none"/>
                  <w10:anchorlock/>
                </v:shape>
                <o:OLEObject Type="Embed" ProgID="" ShapeID="_x0000_i1045" DrawAspect="Content" ObjectID="_1468075745" r:id="rId60">
                  <o:LockedField>false</o:LockedField>
                </o:OLEObject>
              </w:object>
            </w:r>
            <w:r>
              <w:rPr>
                <w:rFonts w:hint="eastAsia" w:cs="宋体"/>
                <w:color w:val="000000" w:themeColor="text1"/>
                <w:szCs w:val="24"/>
                <w:lang w:bidi="ar"/>
                <w14:textFill>
                  <w14:solidFill>
                    <w14:schemeClr w14:val="tx1"/>
                  </w14:solidFill>
                </w14:textFill>
              </w:rPr>
              <w:t>——室内第</w:t>
            </w:r>
            <w:r>
              <w:rPr>
                <w:color w:val="000000" w:themeColor="text1"/>
                <w:szCs w:val="24"/>
                <w:lang w:bidi="ar"/>
                <w14:textFill>
                  <w14:solidFill>
                    <w14:schemeClr w14:val="tx1"/>
                  </w14:solidFill>
                </w14:textFill>
              </w:rPr>
              <w:t>j</w:t>
            </w:r>
            <w:r>
              <w:rPr>
                <w:rFonts w:hint="eastAsia" w:cs="宋体"/>
                <w:color w:val="000000" w:themeColor="text1"/>
                <w:szCs w:val="24"/>
                <w:lang w:bidi="ar"/>
                <w14:textFill>
                  <w14:solidFill>
                    <w14:schemeClr w14:val="tx1"/>
                  </w14:solidFill>
                </w14:textFill>
              </w:rPr>
              <w:t>个声源的</w:t>
            </w:r>
            <w:r>
              <w:rPr>
                <w:color w:val="000000" w:themeColor="text1"/>
                <w:szCs w:val="24"/>
                <w:lang w:bidi="ar"/>
                <w14:textFill>
                  <w14:solidFill>
                    <w14:schemeClr w14:val="tx1"/>
                  </w14:solidFill>
                </w14:textFill>
              </w:rPr>
              <w:t>A</w:t>
            </w:r>
            <w:r>
              <w:rPr>
                <w:rFonts w:hint="eastAsia" w:cs="宋体"/>
                <w:color w:val="000000" w:themeColor="text1"/>
                <w:szCs w:val="24"/>
                <w:lang w:bidi="ar"/>
                <w14:textFill>
                  <w14:solidFill>
                    <w14:schemeClr w14:val="tx1"/>
                  </w14:solidFill>
                </w14:textFill>
              </w:rPr>
              <w:t>声功率级，</w:t>
            </w:r>
            <w:r>
              <w:rPr>
                <w:color w:val="000000" w:themeColor="text1"/>
                <w:szCs w:val="24"/>
                <w:lang w:bidi="ar"/>
                <w14:textFill>
                  <w14:solidFill>
                    <w14:schemeClr w14:val="tx1"/>
                  </w14:solidFill>
                </w14:textFill>
              </w:rPr>
              <w:t>dB(A)</w:t>
            </w:r>
            <w:r>
              <w:rPr>
                <w:rFonts w:hint="eastAsia" w:cs="宋体"/>
                <w:color w:val="000000" w:themeColor="text1"/>
                <w:szCs w:val="24"/>
                <w:lang w:bidi="ar"/>
                <w14:textFill>
                  <w14:solidFill>
                    <w14:schemeClr w14:val="tx1"/>
                  </w14:solidFill>
                </w14:textFill>
              </w:rPr>
              <w:t>；</w:t>
            </w:r>
          </w:p>
          <w:p w14:paraId="14B17FB9">
            <w:pPr>
              <w:widowControl w:val="0"/>
              <w:ind w:firstLine="480"/>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46" o:spt="75" type="#_x0000_t75" style="height:16pt;width:12.5pt;" o:ole="t" filled="f" o:preferrelative="t" stroked="f" coordsize="21600,21600">
                  <v:path/>
                  <v:fill on="f" focussize="0,0"/>
                  <v:stroke on="f" joinstyle="miter"/>
                  <v:imagedata r:id="rId63" o:title=""/>
                  <o:lock v:ext="edit" aspectratio="t"/>
                  <w10:wrap type="none"/>
                  <w10:anchorlock/>
                </v:shape>
                <o:OLEObject Type="Embed" ProgID="" ShapeID="_x0000_i1046" DrawAspect="Content" ObjectID="_1468075746" r:id="rId62">
                  <o:LockedField>false</o:LockedField>
                </o:OLEObject>
              </w:object>
            </w:r>
            <w:r>
              <w:rPr>
                <w:rFonts w:hint="eastAsia" w:cs="宋体"/>
                <w:color w:val="000000" w:themeColor="text1"/>
                <w:szCs w:val="24"/>
                <w:lang w:bidi="ar"/>
                <w14:textFill>
                  <w14:solidFill>
                    <w14:schemeClr w14:val="tx1"/>
                  </w14:solidFill>
                </w14:textFill>
              </w:rPr>
              <w:t>——指向性因数，通常指无指向性声源，当声源放在房间中心时，</w:t>
            </w:r>
            <w:r>
              <w:rPr>
                <w:color w:val="000000" w:themeColor="text1"/>
                <w:szCs w:val="24"/>
                <w:lang w:bidi="ar"/>
                <w14:textFill>
                  <w14:solidFill>
                    <w14:schemeClr w14:val="tx1"/>
                  </w14:solidFill>
                </w14:textFill>
              </w:rPr>
              <w:t>Q=1</w:t>
            </w:r>
            <w:r>
              <w:rPr>
                <w:rFonts w:hint="eastAsia" w:cs="宋体"/>
                <w:color w:val="000000" w:themeColor="text1"/>
                <w:szCs w:val="24"/>
                <w:lang w:bidi="ar"/>
                <w14:textFill>
                  <w14:solidFill>
                    <w14:schemeClr w14:val="tx1"/>
                  </w14:solidFill>
                </w14:textFill>
              </w:rPr>
              <w:t>；</w:t>
            </w:r>
          </w:p>
          <w:p w14:paraId="787D9320">
            <w:pPr>
              <w:widowControl w:val="0"/>
              <w:ind w:firstLine="480"/>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47" o:spt="75" type="#_x0000_t75" style="height:13pt;width:12.5pt;" o:ole="t" filled="f" o:preferrelative="t" stroked="f" coordsize="21600,21600">
                  <v:path/>
                  <v:fill on="f" focussize="0,0"/>
                  <v:stroke on="f" joinstyle="miter"/>
                  <v:imagedata r:id="rId65" o:title=""/>
                  <o:lock v:ext="edit" aspectratio="t"/>
                  <w10:wrap type="none"/>
                  <w10:anchorlock/>
                </v:shape>
                <o:OLEObject Type="Embed" ProgID="" ShapeID="_x0000_i1047" DrawAspect="Content" ObjectID="_1468075747" r:id="rId64">
                  <o:LockedField>false</o:LockedField>
                </o:OLEObject>
              </w:object>
            </w:r>
            <w:r>
              <w:rPr>
                <w:rFonts w:hint="eastAsia" w:cs="宋体"/>
                <w:color w:val="000000" w:themeColor="text1"/>
                <w:szCs w:val="24"/>
                <w:lang w:bidi="ar"/>
                <w14:textFill>
                  <w14:solidFill>
                    <w14:schemeClr w14:val="tx1"/>
                  </w14:solidFill>
                </w14:textFill>
              </w:rPr>
              <w:t>——房间常数，</w:t>
            </w:r>
            <w:r>
              <w:rPr>
                <w:color w:val="000000" w:themeColor="text1"/>
                <w:szCs w:val="24"/>
                <w:lang w:bidi="ar"/>
                <w14:textFill>
                  <w14:solidFill>
                    <w14:schemeClr w14:val="tx1"/>
                  </w14:solidFill>
                </w14:textFill>
              </w:rPr>
              <w:object>
                <v:shape id="_x0000_i1048" o:spt="75" type="#_x0000_t75" style="height:17pt;width:79pt;" o:ole="t" filled="f" o:preferrelative="t" stroked="f" coordsize="21600,21600">
                  <v:path/>
                  <v:fill on="f" focussize="0,0"/>
                  <v:stroke on="f" joinstyle="miter"/>
                  <v:imagedata r:id="rId67" o:title=""/>
                  <o:lock v:ext="edit" aspectratio="t"/>
                  <w10:wrap type="none"/>
                  <w10:anchorlock/>
                </v:shape>
                <o:OLEObject Type="Embed" ProgID="" ShapeID="_x0000_i1048" DrawAspect="Content" ObjectID="_1468075748" r:id="rId66">
                  <o:LockedField>false</o:LockedField>
                </o:OLEObject>
              </w:object>
            </w:r>
            <w:r>
              <w:rPr>
                <w:rFonts w:hint="eastAsia" w:cs="宋体"/>
                <w:color w:val="000000" w:themeColor="text1"/>
                <w:szCs w:val="24"/>
                <w:lang w:bidi="ar"/>
                <w14:textFill>
                  <w14:solidFill>
                    <w14:schemeClr w14:val="tx1"/>
                  </w14:solidFill>
                </w14:textFill>
              </w:rPr>
              <w:t>，为房间内表面积，</w:t>
            </w:r>
            <w:r>
              <w:rPr>
                <w:color w:val="000000" w:themeColor="text1"/>
                <w:szCs w:val="24"/>
                <w:lang w:bidi="ar"/>
                <w14:textFill>
                  <w14:solidFill>
                    <w14:schemeClr w14:val="tx1"/>
                  </w14:solidFill>
                </w14:textFill>
              </w:rPr>
              <w:t>m2</w:t>
            </w:r>
            <w:r>
              <w:rPr>
                <w:rFonts w:hint="eastAsia" w:cs="宋体"/>
                <w:color w:val="000000" w:themeColor="text1"/>
                <w:szCs w:val="24"/>
                <w:lang w:bidi="ar"/>
                <w14:textFill>
                  <w14:solidFill>
                    <w14:schemeClr w14:val="tx1"/>
                  </w14:solidFill>
                </w14:textFill>
              </w:rPr>
              <w:t>，</w:t>
            </w:r>
            <w:r>
              <w:rPr>
                <w:color w:val="000000" w:themeColor="text1"/>
                <w:szCs w:val="24"/>
                <w:lang w:bidi="ar"/>
                <w14:textFill>
                  <w14:solidFill>
                    <w14:schemeClr w14:val="tx1"/>
                  </w14:solidFill>
                </w14:textFill>
              </w:rPr>
              <w:object>
                <v:shape id="_x0000_i1049" o:spt="75" type="#_x0000_t75" style="height:11pt;width:12pt;" o:ole="t" filled="f" o:preferrelative="t" stroked="f" coordsize="21600,21600">
                  <v:path/>
                  <v:fill on="f" focussize="0,0"/>
                  <v:stroke on="f" joinstyle="miter"/>
                  <v:imagedata r:id="rId69" o:title=""/>
                  <o:lock v:ext="edit" aspectratio="t"/>
                  <w10:wrap type="none"/>
                  <w10:anchorlock/>
                </v:shape>
                <o:OLEObject Type="Embed" ProgID="" ShapeID="_x0000_i1049" DrawAspect="Content" ObjectID="_1468075749" r:id="rId68">
                  <o:LockedField>false</o:LockedField>
                </o:OLEObject>
              </w:object>
            </w:r>
            <w:r>
              <w:rPr>
                <w:rFonts w:hint="eastAsia" w:cs="宋体"/>
                <w:color w:val="000000" w:themeColor="text1"/>
                <w:szCs w:val="24"/>
                <w:lang w:bidi="ar"/>
                <w14:textFill>
                  <w14:solidFill>
                    <w14:schemeClr w14:val="tx1"/>
                  </w14:solidFill>
                </w14:textFill>
              </w:rPr>
              <w:t>为平均吸声系数；</w:t>
            </w:r>
          </w:p>
          <w:p w14:paraId="0482384D">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——室内第</w:t>
            </w:r>
            <w:r>
              <w:rPr>
                <w:color w:val="000000" w:themeColor="text1"/>
                <w:szCs w:val="24"/>
                <w:lang w:bidi="ar"/>
                <w14:textFill>
                  <w14:solidFill>
                    <w14:schemeClr w14:val="tx1"/>
                  </w14:solidFill>
                </w14:textFill>
              </w:rPr>
              <w:t>j</w:t>
            </w:r>
            <w:r>
              <w:rPr>
                <w:rFonts w:hint="eastAsia" w:cs="宋体"/>
                <w:color w:val="000000" w:themeColor="text1"/>
                <w:szCs w:val="24"/>
                <w:lang w:bidi="ar"/>
                <w14:textFill>
                  <w14:solidFill>
                    <w14:schemeClr w14:val="tx1"/>
                  </w14:solidFill>
                </w14:textFill>
              </w:rPr>
              <w:t>个声源至围护结构的距离，</w:t>
            </w:r>
            <w:r>
              <w:rPr>
                <w:color w:val="000000" w:themeColor="text1"/>
                <w:szCs w:val="24"/>
                <w:lang w:bidi="ar"/>
                <w14:textFill>
                  <w14:solidFill>
                    <w14:schemeClr w14:val="tx1"/>
                  </w14:solidFill>
                </w14:textFill>
              </w:rPr>
              <w:t>m</w:t>
            </w:r>
            <w:r>
              <w:rPr>
                <w:rFonts w:hint="eastAsia" w:cs="宋体"/>
                <w:color w:val="000000" w:themeColor="text1"/>
                <w:szCs w:val="24"/>
                <w:lang w:bidi="ar"/>
                <w14:textFill>
                  <w14:solidFill>
                    <w14:schemeClr w14:val="tx1"/>
                  </w14:solidFill>
                </w14:textFill>
              </w:rPr>
              <w:t>。</w:t>
            </w:r>
          </w:p>
          <w:p w14:paraId="12B69740">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当室内为等效扩散声场，按下式计算靠室外围护结构处的声压级</w:t>
            </w:r>
            <w:r>
              <w:rPr>
                <w:color w:val="000000" w:themeColor="text1"/>
                <w:szCs w:val="24"/>
                <w:lang w:bidi="ar"/>
                <w14:textFill>
                  <w14:solidFill>
                    <w14:schemeClr w14:val="tx1"/>
                  </w14:solidFill>
                </w14:textFill>
              </w:rPr>
              <w:object>
                <v:shape id="_x0000_i1050" o:spt="75" type="#_x0000_t75" style="height:19pt;width:24pt;" o:ole="t" filled="f" o:preferrelative="t" stroked="f" coordsize="21600,21600">
                  <v:path/>
                  <v:fill on="f" focussize="0,0"/>
                  <v:stroke on="f" joinstyle="miter"/>
                  <v:imagedata r:id="rId71" o:title=""/>
                  <o:lock v:ext="edit" aspectratio="t"/>
                  <w10:wrap type="none"/>
                  <w10:anchorlock/>
                </v:shape>
                <o:OLEObject Type="Embed" ProgID="" ShapeID="_x0000_i1050" DrawAspect="Content" ObjectID="_1468075750" r:id="rId70">
                  <o:LockedField>false</o:LockedField>
                </o:OLEObject>
              </w:object>
            </w:r>
          </w:p>
          <w:p w14:paraId="01D52B59">
            <w:pPr>
              <w:widowControl w:val="0"/>
              <w:ind w:firstLine="1200" w:firstLineChars="500"/>
              <w:jc w:val="center"/>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51" o:spt="75" type="#_x0000_t75" style="height:18.5pt;width:97pt;" o:ole="t" filled="f" o:preferrelative="t" stroked="f" coordsize="21600,21600">
                  <v:path/>
                  <v:fill on="f" focussize="0,0"/>
                  <v:stroke on="f" joinstyle="miter"/>
                  <v:imagedata r:id="rId73" o:title=""/>
                  <o:lock v:ext="edit" aspectratio="t"/>
                  <w10:wrap type="none"/>
                  <w10:anchorlock/>
                </v:shape>
                <o:OLEObject Type="Embed" ProgID="" ShapeID="_x0000_i1051" DrawAspect="Content" ObjectID="_1468075751" r:id="rId72">
                  <o:LockedField>false</o:LockedField>
                </o:OLEObject>
              </w:object>
            </w:r>
          </w:p>
          <w:p w14:paraId="69ECB88A">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式中：</w:t>
            </w:r>
          </w:p>
          <w:p w14:paraId="397083B7">
            <w:pPr>
              <w:widowControl w:val="0"/>
              <w:ind w:firstLine="480"/>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52" o:spt="75" type="#_x0000_t75" style="height:13pt;width:18pt;" o:ole="t" filled="f" o:preferrelative="t" stroked="f" coordsize="21600,21600">
                  <v:path/>
                  <v:fill on="f" focussize="0,0"/>
                  <v:stroke on="f" joinstyle="miter"/>
                  <v:imagedata r:id="rId75" o:title=""/>
                  <o:lock v:ext="edit" aspectratio="t"/>
                  <w10:wrap type="none"/>
                  <w10:anchorlock/>
                </v:shape>
                <o:OLEObject Type="Embed" ProgID="" ShapeID="_x0000_i1052" DrawAspect="Content" ObjectID="_1468075752" r:id="rId74">
                  <o:LockedField>false</o:LockedField>
                </o:OLEObject>
              </w:object>
            </w:r>
            <w:r>
              <w:rPr>
                <w:rFonts w:hint="eastAsia" w:cs="宋体"/>
                <w:color w:val="000000" w:themeColor="text1"/>
                <w:szCs w:val="24"/>
                <w:lang w:bidi="ar"/>
                <w14:textFill>
                  <w14:solidFill>
                    <w14:schemeClr w14:val="tx1"/>
                  </w14:solidFill>
                </w14:textFill>
              </w:rPr>
              <w:t>——围护结构处的隔声量，</w:t>
            </w:r>
            <w:r>
              <w:rPr>
                <w:color w:val="000000" w:themeColor="text1"/>
                <w:szCs w:val="24"/>
                <w:lang w:bidi="ar"/>
                <w14:textFill>
                  <w14:solidFill>
                    <w14:schemeClr w14:val="tx1"/>
                  </w14:solidFill>
                </w14:textFill>
              </w:rPr>
              <w:t>dB(A)</w:t>
            </w:r>
            <w:r>
              <w:rPr>
                <w:rFonts w:hint="eastAsia" w:cs="宋体"/>
                <w:color w:val="000000" w:themeColor="text1"/>
                <w:szCs w:val="24"/>
                <w:lang w:bidi="ar"/>
                <w14:textFill>
                  <w14:solidFill>
                    <w14:schemeClr w14:val="tx1"/>
                  </w14:solidFill>
                </w14:textFill>
              </w:rPr>
              <w:t>。</w:t>
            </w:r>
          </w:p>
          <w:p w14:paraId="2C79DE72">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通过下式根据室外声源的声压级和透声面积</w:t>
            </w:r>
            <w:r>
              <w:rPr>
                <w:color w:val="000000" w:themeColor="text1"/>
                <w:szCs w:val="24"/>
                <w:lang w:bidi="ar"/>
                <w14:textFill>
                  <w14:solidFill>
                    <w14:schemeClr w14:val="tx1"/>
                  </w14:solidFill>
                </w14:textFill>
              </w:rPr>
              <w:t>(</w:t>
            </w:r>
            <w:r>
              <w:rPr>
                <w:color w:val="000000" w:themeColor="text1"/>
                <w:szCs w:val="24"/>
                <w:lang w:bidi="ar"/>
                <w14:textFill>
                  <w14:solidFill>
                    <w14:schemeClr w14:val="tx1"/>
                  </w14:solidFill>
                </w14:textFill>
              </w:rPr>
              <w:object>
                <v:shape id="_x0000_i1053" o:spt="75" type="#_x0000_t75" style="height:11.5pt;width:8.5pt;" o:ole="t" filled="f" o:preferrelative="t" stroked="f" coordsize="21600,21600">
                  <v:path/>
                  <v:fill on="f" focussize="0,0"/>
                  <v:stroke on="f" joinstyle="miter"/>
                  <v:imagedata r:id="rId77" o:title=""/>
                  <o:lock v:ext="edit" aspectratio="t"/>
                  <w10:wrap type="none"/>
                  <w10:anchorlock/>
                </v:shape>
                <o:OLEObject Type="Embed" ProgID="" ShapeID="_x0000_i1053" DrawAspect="Content" ObjectID="_1468075753" r:id="rId76">
                  <o:LockedField>false</o:LockedField>
                </o:OLEObject>
              </w:object>
            </w:r>
            <w:r>
              <w:rPr>
                <w:color w:val="000000" w:themeColor="text1"/>
                <w:szCs w:val="24"/>
                <w:lang w:bidi="ar"/>
                <w14:textFill>
                  <w14:solidFill>
                    <w14:schemeClr w14:val="tx1"/>
                  </w14:solidFill>
                </w14:textFill>
              </w:rPr>
              <w:t>)</w:t>
            </w:r>
            <w:r>
              <w:rPr>
                <w:rFonts w:hint="eastAsia" w:cs="宋体"/>
                <w:color w:val="000000" w:themeColor="text1"/>
                <w:szCs w:val="24"/>
                <w:lang w:bidi="ar"/>
                <w14:textFill>
                  <w14:solidFill>
                    <w14:schemeClr w14:val="tx1"/>
                  </w14:solidFill>
                </w14:textFill>
              </w:rPr>
              <w:t>计算出等效室外声源的声功率级</w:t>
            </w:r>
            <w:r>
              <w:rPr>
                <w:color w:val="000000" w:themeColor="text1"/>
                <w:szCs w:val="24"/>
                <w:lang w:bidi="ar"/>
                <w14:textFill>
                  <w14:solidFill>
                    <w14:schemeClr w14:val="tx1"/>
                  </w14:solidFill>
                </w14:textFill>
              </w:rPr>
              <w:object>
                <v:shape id="_x0000_i1054" o:spt="75" type="#_x0000_t75" style="height:19pt;width:20pt;" o:ole="t" filled="f" o:preferrelative="t" stroked="f" coordsize="21600,21600">
                  <v:path/>
                  <v:fill on="f" focussize="0,0"/>
                  <v:stroke on="f" joinstyle="miter"/>
                  <v:imagedata r:id="rId79" o:title=""/>
                  <o:lock v:ext="edit" aspectratio="t"/>
                  <w10:wrap type="none"/>
                  <w10:anchorlock/>
                </v:shape>
                <o:OLEObject Type="Embed" ProgID="" ShapeID="_x0000_i1054" DrawAspect="Content" ObjectID="_1468075754" r:id="rId78">
                  <o:LockedField>false</o:LockedField>
                </o:OLEObject>
              </w:object>
            </w:r>
          </w:p>
          <w:p w14:paraId="5A578285">
            <w:pPr>
              <w:widowControl w:val="0"/>
              <w:ind w:firstLine="1200" w:firstLineChars="500"/>
              <w:jc w:val="center"/>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55" o:spt="75" type="#_x0000_t75" style="height:18.5pt;width:89.5pt;" o:ole="t" filled="f" o:preferrelative="t" stroked="f" coordsize="21600,21600">
                  <v:path/>
                  <v:fill on="f" focussize="0,0"/>
                  <v:stroke on="f" joinstyle="miter"/>
                  <v:imagedata r:id="rId81" o:title=""/>
                  <o:lock v:ext="edit" aspectratio="t"/>
                  <w10:wrap type="none"/>
                  <w10:anchorlock/>
                </v:shape>
                <o:OLEObject Type="Embed" ProgID="" ShapeID="_x0000_i1055" DrawAspect="Content" ObjectID="_1468075755" r:id="rId80">
                  <o:LockedField>false</o:LockedField>
                </o:OLEObject>
              </w:object>
            </w:r>
          </w:p>
          <w:p w14:paraId="6A37109D">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室外声源在预测点的</w:t>
            </w:r>
            <w:r>
              <w:rPr>
                <w:color w:val="000000" w:themeColor="text1"/>
                <w:szCs w:val="24"/>
                <w:lang w:bidi="ar"/>
                <w14:textFill>
                  <w14:solidFill>
                    <w14:schemeClr w14:val="tx1"/>
                  </w14:solidFill>
                </w14:textFill>
              </w:rPr>
              <w:t>A</w:t>
            </w:r>
            <w:r>
              <w:rPr>
                <w:rFonts w:hint="eastAsia" w:cs="宋体"/>
                <w:color w:val="000000" w:themeColor="text1"/>
                <w:szCs w:val="24"/>
                <w:lang w:bidi="ar"/>
                <w14:textFill>
                  <w14:solidFill>
                    <w14:schemeClr w14:val="tx1"/>
                  </w14:solidFill>
                </w14:textFill>
              </w:rPr>
              <w:t>声压级</w:t>
            </w:r>
            <w:r>
              <w:rPr>
                <w:color w:val="000000" w:themeColor="text1"/>
                <w:szCs w:val="24"/>
                <w:lang w:bidi="ar"/>
                <w14:textFill>
                  <w14:solidFill>
                    <w14:schemeClr w14:val="tx1"/>
                  </w14:solidFill>
                </w14:textFill>
              </w:rPr>
              <w:object>
                <v:shape id="_x0000_i1056" o:spt="75" type="#_x0000_t75" style="height:19pt;width:32.5pt;" o:ole="t" filled="f" o:preferrelative="t" stroked="f" coordsize="21600,21600">
                  <v:path/>
                  <v:fill on="f" focussize="0,0"/>
                  <v:stroke on="f" joinstyle="miter"/>
                  <v:imagedata r:id="rId55" o:title=""/>
                  <o:lock v:ext="edit" aspectratio="t"/>
                  <w10:wrap type="none"/>
                  <w10:anchorlock/>
                </v:shape>
                <o:OLEObject Type="Embed" ProgID="" ShapeID="_x0000_i1056" DrawAspect="Content" ObjectID="_1468075756" r:id="rId82">
                  <o:LockedField>false</o:LockedField>
                </o:OLEObject>
              </w:object>
            </w:r>
          </w:p>
          <w:p w14:paraId="5D85513E">
            <w:pPr>
              <w:widowControl w:val="0"/>
              <w:ind w:firstLine="1200" w:firstLineChars="500"/>
              <w:jc w:val="center"/>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57" o:spt="75" type="#_x0000_t75" style="height:18.5pt;width:104pt;" o:ole="t" filled="f" o:preferrelative="t" stroked="f" coordsize="21600,21600">
                  <v:path/>
                  <v:fill on="f" focussize="0,0"/>
                  <v:stroke on="f" joinstyle="miter"/>
                  <v:imagedata r:id="rId84" o:title=""/>
                  <o:lock v:ext="edit" aspectratio="t"/>
                  <w10:wrap type="none"/>
                  <w10:anchorlock/>
                </v:shape>
                <o:OLEObject Type="Embed" ProgID="" ShapeID="_x0000_i1057" DrawAspect="Content" ObjectID="_1468075757" r:id="rId83">
                  <o:LockedField>false</o:LockedField>
                </o:OLEObject>
              </w:object>
            </w:r>
          </w:p>
          <w:p w14:paraId="5E8A9B2D">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②室外声源至预测点</w:t>
            </w:r>
            <w:r>
              <w:rPr>
                <w:color w:val="000000" w:themeColor="text1"/>
                <w:szCs w:val="24"/>
                <w:lang w:bidi="ar"/>
                <w14:textFill>
                  <w14:solidFill>
                    <w14:schemeClr w14:val="tx1"/>
                  </w14:solidFill>
                </w14:textFill>
              </w:rPr>
              <w:t>A</w:t>
            </w:r>
            <w:r>
              <w:rPr>
                <w:rFonts w:hint="eastAsia" w:cs="宋体"/>
                <w:color w:val="000000" w:themeColor="text1"/>
                <w:szCs w:val="24"/>
                <w:lang w:bidi="ar"/>
                <w14:textFill>
                  <w14:solidFill>
                    <w14:schemeClr w14:val="tx1"/>
                  </w14:solidFill>
                </w14:textFill>
              </w:rPr>
              <w:t>声级</w:t>
            </w:r>
            <w:r>
              <w:rPr>
                <w:color w:val="000000" w:themeColor="text1"/>
                <w:szCs w:val="24"/>
                <w:lang w:bidi="ar"/>
                <w14:textFill>
                  <w14:solidFill>
                    <w14:schemeClr w14:val="tx1"/>
                  </w14:solidFill>
                </w14:textFill>
              </w:rPr>
              <w:object>
                <v:shape id="_x0000_i1058" o:spt="75" type="#_x0000_t75" style="height:18pt;width:31pt;" o:ole="t" filled="f" o:preferrelative="t" stroked="f" coordsize="21600,21600">
                  <v:path/>
                  <v:fill on="f" focussize="0,0"/>
                  <v:stroke on="f" joinstyle="miter"/>
                  <v:imagedata r:id="rId86" o:title=""/>
                  <o:lock v:ext="edit" aspectratio="t"/>
                  <w10:wrap type="none"/>
                  <w10:anchorlock/>
                </v:shape>
                <o:OLEObject Type="Embed" ProgID="" ShapeID="_x0000_i1058" DrawAspect="Content" ObjectID="_1468075758" r:id="rId85">
                  <o:LockedField>false</o:LockedField>
                </o:OLEObject>
              </w:object>
            </w:r>
          </w:p>
          <w:p w14:paraId="066FFD85">
            <w:pPr>
              <w:widowControl w:val="0"/>
              <w:ind w:firstLine="1200" w:firstLineChars="500"/>
              <w:jc w:val="center"/>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59" o:spt="75" type="#_x0000_t75" style="height:17.5pt;width:129pt;" o:ole="t" filled="f" o:preferrelative="t" stroked="f" coordsize="21600,21600">
                  <v:path/>
                  <v:fill on="f" focussize="0,0"/>
                  <v:stroke on="f" joinstyle="miter"/>
                  <v:imagedata r:id="rId88" o:title=""/>
                  <o:lock v:ext="edit" aspectratio="t"/>
                  <w10:wrap type="none"/>
                  <w10:anchorlock/>
                </v:shape>
                <o:OLEObject Type="Embed" ProgID="" ShapeID="_x0000_i1059" DrawAspect="Content" ObjectID="_1468075759" r:id="rId87">
                  <o:LockedField>false</o:LockedField>
                </o:OLEObject>
              </w:object>
            </w:r>
          </w:p>
          <w:p w14:paraId="115D8793">
            <w:pPr>
              <w:widowControl w:val="0"/>
              <w:ind w:firstLine="480"/>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式中：</w:t>
            </w:r>
            <w:r>
              <w:rPr>
                <w:color w:val="000000" w:themeColor="text1"/>
                <w:szCs w:val="24"/>
                <w:lang w:bidi="ar"/>
                <w14:textFill>
                  <w14:solidFill>
                    <w14:schemeClr w14:val="tx1"/>
                  </w14:solidFill>
                </w14:textFill>
              </w:rPr>
              <w:object>
                <v:shape id="_x0000_i1060" o:spt="75" type="#_x0000_t75" style="height:18.5pt;width:33pt;" o:ole="t" filled="f" o:preferrelative="t" stroked="f" coordsize="21600,21600">
                  <v:path/>
                  <v:fill on="f" focussize="0,0"/>
                  <v:stroke on="f" joinstyle="miter"/>
                  <v:imagedata r:id="rId90" o:title=""/>
                  <o:lock v:ext="edit" aspectratio="t"/>
                  <w10:wrap type="none"/>
                  <w10:anchorlock/>
                </v:shape>
                <o:OLEObject Type="Embed" ProgID="" ShapeID="_x0000_i1060" DrawAspect="Content" ObjectID="_1468075760" r:id="rId89">
                  <o:LockedField>false</o:LockedField>
                </o:OLEObject>
              </w:object>
            </w:r>
            <w:r>
              <w:rPr>
                <w:rFonts w:hint="eastAsia" w:cs="宋体"/>
                <w:color w:val="000000" w:themeColor="text1"/>
                <w:szCs w:val="24"/>
                <w:lang w:bidi="ar"/>
                <w14:textFill>
                  <w14:solidFill>
                    <w14:schemeClr w14:val="tx1"/>
                  </w14:solidFill>
                </w14:textFill>
              </w:rPr>
              <w:t>——第</w:t>
            </w:r>
            <w:r>
              <w:rPr>
                <w:color w:val="000000" w:themeColor="text1"/>
                <w:szCs w:val="24"/>
                <w:lang w:bidi="ar"/>
                <w14:textFill>
                  <w14:solidFill>
                    <w14:schemeClr w14:val="tx1"/>
                  </w14:solidFill>
                </w14:textFill>
              </w:rPr>
              <w:t>i</w:t>
            </w:r>
            <w:r>
              <w:rPr>
                <w:rFonts w:hint="eastAsia" w:cs="宋体"/>
                <w:color w:val="000000" w:themeColor="text1"/>
                <w:szCs w:val="24"/>
                <w:lang w:bidi="ar"/>
                <w14:textFill>
                  <w14:solidFill>
                    <w14:schemeClr w14:val="tx1"/>
                  </w14:solidFill>
                </w14:textFill>
              </w:rPr>
              <w:t>个声源在参考位置</w:t>
            </w:r>
            <w:r>
              <w:rPr>
                <w:color w:val="000000" w:themeColor="text1"/>
                <w:szCs w:val="24"/>
                <w:lang w:bidi="ar"/>
                <w14:textFill>
                  <w14:solidFill>
                    <w14:schemeClr w14:val="tx1"/>
                  </w14:solidFill>
                </w14:textFill>
              </w:rPr>
              <w:t>r0</w:t>
            </w:r>
            <w:r>
              <w:rPr>
                <w:rFonts w:hint="eastAsia" w:cs="宋体"/>
                <w:color w:val="000000" w:themeColor="text1"/>
                <w:szCs w:val="24"/>
                <w:lang w:bidi="ar"/>
                <w14:textFill>
                  <w14:solidFill>
                    <w14:schemeClr w14:val="tx1"/>
                  </w14:solidFill>
                </w14:textFill>
              </w:rPr>
              <w:t>的</w:t>
            </w:r>
            <w:r>
              <w:rPr>
                <w:color w:val="000000" w:themeColor="text1"/>
                <w:szCs w:val="24"/>
                <w:lang w:bidi="ar"/>
                <w14:textFill>
                  <w14:solidFill>
                    <w14:schemeClr w14:val="tx1"/>
                  </w14:solidFill>
                </w14:textFill>
              </w:rPr>
              <w:t>A</w:t>
            </w:r>
            <w:r>
              <w:rPr>
                <w:rFonts w:hint="eastAsia" w:cs="宋体"/>
                <w:color w:val="000000" w:themeColor="text1"/>
                <w:szCs w:val="24"/>
                <w:lang w:bidi="ar"/>
                <w14:textFill>
                  <w14:solidFill>
                    <w14:schemeClr w14:val="tx1"/>
                  </w14:solidFill>
                </w14:textFill>
              </w:rPr>
              <w:t>声级，</w:t>
            </w:r>
            <w:r>
              <w:rPr>
                <w:color w:val="000000" w:themeColor="text1"/>
                <w:szCs w:val="24"/>
                <w:lang w:bidi="ar"/>
                <w14:textFill>
                  <w14:solidFill>
                    <w14:schemeClr w14:val="tx1"/>
                  </w14:solidFill>
                </w14:textFill>
              </w:rPr>
              <w:t>dB(A)</w:t>
            </w:r>
            <w:r>
              <w:rPr>
                <w:rFonts w:hint="eastAsia" w:cs="宋体"/>
                <w:color w:val="000000" w:themeColor="text1"/>
                <w:szCs w:val="24"/>
                <w:lang w:bidi="ar"/>
                <w14:textFill>
                  <w14:solidFill>
                    <w14:schemeClr w14:val="tx1"/>
                  </w14:solidFill>
                </w14:textFill>
              </w:rPr>
              <w:t>；</w:t>
            </w:r>
          </w:p>
          <w:p w14:paraId="4C26C4FB">
            <w:pPr>
              <w:widowControl w:val="0"/>
              <w:ind w:firstLine="480"/>
              <w:rPr>
                <w:color w:val="000000" w:themeColor="text1"/>
                <w:szCs w:val="24"/>
                <w14:textFill>
                  <w14:solidFill>
                    <w14:schemeClr w14:val="tx1"/>
                  </w14:solidFill>
                </w14:textFill>
              </w:rPr>
            </w:pPr>
            <w:r>
              <w:rPr>
                <w:color w:val="000000" w:themeColor="text1"/>
                <w:szCs w:val="24"/>
                <w:lang w:bidi="ar"/>
                <w14:textFill>
                  <w14:solidFill>
                    <w14:schemeClr w14:val="tx1"/>
                  </w14:solidFill>
                </w14:textFill>
              </w:rPr>
              <w:object>
                <v:shape id="_x0000_i1061" o:spt="75" type="#_x0000_t75" style="height:12pt;width:8.5pt;" o:ole="t" filled="f" o:preferrelative="t" stroked="f" coordsize="21600,21600">
                  <v:path/>
                  <v:fill on="f" focussize="0,0"/>
                  <v:stroke on="f" joinstyle="miter"/>
                  <v:imagedata r:id="rId92" o:title=""/>
                  <o:lock v:ext="edit" aspectratio="t"/>
                  <w10:wrap type="none"/>
                  <w10:anchorlock/>
                </v:shape>
                <o:OLEObject Type="Embed" ProgID="" ShapeID="_x0000_i1061" DrawAspect="Content" ObjectID="_1468075761" r:id="rId91">
                  <o:LockedField>false</o:LockedField>
                </o:OLEObject>
              </w:object>
            </w:r>
            <w:r>
              <w:rPr>
                <w:rFonts w:hint="eastAsia" w:cs="宋体"/>
                <w:color w:val="000000" w:themeColor="text1"/>
                <w:szCs w:val="24"/>
                <w:lang w:bidi="ar"/>
                <w14:textFill>
                  <w14:solidFill>
                    <w14:schemeClr w14:val="tx1"/>
                  </w14:solidFill>
                </w14:textFill>
              </w:rPr>
              <w:t>——第</w:t>
            </w:r>
            <w:r>
              <w:rPr>
                <w:color w:val="000000" w:themeColor="text1"/>
                <w:szCs w:val="24"/>
                <w:lang w:bidi="ar"/>
                <w14:textFill>
                  <w14:solidFill>
                    <w14:schemeClr w14:val="tx1"/>
                  </w14:solidFill>
                </w14:textFill>
              </w:rPr>
              <w:t>i</w:t>
            </w:r>
            <w:r>
              <w:rPr>
                <w:rFonts w:hint="eastAsia" w:cs="宋体"/>
                <w:color w:val="000000" w:themeColor="text1"/>
                <w:szCs w:val="24"/>
                <w:lang w:bidi="ar"/>
                <w14:textFill>
                  <w14:solidFill>
                    <w14:schemeClr w14:val="tx1"/>
                  </w14:solidFill>
                </w14:textFill>
              </w:rPr>
              <w:t>个声源到预测点的距离，</w:t>
            </w:r>
            <w:r>
              <w:rPr>
                <w:color w:val="000000" w:themeColor="text1"/>
                <w:szCs w:val="24"/>
                <w:lang w:bidi="ar"/>
                <w14:textFill>
                  <w14:solidFill>
                    <w14:schemeClr w14:val="tx1"/>
                  </w14:solidFill>
                </w14:textFill>
              </w:rPr>
              <w:t>m</w:t>
            </w:r>
            <w:r>
              <w:rPr>
                <w:rFonts w:hint="eastAsia" w:cs="宋体"/>
                <w:color w:val="000000" w:themeColor="text1"/>
                <w:szCs w:val="24"/>
                <w:lang w:bidi="ar"/>
                <w14:textFill>
                  <w14:solidFill>
                    <w14:schemeClr w14:val="tx1"/>
                  </w14:solidFill>
                </w14:textFill>
              </w:rPr>
              <w:t>。</w:t>
            </w:r>
          </w:p>
          <w:p w14:paraId="065F9BF7">
            <w:pPr>
              <w:pStyle w:val="76"/>
              <w:widowControl w:val="0"/>
              <w:spacing w:before="0" w:beforeAutospacing="0" w:after="0" w:afterAutospacing="0"/>
              <w:ind w:firstLine="482"/>
              <w:rPr>
                <w:rFonts w:ascii="Times New Roman" w:hAnsi="Times New Roman" w:cs="Times New Roman"/>
                <w:b/>
                <w:bCs/>
                <w:color w:val="000000" w:themeColor="text1"/>
                <w:kern w:val="2"/>
                <w:lang w:bidi="ar"/>
                <w14:textFill>
                  <w14:solidFill>
                    <w14:schemeClr w14:val="tx1"/>
                  </w14:solidFill>
                </w14:textFill>
              </w:rPr>
            </w:pPr>
            <w:r>
              <w:rPr>
                <w:rFonts w:hint="eastAsia" w:ascii="Times New Roman" w:hAnsi="Times New Roman" w:cs="Times New Roman"/>
                <w:b/>
                <w:bCs/>
                <w:color w:val="000000" w:themeColor="text1"/>
                <w:kern w:val="2"/>
                <w:lang w:bidi="ar"/>
                <w14:textFill>
                  <w14:solidFill>
                    <w14:schemeClr w14:val="tx1"/>
                  </w14:solidFill>
                </w14:textFill>
              </w:rPr>
              <w:t>（3）预测结果及评价</w:t>
            </w:r>
          </w:p>
          <w:p w14:paraId="1CEF10D9">
            <w:pPr>
              <w:ind w:firstLine="480"/>
              <w:textAlignment w:val="baseline"/>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在考虑设备降噪、厂房隔声、距离衰减等措施后，预测结果见表</w:t>
            </w:r>
            <w:r>
              <w:rPr>
                <w:rFonts w:hint="eastAsia"/>
                <w:color w:val="000000" w:themeColor="text1"/>
                <w:szCs w:val="24"/>
                <w:lang w:bidi="ar"/>
                <w14:textFill>
                  <w14:solidFill>
                    <w14:schemeClr w14:val="tx1"/>
                  </w14:solidFill>
                </w14:textFill>
              </w:rPr>
              <w:t>36</w:t>
            </w:r>
            <w:r>
              <w:rPr>
                <w:rFonts w:hint="eastAsia" w:cs="宋体"/>
                <w:color w:val="000000" w:themeColor="text1"/>
                <w:szCs w:val="24"/>
                <w:lang w:bidi="ar"/>
                <w14:textFill>
                  <w14:solidFill>
                    <w14:schemeClr w14:val="tx1"/>
                  </w14:solidFill>
                </w14:textFill>
              </w:rPr>
              <w:t>。</w:t>
            </w:r>
          </w:p>
          <w:p w14:paraId="1A661E90">
            <w:pPr>
              <w:pStyle w:val="312"/>
              <w:widowControl w:val="0"/>
              <w:numPr>
                <w:ilvl w:val="0"/>
                <w:numId w:val="14"/>
              </w:numPr>
              <w:spacing w:line="240" w:lineRule="auto"/>
              <w:ind w:left="-2" w:firstLine="482"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厂界噪声影响预测结果表 单位：dB(A)</w:t>
            </w:r>
          </w:p>
          <w:tbl>
            <w:tblPr>
              <w:tblStyle w:val="8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390"/>
              <w:gridCol w:w="1241"/>
              <w:gridCol w:w="1385"/>
              <w:gridCol w:w="1727"/>
              <w:gridCol w:w="1731"/>
            </w:tblGrid>
            <w:tr w14:paraId="6F41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restart"/>
                  <w:tcBorders>
                    <w:tl2br w:val="nil"/>
                    <w:tr2bl w:val="nil"/>
                  </w:tcBorders>
                  <w:shd w:val="clear" w:color="auto" w:fill="auto"/>
                  <w:vAlign w:val="center"/>
                </w:tcPr>
                <w:p w14:paraId="5AAF49F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预测点位</w:t>
                  </w:r>
                </w:p>
              </w:tc>
              <w:tc>
                <w:tcPr>
                  <w:tcW w:w="775" w:type="pct"/>
                  <w:vMerge w:val="restart"/>
                  <w:tcBorders>
                    <w:tl2br w:val="nil"/>
                    <w:tr2bl w:val="nil"/>
                  </w:tcBorders>
                  <w:shd w:val="clear" w:color="auto" w:fill="auto"/>
                  <w:vAlign w:val="center"/>
                </w:tcPr>
                <w:p w14:paraId="11B53F6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预测值</w:t>
                  </w:r>
                </w:p>
              </w:tc>
              <w:tc>
                <w:tcPr>
                  <w:tcW w:w="1464" w:type="pct"/>
                  <w:gridSpan w:val="2"/>
                  <w:tcBorders>
                    <w:tl2br w:val="nil"/>
                    <w:tr2bl w:val="nil"/>
                  </w:tcBorders>
                  <w:shd w:val="clear" w:color="auto" w:fill="auto"/>
                  <w:vAlign w:val="center"/>
                </w:tcPr>
                <w:p w14:paraId="714F295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标准值</w:t>
                  </w:r>
                </w:p>
              </w:tc>
              <w:tc>
                <w:tcPr>
                  <w:tcW w:w="1928" w:type="pct"/>
                  <w:gridSpan w:val="2"/>
                  <w:tcBorders>
                    <w:tl2br w:val="nil"/>
                    <w:tr2bl w:val="nil"/>
                  </w:tcBorders>
                  <w:shd w:val="clear" w:color="auto" w:fill="auto"/>
                  <w:vAlign w:val="center"/>
                </w:tcPr>
                <w:p w14:paraId="04F2BCC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达标情况</w:t>
                  </w:r>
                </w:p>
              </w:tc>
            </w:tr>
            <w:tr w14:paraId="7103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shd w:val="clear" w:color="auto" w:fill="auto"/>
                  <w:vAlign w:val="center"/>
                </w:tcPr>
                <w:p w14:paraId="36A7F5D6">
                  <w:pPr>
                    <w:pStyle w:val="144"/>
                    <w:rPr>
                      <w:rFonts w:ascii="Times New Roman" w:hAnsi="Times New Roman"/>
                      <w:color w:val="000000" w:themeColor="text1"/>
                      <w14:textFill>
                        <w14:solidFill>
                          <w14:schemeClr w14:val="tx1"/>
                        </w14:solidFill>
                      </w14:textFill>
                    </w:rPr>
                  </w:pPr>
                </w:p>
              </w:tc>
              <w:tc>
                <w:tcPr>
                  <w:tcW w:w="775" w:type="pct"/>
                  <w:vMerge w:val="continue"/>
                  <w:tcBorders>
                    <w:tl2br w:val="nil"/>
                    <w:tr2bl w:val="nil"/>
                  </w:tcBorders>
                  <w:shd w:val="clear" w:color="auto" w:fill="auto"/>
                  <w:vAlign w:val="center"/>
                </w:tcPr>
                <w:p w14:paraId="648EDB32">
                  <w:pPr>
                    <w:pStyle w:val="144"/>
                    <w:rPr>
                      <w:rFonts w:ascii="Times New Roman" w:hAnsi="Times New Roman"/>
                      <w:color w:val="000000" w:themeColor="text1"/>
                      <w14:textFill>
                        <w14:solidFill>
                          <w14:schemeClr w14:val="tx1"/>
                        </w14:solidFill>
                      </w14:textFill>
                    </w:rPr>
                  </w:pPr>
                </w:p>
              </w:tc>
              <w:tc>
                <w:tcPr>
                  <w:tcW w:w="692" w:type="pct"/>
                  <w:tcBorders>
                    <w:tl2br w:val="nil"/>
                    <w:tr2bl w:val="nil"/>
                  </w:tcBorders>
                  <w:shd w:val="clear" w:color="auto" w:fill="auto"/>
                  <w:vAlign w:val="center"/>
                </w:tcPr>
                <w:p w14:paraId="577BFFCE">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昼</w:t>
                  </w:r>
                </w:p>
              </w:tc>
              <w:tc>
                <w:tcPr>
                  <w:tcW w:w="772" w:type="pct"/>
                  <w:tcBorders>
                    <w:tl2br w:val="nil"/>
                    <w:tr2bl w:val="nil"/>
                  </w:tcBorders>
                  <w:shd w:val="clear" w:color="auto" w:fill="auto"/>
                  <w:vAlign w:val="center"/>
                </w:tcPr>
                <w:p w14:paraId="4B11583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夜</w:t>
                  </w:r>
                </w:p>
              </w:tc>
              <w:tc>
                <w:tcPr>
                  <w:tcW w:w="963" w:type="pct"/>
                  <w:tcBorders>
                    <w:tl2br w:val="nil"/>
                    <w:tr2bl w:val="nil"/>
                  </w:tcBorders>
                  <w:shd w:val="clear" w:color="auto" w:fill="auto"/>
                  <w:vAlign w:val="center"/>
                </w:tcPr>
                <w:p w14:paraId="73729377">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昼</w:t>
                  </w:r>
                </w:p>
              </w:tc>
              <w:tc>
                <w:tcPr>
                  <w:tcW w:w="964" w:type="pct"/>
                  <w:tcBorders>
                    <w:tl2br w:val="nil"/>
                    <w:tr2bl w:val="nil"/>
                  </w:tcBorders>
                  <w:shd w:val="clear" w:color="auto" w:fill="auto"/>
                  <w:vAlign w:val="center"/>
                </w:tcPr>
                <w:p w14:paraId="0D9039BD">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夜</w:t>
                  </w:r>
                </w:p>
              </w:tc>
            </w:tr>
            <w:tr w14:paraId="7967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tcBorders>
                    <w:tl2br w:val="nil"/>
                    <w:tr2bl w:val="nil"/>
                  </w:tcBorders>
                  <w:shd w:val="clear" w:color="auto" w:fill="auto"/>
                  <w:vAlign w:val="center"/>
                </w:tcPr>
                <w:p w14:paraId="389EEED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东厂界</w:t>
                  </w:r>
                </w:p>
              </w:tc>
              <w:tc>
                <w:tcPr>
                  <w:tcW w:w="775" w:type="pct"/>
                  <w:tcBorders>
                    <w:tl2br w:val="nil"/>
                    <w:tr2bl w:val="nil"/>
                  </w:tcBorders>
                  <w:shd w:val="clear" w:color="auto" w:fill="auto"/>
                  <w:vAlign w:val="center"/>
                </w:tcPr>
                <w:p w14:paraId="443D4482">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41.54</w:t>
                  </w:r>
                </w:p>
              </w:tc>
              <w:tc>
                <w:tcPr>
                  <w:tcW w:w="692" w:type="pct"/>
                  <w:vMerge w:val="restart"/>
                  <w:tcBorders>
                    <w:tl2br w:val="nil"/>
                    <w:tr2bl w:val="nil"/>
                  </w:tcBorders>
                  <w:shd w:val="clear" w:color="auto" w:fill="auto"/>
                  <w:vAlign w:val="center"/>
                </w:tcPr>
                <w:p w14:paraId="7D7A14FA">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w:t>
                  </w:r>
                </w:p>
              </w:tc>
              <w:tc>
                <w:tcPr>
                  <w:tcW w:w="772" w:type="pct"/>
                  <w:vMerge w:val="restart"/>
                  <w:tcBorders>
                    <w:tl2br w:val="nil"/>
                    <w:tr2bl w:val="nil"/>
                  </w:tcBorders>
                  <w:shd w:val="clear" w:color="auto" w:fill="auto"/>
                  <w:vAlign w:val="center"/>
                </w:tcPr>
                <w:p w14:paraId="4F83AE4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w:t>
                  </w:r>
                </w:p>
              </w:tc>
              <w:tc>
                <w:tcPr>
                  <w:tcW w:w="963" w:type="pct"/>
                  <w:tcBorders>
                    <w:tl2br w:val="nil"/>
                    <w:tr2bl w:val="nil"/>
                  </w:tcBorders>
                  <w:shd w:val="clear" w:color="auto" w:fill="auto"/>
                  <w:vAlign w:val="center"/>
                </w:tcPr>
                <w:p w14:paraId="09C1FCE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c>
                <w:tcPr>
                  <w:tcW w:w="964" w:type="pct"/>
                  <w:tcBorders>
                    <w:tl2br w:val="nil"/>
                    <w:tr2bl w:val="nil"/>
                  </w:tcBorders>
                  <w:shd w:val="clear" w:color="auto" w:fill="auto"/>
                  <w:vAlign w:val="center"/>
                </w:tcPr>
                <w:p w14:paraId="7210610A">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r>
            <w:tr w14:paraId="38FF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tcBorders>
                    <w:tl2br w:val="nil"/>
                    <w:tr2bl w:val="nil"/>
                  </w:tcBorders>
                  <w:shd w:val="clear" w:color="auto" w:fill="auto"/>
                  <w:vAlign w:val="center"/>
                </w:tcPr>
                <w:p w14:paraId="1B5CB426">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南厂界</w:t>
                  </w:r>
                </w:p>
              </w:tc>
              <w:tc>
                <w:tcPr>
                  <w:tcW w:w="775" w:type="pct"/>
                  <w:tcBorders>
                    <w:tl2br w:val="nil"/>
                    <w:tr2bl w:val="nil"/>
                  </w:tcBorders>
                  <w:shd w:val="clear" w:color="auto" w:fill="auto"/>
                  <w:vAlign w:val="center"/>
                </w:tcPr>
                <w:p w14:paraId="4E77CAC7">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33.36</w:t>
                  </w:r>
                </w:p>
              </w:tc>
              <w:tc>
                <w:tcPr>
                  <w:tcW w:w="692" w:type="pct"/>
                  <w:vMerge w:val="continue"/>
                  <w:tcBorders>
                    <w:tl2br w:val="nil"/>
                    <w:tr2bl w:val="nil"/>
                  </w:tcBorders>
                  <w:shd w:val="clear" w:color="auto" w:fill="auto"/>
                  <w:vAlign w:val="center"/>
                </w:tcPr>
                <w:p w14:paraId="64AB1E3D">
                  <w:pPr>
                    <w:pStyle w:val="144"/>
                    <w:rPr>
                      <w:rFonts w:ascii="Times New Roman" w:hAnsi="Times New Roman"/>
                      <w:color w:val="000000" w:themeColor="text1"/>
                      <w14:textFill>
                        <w14:solidFill>
                          <w14:schemeClr w14:val="tx1"/>
                        </w14:solidFill>
                      </w14:textFill>
                    </w:rPr>
                  </w:pPr>
                </w:p>
              </w:tc>
              <w:tc>
                <w:tcPr>
                  <w:tcW w:w="772" w:type="pct"/>
                  <w:vMerge w:val="continue"/>
                  <w:tcBorders>
                    <w:tl2br w:val="nil"/>
                    <w:tr2bl w:val="nil"/>
                  </w:tcBorders>
                  <w:shd w:val="clear" w:color="auto" w:fill="auto"/>
                  <w:vAlign w:val="center"/>
                </w:tcPr>
                <w:p w14:paraId="13B40439">
                  <w:pPr>
                    <w:pStyle w:val="144"/>
                    <w:rPr>
                      <w:rFonts w:ascii="Times New Roman" w:hAnsi="Times New Roman"/>
                      <w:color w:val="000000" w:themeColor="text1"/>
                      <w14:textFill>
                        <w14:solidFill>
                          <w14:schemeClr w14:val="tx1"/>
                        </w14:solidFill>
                      </w14:textFill>
                    </w:rPr>
                  </w:pPr>
                </w:p>
              </w:tc>
              <w:tc>
                <w:tcPr>
                  <w:tcW w:w="963" w:type="pct"/>
                  <w:tcBorders>
                    <w:tl2br w:val="nil"/>
                    <w:tr2bl w:val="nil"/>
                  </w:tcBorders>
                  <w:shd w:val="clear" w:color="auto" w:fill="auto"/>
                  <w:vAlign w:val="center"/>
                </w:tcPr>
                <w:p w14:paraId="7C12AE0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c>
                <w:tcPr>
                  <w:tcW w:w="964" w:type="pct"/>
                  <w:tcBorders>
                    <w:tl2br w:val="nil"/>
                    <w:tr2bl w:val="nil"/>
                  </w:tcBorders>
                  <w:shd w:val="clear" w:color="auto" w:fill="auto"/>
                  <w:vAlign w:val="center"/>
                </w:tcPr>
                <w:p w14:paraId="73AC6DDB">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r>
            <w:tr w14:paraId="313B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tcBorders>
                    <w:tl2br w:val="nil"/>
                    <w:tr2bl w:val="nil"/>
                  </w:tcBorders>
                  <w:shd w:val="clear" w:color="auto" w:fill="auto"/>
                  <w:vAlign w:val="center"/>
                </w:tcPr>
                <w:p w14:paraId="391A135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西厂界</w:t>
                  </w:r>
                </w:p>
              </w:tc>
              <w:tc>
                <w:tcPr>
                  <w:tcW w:w="775" w:type="pct"/>
                  <w:tcBorders>
                    <w:tl2br w:val="nil"/>
                    <w:tr2bl w:val="nil"/>
                  </w:tcBorders>
                  <w:shd w:val="clear" w:color="auto" w:fill="auto"/>
                  <w:vAlign w:val="center"/>
                </w:tcPr>
                <w:p w14:paraId="3863B489">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28.56</w:t>
                  </w:r>
                </w:p>
              </w:tc>
              <w:tc>
                <w:tcPr>
                  <w:tcW w:w="692" w:type="pct"/>
                  <w:vMerge w:val="continue"/>
                  <w:tcBorders>
                    <w:tl2br w:val="nil"/>
                    <w:tr2bl w:val="nil"/>
                  </w:tcBorders>
                  <w:shd w:val="clear" w:color="auto" w:fill="auto"/>
                  <w:vAlign w:val="center"/>
                </w:tcPr>
                <w:p w14:paraId="6411C8C1">
                  <w:pPr>
                    <w:pStyle w:val="144"/>
                    <w:rPr>
                      <w:rFonts w:ascii="Times New Roman" w:hAnsi="Times New Roman"/>
                      <w:color w:val="000000" w:themeColor="text1"/>
                      <w14:textFill>
                        <w14:solidFill>
                          <w14:schemeClr w14:val="tx1"/>
                        </w14:solidFill>
                      </w14:textFill>
                    </w:rPr>
                  </w:pPr>
                </w:p>
              </w:tc>
              <w:tc>
                <w:tcPr>
                  <w:tcW w:w="772" w:type="pct"/>
                  <w:vMerge w:val="continue"/>
                  <w:tcBorders>
                    <w:tl2br w:val="nil"/>
                    <w:tr2bl w:val="nil"/>
                  </w:tcBorders>
                  <w:shd w:val="clear" w:color="auto" w:fill="auto"/>
                  <w:vAlign w:val="center"/>
                </w:tcPr>
                <w:p w14:paraId="194F7DEA">
                  <w:pPr>
                    <w:pStyle w:val="144"/>
                    <w:rPr>
                      <w:rFonts w:ascii="Times New Roman" w:hAnsi="Times New Roman"/>
                      <w:color w:val="000000" w:themeColor="text1"/>
                      <w14:textFill>
                        <w14:solidFill>
                          <w14:schemeClr w14:val="tx1"/>
                        </w14:solidFill>
                      </w14:textFill>
                    </w:rPr>
                  </w:pPr>
                </w:p>
              </w:tc>
              <w:tc>
                <w:tcPr>
                  <w:tcW w:w="963" w:type="pct"/>
                  <w:tcBorders>
                    <w:tl2br w:val="nil"/>
                    <w:tr2bl w:val="nil"/>
                  </w:tcBorders>
                  <w:shd w:val="clear" w:color="auto" w:fill="auto"/>
                  <w:vAlign w:val="center"/>
                </w:tcPr>
                <w:p w14:paraId="199E3FC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c>
                <w:tcPr>
                  <w:tcW w:w="964" w:type="pct"/>
                  <w:tcBorders>
                    <w:tl2br w:val="nil"/>
                    <w:tr2bl w:val="nil"/>
                  </w:tcBorders>
                  <w:shd w:val="clear" w:color="auto" w:fill="auto"/>
                  <w:vAlign w:val="center"/>
                </w:tcPr>
                <w:p w14:paraId="67012029">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r>
            <w:tr w14:paraId="762F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tcBorders>
                    <w:tl2br w:val="nil"/>
                    <w:tr2bl w:val="nil"/>
                  </w:tcBorders>
                  <w:shd w:val="clear" w:color="auto" w:fill="auto"/>
                  <w:vAlign w:val="center"/>
                </w:tcPr>
                <w:p w14:paraId="5BBD707F">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北厂界</w:t>
                  </w:r>
                </w:p>
              </w:tc>
              <w:tc>
                <w:tcPr>
                  <w:tcW w:w="775" w:type="pct"/>
                  <w:tcBorders>
                    <w:tl2br w:val="nil"/>
                    <w:tr2bl w:val="nil"/>
                  </w:tcBorders>
                  <w:shd w:val="clear" w:color="auto" w:fill="auto"/>
                  <w:vAlign w:val="center"/>
                </w:tcPr>
                <w:p w14:paraId="0D919AF8">
                  <w:pPr>
                    <w:pStyle w:val="1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41.67</w:t>
                  </w:r>
                </w:p>
              </w:tc>
              <w:tc>
                <w:tcPr>
                  <w:tcW w:w="692" w:type="pct"/>
                  <w:vMerge w:val="continue"/>
                  <w:tcBorders>
                    <w:tl2br w:val="nil"/>
                    <w:tr2bl w:val="nil"/>
                  </w:tcBorders>
                  <w:shd w:val="clear" w:color="auto" w:fill="auto"/>
                  <w:vAlign w:val="center"/>
                </w:tcPr>
                <w:p w14:paraId="25F2E5FA">
                  <w:pPr>
                    <w:pStyle w:val="144"/>
                    <w:rPr>
                      <w:rFonts w:ascii="Times New Roman" w:hAnsi="Times New Roman"/>
                      <w:color w:val="000000" w:themeColor="text1"/>
                      <w14:textFill>
                        <w14:solidFill>
                          <w14:schemeClr w14:val="tx1"/>
                        </w14:solidFill>
                      </w14:textFill>
                    </w:rPr>
                  </w:pPr>
                </w:p>
              </w:tc>
              <w:tc>
                <w:tcPr>
                  <w:tcW w:w="772" w:type="pct"/>
                  <w:vMerge w:val="continue"/>
                  <w:tcBorders>
                    <w:tl2br w:val="nil"/>
                    <w:tr2bl w:val="nil"/>
                  </w:tcBorders>
                  <w:shd w:val="clear" w:color="auto" w:fill="auto"/>
                  <w:vAlign w:val="center"/>
                </w:tcPr>
                <w:p w14:paraId="726D5F0A">
                  <w:pPr>
                    <w:pStyle w:val="144"/>
                    <w:rPr>
                      <w:rFonts w:ascii="Times New Roman" w:hAnsi="Times New Roman"/>
                      <w:color w:val="000000" w:themeColor="text1"/>
                      <w14:textFill>
                        <w14:solidFill>
                          <w14:schemeClr w14:val="tx1"/>
                        </w14:solidFill>
                      </w14:textFill>
                    </w:rPr>
                  </w:pPr>
                </w:p>
              </w:tc>
              <w:tc>
                <w:tcPr>
                  <w:tcW w:w="963" w:type="pct"/>
                  <w:tcBorders>
                    <w:tl2br w:val="nil"/>
                    <w:tr2bl w:val="nil"/>
                  </w:tcBorders>
                  <w:shd w:val="clear" w:color="auto" w:fill="auto"/>
                  <w:vAlign w:val="center"/>
                </w:tcPr>
                <w:p w14:paraId="68E3FDD0">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c>
                <w:tcPr>
                  <w:tcW w:w="964" w:type="pct"/>
                  <w:tcBorders>
                    <w:tl2br w:val="nil"/>
                    <w:tr2bl w:val="nil"/>
                  </w:tcBorders>
                  <w:shd w:val="clear" w:color="auto" w:fill="auto"/>
                  <w:vAlign w:val="center"/>
                </w:tcPr>
                <w:p w14:paraId="0D8D0615">
                  <w:pPr>
                    <w:pStyle w:val="14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达标</w:t>
                  </w:r>
                </w:p>
              </w:tc>
            </w:tr>
          </w:tbl>
          <w:p w14:paraId="06417C33">
            <w:pPr>
              <w:ind w:firstLine="480"/>
              <w:textAlignment w:val="baseline"/>
              <w:rPr>
                <w:color w:val="000000" w:themeColor="text1"/>
                <w:szCs w:val="24"/>
                <w14:textFill>
                  <w14:solidFill>
                    <w14:schemeClr w14:val="tx1"/>
                  </w14:solidFill>
                </w14:textFill>
              </w:rPr>
            </w:pPr>
            <w:r>
              <w:rPr>
                <w:rFonts w:hint="eastAsia" w:cs="宋体"/>
                <w:color w:val="000000" w:themeColor="text1"/>
                <w:szCs w:val="24"/>
                <w:lang w:bidi="ar"/>
                <w14:textFill>
                  <w14:solidFill>
                    <w14:schemeClr w14:val="tx1"/>
                  </w14:solidFill>
                </w14:textFill>
              </w:rPr>
              <w:t>由于声源设备大都安装在车间厂房内，采取基础减振、隔声等措施，经预测，项目厂界噪声贡献值可以满足《工业企业厂界环境噪声排放标准》（</w:t>
            </w:r>
            <w:r>
              <w:rPr>
                <w:color w:val="000000" w:themeColor="text1"/>
                <w:szCs w:val="24"/>
                <w:lang w:bidi="ar"/>
                <w14:textFill>
                  <w14:solidFill>
                    <w14:schemeClr w14:val="tx1"/>
                  </w14:solidFill>
                </w14:textFill>
              </w:rPr>
              <w:t>GB12348-2008</w:t>
            </w:r>
            <w:r>
              <w:rPr>
                <w:rFonts w:hint="eastAsia" w:cs="宋体"/>
                <w:color w:val="000000" w:themeColor="text1"/>
                <w:szCs w:val="24"/>
                <w:lang w:bidi="ar"/>
                <w14:textFill>
                  <w14:solidFill>
                    <w14:schemeClr w14:val="tx1"/>
                  </w14:solidFill>
                </w14:textFill>
              </w:rPr>
              <w:t>）</w:t>
            </w:r>
            <w:r>
              <w:rPr>
                <w:color w:val="000000" w:themeColor="text1"/>
                <w:szCs w:val="24"/>
                <w:lang w:bidi="ar"/>
                <w14:textFill>
                  <w14:solidFill>
                    <w14:schemeClr w14:val="tx1"/>
                  </w14:solidFill>
                </w14:textFill>
              </w:rPr>
              <w:t>2</w:t>
            </w:r>
            <w:r>
              <w:rPr>
                <w:rFonts w:hint="eastAsia" w:cs="宋体"/>
                <w:color w:val="000000" w:themeColor="text1"/>
                <w:szCs w:val="24"/>
                <w:lang w:bidi="ar"/>
                <w14:textFill>
                  <w14:solidFill>
                    <w14:schemeClr w14:val="tx1"/>
                  </w14:solidFill>
                </w14:textFill>
              </w:rPr>
              <w:t>类标准值。本项目每天生产</w:t>
            </w:r>
            <w:r>
              <w:rPr>
                <w:color w:val="000000" w:themeColor="text1"/>
                <w:szCs w:val="24"/>
                <w:lang w:bidi="ar"/>
                <w14:textFill>
                  <w14:solidFill>
                    <w14:schemeClr w14:val="tx1"/>
                  </w14:solidFill>
                </w14:textFill>
              </w:rPr>
              <w:t>24</w:t>
            </w:r>
            <w:r>
              <w:rPr>
                <w:rFonts w:hint="eastAsia" w:cs="宋体"/>
                <w:color w:val="000000" w:themeColor="text1"/>
                <w:szCs w:val="24"/>
                <w:lang w:bidi="ar"/>
                <w14:textFill>
                  <w14:solidFill>
                    <w14:schemeClr w14:val="tx1"/>
                  </w14:solidFill>
                </w14:textFill>
              </w:rPr>
              <w:t>小时，且项目周围</w:t>
            </w:r>
            <w:r>
              <w:rPr>
                <w:color w:val="000000" w:themeColor="text1"/>
                <w:szCs w:val="24"/>
                <w:lang w:bidi="ar"/>
                <w14:textFill>
                  <w14:solidFill>
                    <w14:schemeClr w14:val="tx1"/>
                  </w14:solidFill>
                </w14:textFill>
              </w:rPr>
              <w:t>50m</w:t>
            </w:r>
            <w:r>
              <w:rPr>
                <w:rFonts w:hint="eastAsia" w:cs="宋体"/>
                <w:color w:val="000000" w:themeColor="text1"/>
                <w:szCs w:val="24"/>
                <w:lang w:bidi="ar"/>
                <w14:textFill>
                  <w14:solidFill>
                    <w14:schemeClr w14:val="tx1"/>
                  </w14:solidFill>
                </w14:textFill>
              </w:rPr>
              <w:t>范围内无声环境敏感点，故项目运营期所产生噪声对周围环境影响相对较小。</w:t>
            </w:r>
          </w:p>
          <w:p w14:paraId="19465BC3">
            <w:pPr>
              <w:widowControl w:val="0"/>
              <w:tabs>
                <w:tab w:val="left" w:pos="7200"/>
              </w:tabs>
              <w:ind w:firstLine="480"/>
              <w:textAlignment w:val="baseline"/>
              <w:rPr>
                <w:rFonts w:hint="eastAsia"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（4）噪声污染防治措施</w:t>
            </w:r>
          </w:p>
          <w:p w14:paraId="3B3B1A43">
            <w:pPr>
              <w:widowControl w:val="0"/>
              <w:ind w:firstLine="480"/>
              <w:textAlignment w:val="baseline"/>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fldChar w:fldCharType="begin"/>
            </w:r>
            <w:r>
              <w:rPr>
                <w:rFonts w:hint="eastAsia" w:ascii="宋体" w:hAnsi="宋体" w:cs="宋体"/>
                <w:bCs/>
                <w:color w:val="000000" w:themeColor="text1"/>
                <w14:textFill>
                  <w14:solidFill>
                    <w14:schemeClr w14:val="tx1"/>
                  </w14:solidFill>
                </w14:textFill>
              </w:rPr>
              <w:instrText xml:space="preserve"> = 1 \* GB3 </w:instrText>
            </w:r>
            <w:r>
              <w:rPr>
                <w:rFonts w:hint="eastAsia" w:ascii="宋体" w:hAnsi="宋体" w:cs="宋体"/>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rFonts w:hint="eastAsia" w:ascii="宋体" w:hAnsi="宋体" w:cs="宋体"/>
                <w:bCs/>
                <w:color w:val="000000" w:themeColor="text1"/>
                <w14:textFill>
                  <w14:solidFill>
                    <w14:schemeClr w14:val="tx1"/>
                  </w14:solidFill>
                </w14:textFill>
              </w:rPr>
              <w:fldChar w:fldCharType="end"/>
            </w:r>
            <w:r>
              <w:rPr>
                <w:rFonts w:hint="eastAsia" w:ascii="宋体" w:hAnsi="宋体" w:cs="宋体"/>
                <w:bCs/>
                <w:color w:val="000000" w:themeColor="text1"/>
                <w14:textFill>
                  <w14:solidFill>
                    <w14:schemeClr w14:val="tx1"/>
                  </w14:solidFill>
                </w14:textFill>
              </w:rPr>
              <w:t>优化平面布局，主要噪声设备远离厂界。通过距离消减有效降低厂界噪声。</w:t>
            </w:r>
          </w:p>
          <w:p w14:paraId="656B4EAF">
            <w:pPr>
              <w:widowControl w:val="0"/>
              <w:ind w:firstLine="480"/>
              <w:textAlignment w:val="baseline"/>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②设备安装于室内，基础安装减振处理。</w:t>
            </w:r>
          </w:p>
          <w:p w14:paraId="60B68150">
            <w:pPr>
              <w:widowControl w:val="0"/>
              <w:ind w:firstLine="480"/>
              <w:textAlignment w:val="baseline"/>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③加强设备的维护，确保设备处于良好的运转状态，杜绝因设备不正常运转产生的高噪声现象。</w:t>
            </w:r>
          </w:p>
          <w:p w14:paraId="548BCFEC">
            <w:pPr>
              <w:widowControl w:val="0"/>
              <w:ind w:firstLine="480"/>
              <w:textAlignment w:val="baseline"/>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④在厂界四周、高噪声车间周围、场区道路两侧种植灌木、乔木和林带绿化，起到阻隔噪声传播的作用。</w:t>
            </w:r>
          </w:p>
          <w:p w14:paraId="12B4863A">
            <w:pPr>
              <w:widowControl w:val="0"/>
              <w:ind w:firstLine="480"/>
              <w:textAlignment w:val="baseline"/>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⑤运行期应加强调度管理，严格运输过程的管理。</w:t>
            </w:r>
          </w:p>
          <w:p w14:paraId="328E0B5B">
            <w:pPr>
              <w:pStyle w:val="312"/>
              <w:widowControl w:val="0"/>
              <w:numPr>
                <w:ilvl w:val="0"/>
                <w:numId w:val="14"/>
              </w:numPr>
              <w:spacing w:line="240" w:lineRule="auto"/>
              <w:ind w:left="-2" w:firstLine="482" w:firstLineChars="0"/>
              <w:textAlignment w:val="baseline"/>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    运行期噪声污染源监测一览表</w:t>
            </w:r>
          </w:p>
          <w:tbl>
            <w:tblPr>
              <w:tblStyle w:val="82"/>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61"/>
              <w:gridCol w:w="886"/>
              <w:gridCol w:w="1071"/>
              <w:gridCol w:w="886"/>
              <w:gridCol w:w="1128"/>
              <w:gridCol w:w="2660"/>
              <w:gridCol w:w="1171"/>
            </w:tblGrid>
            <w:tr w14:paraId="74EBA8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48" w:type="pct"/>
                  <w:vAlign w:val="center"/>
                </w:tcPr>
                <w:p w14:paraId="0E5662F3">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污染源</w:t>
                  </w:r>
                </w:p>
                <w:p w14:paraId="231EC34B">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名称</w:t>
                  </w:r>
                </w:p>
              </w:tc>
              <w:tc>
                <w:tcPr>
                  <w:tcW w:w="494" w:type="pct"/>
                  <w:vAlign w:val="center"/>
                </w:tcPr>
                <w:p w14:paraId="6E36E4DE">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w:t>
                  </w:r>
                </w:p>
                <w:p w14:paraId="4AF70392">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因子</w:t>
                  </w:r>
                </w:p>
              </w:tc>
              <w:tc>
                <w:tcPr>
                  <w:tcW w:w="597" w:type="pct"/>
                  <w:vAlign w:val="center"/>
                </w:tcPr>
                <w:p w14:paraId="0150D9AD">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w:t>
                  </w:r>
                </w:p>
                <w:p w14:paraId="15BB68F7">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点位</w:t>
                  </w:r>
                </w:p>
              </w:tc>
              <w:tc>
                <w:tcPr>
                  <w:tcW w:w="494" w:type="pct"/>
                  <w:vAlign w:val="center"/>
                </w:tcPr>
                <w:p w14:paraId="51B6782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w:t>
                  </w:r>
                </w:p>
                <w:p w14:paraId="602CBD95">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点数</w:t>
                  </w:r>
                </w:p>
              </w:tc>
              <w:tc>
                <w:tcPr>
                  <w:tcW w:w="629" w:type="pct"/>
                  <w:vAlign w:val="center"/>
                </w:tcPr>
                <w:p w14:paraId="2F71E8E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w:t>
                  </w:r>
                </w:p>
                <w:p w14:paraId="3FFFBADB">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频率</w:t>
                  </w:r>
                </w:p>
              </w:tc>
              <w:tc>
                <w:tcPr>
                  <w:tcW w:w="1483" w:type="pct"/>
                  <w:vAlign w:val="center"/>
                </w:tcPr>
                <w:p w14:paraId="50B0497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控制指标</w:t>
                  </w:r>
                </w:p>
              </w:tc>
              <w:tc>
                <w:tcPr>
                  <w:tcW w:w="653" w:type="pct"/>
                  <w:vAlign w:val="center"/>
                </w:tcPr>
                <w:p w14:paraId="15FF0EE8">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备注</w:t>
                  </w:r>
                </w:p>
              </w:tc>
            </w:tr>
            <w:tr w14:paraId="40FFF6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648" w:type="pct"/>
                  <w:vAlign w:val="center"/>
                </w:tcPr>
                <w:p w14:paraId="0FA68F3E">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厂界噪声</w:t>
                  </w:r>
                </w:p>
              </w:tc>
              <w:tc>
                <w:tcPr>
                  <w:tcW w:w="494" w:type="pct"/>
                  <w:vAlign w:val="center"/>
                </w:tcPr>
                <w:p w14:paraId="03D1EB75">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Leq(A)</w:t>
                  </w:r>
                </w:p>
              </w:tc>
              <w:tc>
                <w:tcPr>
                  <w:tcW w:w="597" w:type="pct"/>
                  <w:vAlign w:val="center"/>
                </w:tcPr>
                <w:p w14:paraId="2742A83E">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厂界外1m处</w:t>
                  </w:r>
                </w:p>
              </w:tc>
              <w:tc>
                <w:tcPr>
                  <w:tcW w:w="494" w:type="pct"/>
                  <w:vAlign w:val="center"/>
                </w:tcPr>
                <w:p w14:paraId="433D29F7">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4个</w:t>
                  </w:r>
                </w:p>
              </w:tc>
              <w:tc>
                <w:tcPr>
                  <w:tcW w:w="629" w:type="pct"/>
                  <w:vAlign w:val="center"/>
                </w:tcPr>
                <w:p w14:paraId="1C7FC199">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每季</w:t>
                  </w:r>
                </w:p>
                <w:p w14:paraId="6C32CE6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1次</w:t>
                  </w:r>
                </w:p>
              </w:tc>
              <w:tc>
                <w:tcPr>
                  <w:tcW w:w="1483" w:type="pct"/>
                  <w:vAlign w:val="center"/>
                </w:tcPr>
                <w:p w14:paraId="7424BAED">
                  <w:pPr>
                    <w:pStyle w:val="144"/>
                    <w:autoSpaceDE/>
                    <w:autoSpaceDN/>
                    <w:jc w:val="lef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《工业企业厂界环境噪声排放标准》(GB12348-2008)2类标准</w:t>
                  </w:r>
                </w:p>
              </w:tc>
              <w:tc>
                <w:tcPr>
                  <w:tcW w:w="653" w:type="pct"/>
                  <w:vAlign w:val="center"/>
                </w:tcPr>
                <w:p w14:paraId="402405D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纳入企业现有自行监测方案</w:t>
                  </w:r>
                </w:p>
              </w:tc>
            </w:tr>
          </w:tbl>
          <w:p w14:paraId="3693C842">
            <w:pPr>
              <w:pStyle w:val="312"/>
              <w:widowControl w:val="0"/>
              <w:spacing w:line="240" w:lineRule="auto"/>
              <w:ind w:firstLine="0" w:firstLineChars="0"/>
              <w:textAlignment w:val="baseline"/>
              <w:rPr>
                <w:rFonts w:hint="eastAsia" w:ascii="宋体" w:hAnsi="宋体" w:cs="宋体"/>
                <w:b/>
                <w:color w:val="000000" w:themeColor="text1"/>
                <w14:textFill>
                  <w14:solidFill>
                    <w14:schemeClr w14:val="tx1"/>
                  </w14:solidFill>
                </w14:textFill>
              </w:rPr>
            </w:pPr>
          </w:p>
          <w:p w14:paraId="0432C0D0">
            <w:pPr>
              <w:tabs>
                <w:tab w:val="left" w:pos="377"/>
              </w:tabs>
              <w:ind w:firstLine="482"/>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4.固废</w:t>
            </w:r>
          </w:p>
          <w:p w14:paraId="2A1BA1D0">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1</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固体废物产生情况及去向</w:t>
            </w:r>
          </w:p>
          <w:p w14:paraId="011B6F86">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项目运营期主要工业固体废物有除尘器收尘、脱硫渣、不合格砖、生活垃圾、废机油等。</w:t>
            </w:r>
          </w:p>
          <w:p w14:paraId="14921BAF">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 1 \* GB3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t>①</w:t>
            </w:r>
            <w:r>
              <w:rPr>
                <w:rFonts w:hint="default" w:ascii="Times New Roman" w:hAnsi="Times New Roman" w:cs="Times New Roman"/>
                <w:color w:val="000000" w:themeColor="text1"/>
                <w:szCs w:val="24"/>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t>除尘灰</w:t>
            </w:r>
          </w:p>
          <w:p w14:paraId="443CBE4D">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根据工程分析，项目煤矸石破碎筛分除尘灰为203.88t/a；烧结砖备料工序破碎除尘灰为</w:t>
            </w:r>
            <w:r>
              <w:rPr>
                <w:rFonts w:hint="eastAsia"/>
                <w:color w:val="000000" w:themeColor="text1"/>
                <w:szCs w:val="24"/>
                <w:lang w:val="en-US" w:eastAsia="zh-CN"/>
                <w14:textFill>
                  <w14:solidFill>
                    <w14:schemeClr w14:val="tx1"/>
                  </w14:solidFill>
                </w14:textFill>
              </w:rPr>
              <w:t>82.53</w:t>
            </w:r>
            <w:r>
              <w:rPr>
                <w:rFonts w:hint="default" w:ascii="Times New Roman" w:hAnsi="Times New Roman" w:cs="Times New Roman"/>
                <w:color w:val="000000" w:themeColor="text1"/>
                <w:szCs w:val="24"/>
                <w14:textFill>
                  <w14:solidFill>
                    <w14:schemeClr w14:val="tx1"/>
                  </w14:solidFill>
                </w14:textFill>
              </w:rPr>
              <w:t>t/a；免烧砖备料工序破碎除尘灰为</w:t>
            </w:r>
            <w:r>
              <w:rPr>
                <w:rFonts w:hint="eastAsia" w:cs="Times New Roman"/>
                <w:color w:val="000000" w:themeColor="text1"/>
                <w:szCs w:val="24"/>
                <w:lang w:val="en-US" w:eastAsia="zh-CN"/>
                <w14:textFill>
                  <w14:solidFill>
                    <w14:schemeClr w14:val="tx1"/>
                  </w14:solidFill>
                </w14:textFill>
              </w:rPr>
              <w:t>45.9</w:t>
            </w:r>
            <w:r>
              <w:rPr>
                <w:rFonts w:hint="default" w:ascii="Times New Roman" w:hAnsi="Times New Roman" w:cs="Times New Roman"/>
                <w:color w:val="000000" w:themeColor="text1"/>
                <w:szCs w:val="24"/>
                <w14:textFill>
                  <w14:solidFill>
                    <w14:schemeClr w14:val="tx1"/>
                  </w14:solidFill>
                </w14:textFill>
              </w:rPr>
              <w:t>t/a</w:t>
            </w: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机制砂</w:t>
            </w:r>
            <w:r>
              <w:rPr>
                <w:rFonts w:hint="default" w:ascii="Times New Roman" w:hAnsi="Times New Roman" w:cs="Times New Roman"/>
                <w:color w:val="000000" w:themeColor="text1"/>
                <w:szCs w:val="24"/>
                <w14:textFill>
                  <w14:solidFill>
                    <w14:schemeClr w14:val="tx1"/>
                  </w14:solidFill>
                </w14:textFill>
              </w:rPr>
              <w:t>备料工序破碎除尘灰为</w:t>
            </w:r>
            <w:r>
              <w:rPr>
                <w:rFonts w:hint="eastAsia" w:cs="Times New Roman"/>
                <w:color w:val="000000" w:themeColor="text1"/>
                <w:szCs w:val="24"/>
                <w:lang w:val="en-US" w:eastAsia="zh-CN"/>
                <w14:textFill>
                  <w14:solidFill>
                    <w14:schemeClr w14:val="tx1"/>
                  </w14:solidFill>
                </w14:textFill>
              </w:rPr>
              <w:t>164.685</w:t>
            </w:r>
            <w:r>
              <w:rPr>
                <w:rFonts w:hint="default" w:ascii="Times New Roman" w:hAnsi="Times New Roman" w:cs="Times New Roman"/>
                <w:color w:val="000000" w:themeColor="text1"/>
                <w:szCs w:val="24"/>
                <w14:textFill>
                  <w14:solidFill>
                    <w14:schemeClr w14:val="tx1"/>
                  </w14:solidFill>
                </w14:textFill>
              </w:rPr>
              <w:t>t/a；水泥筒仓除尘灰为329t/a；收集后回用于生产。</w:t>
            </w:r>
          </w:p>
          <w:p w14:paraId="695D5804">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②脱硫渣</w:t>
            </w:r>
          </w:p>
          <w:p w14:paraId="3D0670EA">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钠钙双碱法脱硫除尘装置处理焙烧烟气产生脱硫渣，主要成分为硫酸钙和烟尘，估算脱硫渣产生量</w:t>
            </w:r>
            <w:r>
              <w:rPr>
                <w:rFonts w:hint="eastAsia" w:cs="Times New Roman"/>
                <w:color w:val="000000" w:themeColor="text1"/>
                <w:szCs w:val="24"/>
                <w:lang w:val="en-US" w:eastAsia="zh-CN"/>
                <w14:textFill>
                  <w14:solidFill>
                    <w14:schemeClr w14:val="tx1"/>
                  </w14:solidFill>
                </w14:textFill>
              </w:rPr>
              <w:t>286</w:t>
            </w:r>
            <w:r>
              <w:rPr>
                <w:rFonts w:hint="default" w:ascii="Times New Roman" w:hAnsi="Times New Roman" w:cs="Times New Roman"/>
                <w:color w:val="000000" w:themeColor="text1"/>
                <w:szCs w:val="24"/>
                <w14:textFill>
                  <w14:solidFill>
                    <w14:schemeClr w14:val="tx1"/>
                  </w14:solidFill>
                </w14:textFill>
              </w:rPr>
              <w:t>t/a，属一般工业固体废物，全部返回生产工序作为制砖原料利用。</w:t>
            </w:r>
          </w:p>
          <w:p w14:paraId="3B268438">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③不合格砖</w:t>
            </w:r>
          </w:p>
          <w:p w14:paraId="4FAB2F8F">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根据建设单位经验数据，项目在烧结制砖过程中产生的不合格砖按成品砖的0.5%计，即</w:t>
            </w:r>
            <w:r>
              <w:rPr>
                <w:rFonts w:hint="eastAsia" w:cs="Times New Roman"/>
                <w:color w:val="000000" w:themeColor="text1"/>
                <w:szCs w:val="24"/>
                <w:lang w:val="en-US" w:eastAsia="zh-CN"/>
                <w14:textFill>
                  <w14:solidFill>
                    <w14:schemeClr w14:val="tx1"/>
                  </w14:solidFill>
                </w14:textFill>
              </w:rPr>
              <w:t>240</w:t>
            </w:r>
            <w:r>
              <w:rPr>
                <w:rFonts w:hint="default" w:ascii="Times New Roman" w:hAnsi="Times New Roman" w:cs="Times New Roman"/>
                <w:color w:val="000000" w:themeColor="text1"/>
                <w:szCs w:val="24"/>
                <w14:textFill>
                  <w14:solidFill>
                    <w14:schemeClr w14:val="tx1"/>
                  </w14:solidFill>
                </w14:textFill>
              </w:rPr>
              <w:t>0t/a，免烧制砖过程中产生的不合格砖按成品砖的0.5%计，即</w:t>
            </w:r>
            <w:r>
              <w:rPr>
                <w:rFonts w:hint="eastAsia" w:cs="Times New Roman"/>
                <w:color w:val="000000" w:themeColor="text1"/>
                <w:szCs w:val="24"/>
                <w:lang w:val="en-US" w:eastAsia="zh-CN"/>
                <w14:textFill>
                  <w14:solidFill>
                    <w14:schemeClr w14:val="tx1"/>
                  </w14:solidFill>
                </w14:textFill>
              </w:rPr>
              <w:t>1893</w:t>
            </w:r>
            <w:r>
              <w:rPr>
                <w:rFonts w:hint="default" w:ascii="Times New Roman" w:hAnsi="Times New Roman" w:cs="Times New Roman"/>
                <w:color w:val="000000" w:themeColor="text1"/>
                <w:szCs w:val="24"/>
                <w14:textFill>
                  <w14:solidFill>
                    <w14:schemeClr w14:val="tx1"/>
                  </w14:solidFill>
                </w14:textFill>
              </w:rPr>
              <w:t>t/a。全部回用于破碎工序。</w:t>
            </w:r>
          </w:p>
          <w:p w14:paraId="754C6B45">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④生活垃圾</w:t>
            </w:r>
          </w:p>
          <w:p w14:paraId="0FBC2C9B">
            <w:pPr>
              <w:keepNext w:val="0"/>
              <w:keepLines w:val="0"/>
              <w:pageBreakBefore w:val="0"/>
              <w:widowControl w:val="0"/>
              <w:tabs>
                <w:tab w:val="left" w:pos="7200"/>
              </w:tabs>
              <w:kinsoku/>
              <w:wordWrap/>
              <w:overflowPunct/>
              <w:topLinePunct w:val="0"/>
              <w:autoSpaceDE/>
              <w:autoSpaceDN/>
              <w:bidi w:val="0"/>
              <w:adjustRightInd w:val="0"/>
              <w:snapToGrid w:val="0"/>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项目</w:t>
            </w:r>
            <w:r>
              <w:rPr>
                <w:rFonts w:hint="eastAsia" w:cs="Times New Roman"/>
                <w:color w:val="000000" w:themeColor="text1"/>
                <w:szCs w:val="24"/>
                <w:lang w:val="en-US" w:eastAsia="zh-CN"/>
                <w14:textFill>
                  <w14:solidFill>
                    <w14:schemeClr w14:val="tx1"/>
                  </w14:solidFill>
                </w14:textFill>
              </w:rPr>
              <w:t>现有</w:t>
            </w:r>
            <w:r>
              <w:rPr>
                <w:rFonts w:hint="default" w:ascii="Times New Roman" w:hAnsi="Times New Roman" w:cs="Times New Roman"/>
                <w:color w:val="000000" w:themeColor="text1"/>
                <w:szCs w:val="24"/>
                <w14:textFill>
                  <w14:solidFill>
                    <w14:schemeClr w14:val="tx1"/>
                  </w14:solidFill>
                </w14:textFill>
              </w:rPr>
              <w:t>劳动定员120人，年产生生活垃圾为18t/a，生活垃圾定期送往当地城镇垃圾收集点。</w:t>
            </w:r>
          </w:p>
          <w:p w14:paraId="4107F792">
            <w:pPr>
              <w:keepNext w:val="0"/>
              <w:keepLines w:val="0"/>
              <w:pageBreakBefore w:val="0"/>
              <w:widowControl w:val="0"/>
              <w:tabs>
                <w:tab w:val="left" w:pos="7200"/>
              </w:tabs>
              <w:kinsoku/>
              <w:wordWrap/>
              <w:overflowPunct/>
              <w:topLinePunct w:val="0"/>
              <w:autoSpaceDE/>
              <w:autoSpaceDN/>
              <w:bidi w:val="0"/>
              <w:adjustRightInd w:val="0"/>
              <w:snapToGrid w:val="0"/>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⑤废机油</w:t>
            </w:r>
          </w:p>
          <w:p w14:paraId="69B17DE5">
            <w:pPr>
              <w:keepNext w:val="0"/>
              <w:keepLines w:val="0"/>
              <w:pageBreakBefore w:val="0"/>
              <w:widowControl w:val="0"/>
              <w:tabs>
                <w:tab w:val="left" w:pos="7200"/>
              </w:tabs>
              <w:kinsoku/>
              <w:wordWrap/>
              <w:overflowPunct/>
              <w:topLinePunct w:val="0"/>
              <w:autoSpaceDE/>
              <w:autoSpaceDN/>
              <w:bidi w:val="0"/>
              <w:adjustRightInd w:val="0"/>
              <w:snapToGrid w:val="0"/>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项目车辆更换机油直接去专门车辆维修店更换，厂区不储存。设备机械保养维护过程中产生少量废机油，属于危险废物，废物代码900-249-08，产生量约为1.5t/a，本项目设立危废暂存间，对运营期产生的危险废物进行收集，定期交由有资质单位处理。</w:t>
            </w:r>
          </w:p>
          <w:p w14:paraId="741D73F9">
            <w:pPr>
              <w:pStyle w:val="31"/>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⑥煤泥</w:t>
            </w:r>
          </w:p>
          <w:p w14:paraId="19C81DC8">
            <w:pPr>
              <w:keepNext w:val="0"/>
              <w:keepLines w:val="0"/>
              <w:pageBreakBefore w:val="0"/>
              <w:widowControl w:val="0"/>
              <w:tabs>
                <w:tab w:val="left" w:pos="7200"/>
              </w:tabs>
              <w:kinsoku/>
              <w:wordWrap/>
              <w:overflowPunct/>
              <w:topLinePunct w:val="0"/>
              <w:autoSpaceDE/>
              <w:autoSpaceDN/>
              <w:bidi w:val="0"/>
              <w:adjustRightInd w:val="0"/>
              <w:snapToGrid w:val="0"/>
              <w:ind w:firstLine="480"/>
              <w:textAlignment w:val="baseline"/>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本项目洗选过程产生的尾泥全部利用。</w:t>
            </w:r>
          </w:p>
          <w:p w14:paraId="59379C92">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项目营运期产生的固体废物主要一般固体废弃物、危险废弃物。</w:t>
            </w:r>
          </w:p>
          <w:p w14:paraId="457E79D6">
            <w:pPr>
              <w:pStyle w:val="312"/>
              <w:widowControl w:val="0"/>
              <w:numPr>
                <w:ilvl w:val="0"/>
                <w:numId w:val="14"/>
              </w:numPr>
              <w:spacing w:line="240" w:lineRule="auto"/>
              <w:ind w:left="-2" w:firstLine="482" w:firstLineChars="0"/>
              <w:textAlignment w:val="baseline"/>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lang w:val="en-US" w:eastAsia="zh-CN"/>
                <w14:textFill>
                  <w14:solidFill>
                    <w14:schemeClr w14:val="tx1"/>
                  </w14:solidFill>
                </w14:textFill>
              </w:rPr>
              <w:t xml:space="preserve">              </w:t>
            </w:r>
            <w:r>
              <w:rPr>
                <w:rFonts w:hint="eastAsia" w:ascii="宋体" w:hAnsi="宋体" w:cs="宋体"/>
                <w:b/>
                <w:color w:val="000000" w:themeColor="text1"/>
                <w14:textFill>
                  <w14:solidFill>
                    <w14:schemeClr w14:val="tx1"/>
                  </w14:solidFill>
                </w14:textFill>
              </w:rPr>
              <w:t>项目危险废物处置情况一览表</w:t>
            </w:r>
          </w:p>
          <w:tbl>
            <w:tblPr>
              <w:tblStyle w:val="8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816"/>
              <w:gridCol w:w="1625"/>
              <w:gridCol w:w="1085"/>
              <w:gridCol w:w="547"/>
              <w:gridCol w:w="547"/>
              <w:gridCol w:w="547"/>
              <w:gridCol w:w="816"/>
              <w:gridCol w:w="2434"/>
            </w:tblGrid>
            <w:tr w14:paraId="037A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top w:val="single" w:color="auto" w:sz="4" w:space="0"/>
                    <w:left w:val="single" w:color="auto" w:sz="4" w:space="0"/>
                    <w:bottom w:val="single" w:color="auto" w:sz="4" w:space="0"/>
                    <w:right w:val="single" w:color="auto" w:sz="4" w:space="0"/>
                  </w:tcBorders>
                  <w:vAlign w:val="center"/>
                </w:tcPr>
                <w:p w14:paraId="2014D6B1">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危废名称</w:t>
                  </w:r>
                </w:p>
              </w:tc>
              <w:tc>
                <w:tcPr>
                  <w:tcW w:w="455" w:type="pct"/>
                  <w:tcBorders>
                    <w:top w:val="single" w:color="auto" w:sz="4" w:space="0"/>
                    <w:left w:val="single" w:color="auto" w:sz="4" w:space="0"/>
                    <w:bottom w:val="single" w:color="auto" w:sz="4" w:space="0"/>
                    <w:right w:val="single" w:color="auto" w:sz="4" w:space="0"/>
                  </w:tcBorders>
                  <w:vAlign w:val="center"/>
                </w:tcPr>
                <w:p w14:paraId="5A7D16DF">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危废类别</w:t>
                  </w:r>
                </w:p>
              </w:tc>
              <w:tc>
                <w:tcPr>
                  <w:tcW w:w="906" w:type="pct"/>
                  <w:tcBorders>
                    <w:top w:val="single" w:color="auto" w:sz="4" w:space="0"/>
                    <w:left w:val="single" w:color="auto" w:sz="4" w:space="0"/>
                    <w:bottom w:val="single" w:color="auto" w:sz="4" w:space="0"/>
                    <w:right w:val="single" w:color="auto" w:sz="4" w:space="0"/>
                  </w:tcBorders>
                  <w:vAlign w:val="center"/>
                </w:tcPr>
                <w:p w14:paraId="0BE3494C">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危废代码</w:t>
                  </w:r>
                </w:p>
              </w:tc>
              <w:tc>
                <w:tcPr>
                  <w:tcW w:w="605" w:type="pct"/>
                  <w:tcBorders>
                    <w:top w:val="single" w:color="auto" w:sz="4" w:space="0"/>
                    <w:left w:val="single" w:color="auto" w:sz="4" w:space="0"/>
                    <w:bottom w:val="single" w:color="auto" w:sz="4" w:space="0"/>
                    <w:right w:val="single" w:color="auto" w:sz="4" w:space="0"/>
                  </w:tcBorders>
                  <w:vAlign w:val="center"/>
                </w:tcPr>
                <w:p w14:paraId="297FABBF">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产生量</w:t>
                  </w:r>
                </w:p>
              </w:tc>
              <w:tc>
                <w:tcPr>
                  <w:tcW w:w="305" w:type="pct"/>
                  <w:tcBorders>
                    <w:top w:val="single" w:color="auto" w:sz="4" w:space="0"/>
                    <w:left w:val="single" w:color="auto" w:sz="4" w:space="0"/>
                    <w:bottom w:val="single" w:color="auto" w:sz="4" w:space="0"/>
                    <w:right w:val="single" w:color="auto" w:sz="4" w:space="0"/>
                  </w:tcBorders>
                  <w:vAlign w:val="center"/>
                </w:tcPr>
                <w:p w14:paraId="21EC8EA3">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产生装置</w:t>
                  </w:r>
                </w:p>
              </w:tc>
              <w:tc>
                <w:tcPr>
                  <w:tcW w:w="305" w:type="pct"/>
                  <w:tcBorders>
                    <w:top w:val="single" w:color="auto" w:sz="4" w:space="0"/>
                    <w:left w:val="single" w:color="auto" w:sz="4" w:space="0"/>
                    <w:bottom w:val="single" w:color="auto" w:sz="4" w:space="0"/>
                    <w:right w:val="single" w:color="auto" w:sz="4" w:space="0"/>
                  </w:tcBorders>
                  <w:vAlign w:val="center"/>
                </w:tcPr>
                <w:p w14:paraId="0B28CB4D">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形态</w:t>
                  </w:r>
                </w:p>
              </w:tc>
              <w:tc>
                <w:tcPr>
                  <w:tcW w:w="305" w:type="pct"/>
                  <w:tcBorders>
                    <w:top w:val="single" w:color="auto" w:sz="4" w:space="0"/>
                    <w:left w:val="single" w:color="auto" w:sz="4" w:space="0"/>
                    <w:bottom w:val="single" w:color="auto" w:sz="4" w:space="0"/>
                    <w:right w:val="single" w:color="auto" w:sz="4" w:space="0"/>
                  </w:tcBorders>
                  <w:vAlign w:val="center"/>
                </w:tcPr>
                <w:p w14:paraId="370BF269">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危险特性</w:t>
                  </w:r>
                </w:p>
              </w:tc>
              <w:tc>
                <w:tcPr>
                  <w:tcW w:w="455" w:type="pct"/>
                  <w:tcBorders>
                    <w:top w:val="single" w:color="auto" w:sz="4" w:space="0"/>
                    <w:left w:val="single" w:color="auto" w:sz="4" w:space="0"/>
                    <w:bottom w:val="single" w:color="auto" w:sz="4" w:space="0"/>
                    <w:right w:val="single" w:color="auto" w:sz="4" w:space="0"/>
                  </w:tcBorders>
                  <w:vAlign w:val="center"/>
                </w:tcPr>
                <w:p w14:paraId="605F6AC7">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污染防治措施</w:t>
                  </w:r>
                </w:p>
              </w:tc>
              <w:tc>
                <w:tcPr>
                  <w:tcW w:w="1357" w:type="pct"/>
                  <w:tcBorders>
                    <w:top w:val="single" w:color="auto" w:sz="4" w:space="0"/>
                    <w:left w:val="single" w:color="auto" w:sz="4" w:space="0"/>
                    <w:bottom w:val="single" w:color="auto" w:sz="4" w:space="0"/>
                    <w:right w:val="single" w:color="auto" w:sz="4" w:space="0"/>
                  </w:tcBorders>
                  <w:vAlign w:val="center"/>
                </w:tcPr>
                <w:p w14:paraId="47903CD1">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环境管理要求</w:t>
                  </w:r>
                </w:p>
              </w:tc>
            </w:tr>
            <w:tr w14:paraId="47C3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top w:val="single" w:color="auto" w:sz="4" w:space="0"/>
                    <w:left w:val="single" w:color="auto" w:sz="4" w:space="0"/>
                    <w:bottom w:val="single" w:color="auto" w:sz="4" w:space="0"/>
                    <w:right w:val="single" w:color="auto" w:sz="4" w:space="0"/>
                  </w:tcBorders>
                  <w:vAlign w:val="center"/>
                </w:tcPr>
                <w:p w14:paraId="7B5EF223">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废机油</w:t>
                  </w:r>
                </w:p>
              </w:tc>
              <w:tc>
                <w:tcPr>
                  <w:tcW w:w="455" w:type="pct"/>
                  <w:tcBorders>
                    <w:top w:val="single" w:color="auto" w:sz="4" w:space="0"/>
                    <w:left w:val="single" w:color="auto" w:sz="4" w:space="0"/>
                    <w:bottom w:val="single" w:color="auto" w:sz="4" w:space="0"/>
                    <w:right w:val="single" w:color="auto" w:sz="4" w:space="0"/>
                  </w:tcBorders>
                  <w:vAlign w:val="center"/>
                </w:tcPr>
                <w:p w14:paraId="047C1A03">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HW08</w:t>
                  </w:r>
                </w:p>
              </w:tc>
              <w:tc>
                <w:tcPr>
                  <w:tcW w:w="906" w:type="pct"/>
                  <w:tcBorders>
                    <w:top w:val="single" w:color="auto" w:sz="4" w:space="0"/>
                    <w:left w:val="single" w:color="auto" w:sz="4" w:space="0"/>
                    <w:bottom w:val="single" w:color="auto" w:sz="4" w:space="0"/>
                    <w:right w:val="single" w:color="auto" w:sz="4" w:space="0"/>
                  </w:tcBorders>
                  <w:vAlign w:val="center"/>
                </w:tcPr>
                <w:p w14:paraId="27FE8AC8">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900-214-08</w:t>
                  </w:r>
                </w:p>
              </w:tc>
              <w:tc>
                <w:tcPr>
                  <w:tcW w:w="605" w:type="pct"/>
                  <w:vMerge w:val="restart"/>
                  <w:tcBorders>
                    <w:top w:val="single" w:color="auto" w:sz="4" w:space="0"/>
                    <w:left w:val="single" w:color="auto" w:sz="4" w:space="0"/>
                    <w:bottom w:val="single" w:color="auto" w:sz="4" w:space="0"/>
                    <w:right w:val="single" w:color="auto" w:sz="4" w:space="0"/>
                  </w:tcBorders>
                  <w:vAlign w:val="center"/>
                </w:tcPr>
                <w:p w14:paraId="6B1EDC24">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1.5t/a</w:t>
                  </w:r>
                </w:p>
              </w:tc>
              <w:tc>
                <w:tcPr>
                  <w:tcW w:w="305" w:type="pct"/>
                  <w:vMerge w:val="restart"/>
                  <w:tcBorders>
                    <w:top w:val="single" w:color="auto" w:sz="4" w:space="0"/>
                    <w:left w:val="single" w:color="auto" w:sz="4" w:space="0"/>
                    <w:bottom w:val="single" w:color="auto" w:sz="4" w:space="0"/>
                    <w:right w:val="single" w:color="auto" w:sz="4" w:space="0"/>
                  </w:tcBorders>
                  <w:vAlign w:val="center"/>
                </w:tcPr>
                <w:p w14:paraId="19F047D8">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设备及维修工具</w:t>
                  </w:r>
                </w:p>
              </w:tc>
              <w:tc>
                <w:tcPr>
                  <w:tcW w:w="305" w:type="pct"/>
                  <w:tcBorders>
                    <w:top w:val="single" w:color="auto" w:sz="4" w:space="0"/>
                    <w:left w:val="single" w:color="auto" w:sz="4" w:space="0"/>
                    <w:bottom w:val="single" w:color="auto" w:sz="4" w:space="0"/>
                    <w:right w:val="single" w:color="auto" w:sz="4" w:space="0"/>
                  </w:tcBorders>
                  <w:vAlign w:val="center"/>
                </w:tcPr>
                <w:p w14:paraId="3200D933">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液态</w:t>
                  </w:r>
                </w:p>
              </w:tc>
              <w:tc>
                <w:tcPr>
                  <w:tcW w:w="305" w:type="pct"/>
                  <w:tcBorders>
                    <w:top w:val="single" w:color="auto" w:sz="4" w:space="0"/>
                    <w:left w:val="single" w:color="auto" w:sz="4" w:space="0"/>
                    <w:bottom w:val="single" w:color="auto" w:sz="4" w:space="0"/>
                    <w:right w:val="single" w:color="auto" w:sz="4" w:space="0"/>
                  </w:tcBorders>
                  <w:vAlign w:val="center"/>
                </w:tcPr>
                <w:p w14:paraId="6599480D">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T</w:t>
                  </w:r>
                </w:p>
              </w:tc>
              <w:tc>
                <w:tcPr>
                  <w:tcW w:w="455" w:type="pct"/>
                  <w:vMerge w:val="restart"/>
                  <w:tcBorders>
                    <w:top w:val="single" w:color="auto" w:sz="4" w:space="0"/>
                    <w:left w:val="single" w:color="auto" w:sz="4" w:space="0"/>
                    <w:bottom w:val="single" w:color="auto" w:sz="4" w:space="0"/>
                    <w:right w:val="single" w:color="auto" w:sz="4" w:space="0"/>
                  </w:tcBorders>
                  <w:vAlign w:val="center"/>
                </w:tcPr>
                <w:p w14:paraId="446E0259">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暂存危废间，交由有资质的单位处理</w:t>
                  </w:r>
                </w:p>
              </w:tc>
              <w:tc>
                <w:tcPr>
                  <w:tcW w:w="1357" w:type="pct"/>
                  <w:vMerge w:val="restart"/>
                  <w:tcBorders>
                    <w:top w:val="single" w:color="auto" w:sz="4" w:space="0"/>
                    <w:left w:val="single" w:color="auto" w:sz="4" w:space="0"/>
                    <w:bottom w:val="single" w:color="auto" w:sz="4" w:space="0"/>
                    <w:right w:val="single" w:color="auto" w:sz="4" w:space="0"/>
                  </w:tcBorders>
                  <w:vAlign w:val="center"/>
                </w:tcPr>
                <w:p w14:paraId="4B5CF230">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《危险废物贮存污染控制标准》（GB18597-2001）及2013年修改单中相关规定</w:t>
                  </w:r>
                </w:p>
              </w:tc>
            </w:tr>
            <w:tr w14:paraId="25DA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top w:val="single" w:color="auto" w:sz="4" w:space="0"/>
                    <w:left w:val="single" w:color="auto" w:sz="4" w:space="0"/>
                    <w:bottom w:val="single" w:color="auto" w:sz="4" w:space="0"/>
                    <w:right w:val="single" w:color="auto" w:sz="4" w:space="0"/>
                  </w:tcBorders>
                  <w:vAlign w:val="center"/>
                </w:tcPr>
                <w:p w14:paraId="44ED27B9">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废机油桶</w:t>
                  </w:r>
                </w:p>
              </w:tc>
              <w:tc>
                <w:tcPr>
                  <w:tcW w:w="455" w:type="pct"/>
                  <w:tcBorders>
                    <w:top w:val="single" w:color="auto" w:sz="4" w:space="0"/>
                    <w:left w:val="single" w:color="auto" w:sz="4" w:space="0"/>
                    <w:bottom w:val="single" w:color="auto" w:sz="4" w:space="0"/>
                    <w:right w:val="single" w:color="auto" w:sz="4" w:space="0"/>
                  </w:tcBorders>
                  <w:vAlign w:val="center"/>
                </w:tcPr>
                <w:p w14:paraId="5919B428">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HW08</w:t>
                  </w:r>
                </w:p>
              </w:tc>
              <w:tc>
                <w:tcPr>
                  <w:tcW w:w="906" w:type="pct"/>
                  <w:tcBorders>
                    <w:top w:val="single" w:color="auto" w:sz="4" w:space="0"/>
                    <w:left w:val="single" w:color="auto" w:sz="4" w:space="0"/>
                    <w:bottom w:val="single" w:color="auto" w:sz="4" w:space="0"/>
                    <w:right w:val="single" w:color="auto" w:sz="4" w:space="0"/>
                  </w:tcBorders>
                  <w:vAlign w:val="center"/>
                </w:tcPr>
                <w:p w14:paraId="4A21351A">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900-249-08</w:t>
                  </w:r>
                </w:p>
              </w:tc>
              <w:tc>
                <w:tcPr>
                  <w:tcW w:w="605" w:type="pct"/>
                  <w:vMerge w:val="continue"/>
                  <w:tcBorders>
                    <w:top w:val="single" w:color="auto" w:sz="4" w:space="0"/>
                    <w:left w:val="single" w:color="auto" w:sz="4" w:space="0"/>
                    <w:bottom w:val="single" w:color="auto" w:sz="4" w:space="0"/>
                    <w:right w:val="single" w:color="auto" w:sz="4" w:space="0"/>
                  </w:tcBorders>
                  <w:vAlign w:val="center"/>
                </w:tcPr>
                <w:p w14:paraId="76FF06BA">
                  <w:pPr>
                    <w:pStyle w:val="144"/>
                    <w:autoSpaceDE/>
                    <w:autoSpaceDN/>
                    <w:textAlignment w:val="baseline"/>
                    <w:rPr>
                      <w:rFonts w:hint="eastAsia" w:cs="宋体"/>
                      <w:color w:val="000000" w:themeColor="text1"/>
                      <w14:textFill>
                        <w14:solidFill>
                          <w14:schemeClr w14:val="tx1"/>
                        </w14:solidFill>
                      </w14:textFill>
                    </w:rPr>
                  </w:pPr>
                </w:p>
              </w:tc>
              <w:tc>
                <w:tcPr>
                  <w:tcW w:w="305" w:type="pct"/>
                  <w:vMerge w:val="continue"/>
                  <w:tcBorders>
                    <w:top w:val="single" w:color="auto" w:sz="4" w:space="0"/>
                    <w:left w:val="single" w:color="auto" w:sz="4" w:space="0"/>
                    <w:bottom w:val="single" w:color="auto" w:sz="4" w:space="0"/>
                    <w:right w:val="single" w:color="auto" w:sz="4" w:space="0"/>
                  </w:tcBorders>
                  <w:vAlign w:val="center"/>
                </w:tcPr>
                <w:p w14:paraId="30B1F712">
                  <w:pPr>
                    <w:pStyle w:val="144"/>
                    <w:autoSpaceDE/>
                    <w:autoSpaceDN/>
                    <w:textAlignment w:val="baseline"/>
                    <w:rPr>
                      <w:rFonts w:hint="eastAsia" w:cs="宋体"/>
                      <w:color w:val="000000" w:themeColor="text1"/>
                      <w14:textFill>
                        <w14:solidFill>
                          <w14:schemeClr w14:val="tx1"/>
                        </w14:solidFill>
                      </w14:textFill>
                    </w:rPr>
                  </w:pPr>
                </w:p>
              </w:tc>
              <w:tc>
                <w:tcPr>
                  <w:tcW w:w="305" w:type="pct"/>
                  <w:tcBorders>
                    <w:top w:val="single" w:color="auto" w:sz="4" w:space="0"/>
                    <w:left w:val="single" w:color="auto" w:sz="4" w:space="0"/>
                    <w:bottom w:val="single" w:color="auto" w:sz="4" w:space="0"/>
                    <w:right w:val="single" w:color="auto" w:sz="4" w:space="0"/>
                  </w:tcBorders>
                  <w:vAlign w:val="center"/>
                </w:tcPr>
                <w:p w14:paraId="36603DCA">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固态</w:t>
                  </w:r>
                </w:p>
              </w:tc>
              <w:tc>
                <w:tcPr>
                  <w:tcW w:w="305" w:type="pct"/>
                  <w:tcBorders>
                    <w:top w:val="single" w:color="auto" w:sz="4" w:space="0"/>
                    <w:left w:val="single" w:color="auto" w:sz="4" w:space="0"/>
                    <w:bottom w:val="single" w:color="auto" w:sz="4" w:space="0"/>
                    <w:right w:val="single" w:color="auto" w:sz="4" w:space="0"/>
                  </w:tcBorders>
                  <w:vAlign w:val="center"/>
                </w:tcPr>
                <w:p w14:paraId="252F3677">
                  <w:pPr>
                    <w:pStyle w:val="144"/>
                    <w:autoSpaceDE/>
                    <w:autoSpaceDN/>
                    <w:textAlignment w:val="baseline"/>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T</w:t>
                  </w:r>
                </w:p>
              </w:tc>
              <w:tc>
                <w:tcPr>
                  <w:tcW w:w="455" w:type="pct"/>
                  <w:vMerge w:val="continue"/>
                  <w:tcBorders>
                    <w:top w:val="single" w:color="auto" w:sz="4" w:space="0"/>
                    <w:left w:val="single" w:color="auto" w:sz="4" w:space="0"/>
                    <w:bottom w:val="single" w:color="auto" w:sz="4" w:space="0"/>
                    <w:right w:val="single" w:color="auto" w:sz="4" w:space="0"/>
                  </w:tcBorders>
                  <w:vAlign w:val="center"/>
                </w:tcPr>
                <w:p w14:paraId="1F494308">
                  <w:pPr>
                    <w:pStyle w:val="144"/>
                    <w:autoSpaceDE/>
                    <w:autoSpaceDN/>
                    <w:textAlignment w:val="baseline"/>
                    <w:rPr>
                      <w:rFonts w:hint="eastAsia" w:cs="宋体"/>
                      <w:color w:val="000000" w:themeColor="text1"/>
                      <w14:textFill>
                        <w14:solidFill>
                          <w14:schemeClr w14:val="tx1"/>
                        </w14:solidFill>
                      </w14:textFill>
                    </w:rPr>
                  </w:pPr>
                </w:p>
              </w:tc>
              <w:tc>
                <w:tcPr>
                  <w:tcW w:w="1357" w:type="pct"/>
                  <w:vMerge w:val="continue"/>
                  <w:tcBorders>
                    <w:top w:val="single" w:color="auto" w:sz="4" w:space="0"/>
                    <w:left w:val="single" w:color="auto" w:sz="4" w:space="0"/>
                    <w:bottom w:val="single" w:color="auto" w:sz="4" w:space="0"/>
                    <w:right w:val="single" w:color="auto" w:sz="4" w:space="0"/>
                  </w:tcBorders>
                  <w:vAlign w:val="center"/>
                </w:tcPr>
                <w:p w14:paraId="589D4E8A">
                  <w:pPr>
                    <w:pStyle w:val="312"/>
                    <w:widowControl w:val="0"/>
                    <w:spacing w:line="240" w:lineRule="auto"/>
                    <w:ind w:firstLine="482"/>
                    <w:textAlignment w:val="baseline"/>
                    <w:rPr>
                      <w:rFonts w:ascii="宋体" w:hAnsi="宋体" w:cs="宋体"/>
                      <w:b/>
                      <w:color w:val="000000" w:themeColor="text1"/>
                      <w14:textFill>
                        <w14:solidFill>
                          <w14:schemeClr w14:val="tx1"/>
                        </w14:solidFill>
                      </w14:textFill>
                    </w:rPr>
                  </w:pPr>
                </w:p>
              </w:tc>
            </w:tr>
          </w:tbl>
          <w:p w14:paraId="5AB5D1C8">
            <w:pPr>
              <w:pStyle w:val="312"/>
              <w:widowControl w:val="0"/>
              <w:numPr>
                <w:ilvl w:val="0"/>
                <w:numId w:val="14"/>
              </w:numPr>
              <w:spacing w:line="240" w:lineRule="auto"/>
              <w:ind w:left="-2" w:firstLine="482" w:firstLineChars="0"/>
              <w:textAlignment w:val="baseline"/>
              <w:rPr>
                <w:rFonts w:hint="eastAsia" w:ascii="宋体" w:hAnsi="宋体" w:cs="宋体"/>
                <w:b/>
                <w:color w:val="000000" w:themeColor="text1"/>
                <w:lang w:val="en-US" w:eastAsia="zh-CN"/>
                <w14:textFill>
                  <w14:solidFill>
                    <w14:schemeClr w14:val="tx1"/>
                  </w14:solidFill>
                </w14:textFill>
              </w:rPr>
            </w:pPr>
            <w:r>
              <w:rPr>
                <w:rFonts w:hint="eastAsia" w:ascii="宋体" w:hAnsi="宋体" w:cs="宋体"/>
                <w:b/>
                <w:color w:val="000000" w:themeColor="text1"/>
                <w:lang w:val="en-US" w:eastAsia="zh-CN"/>
                <w14:textFill>
                  <w14:solidFill>
                    <w14:schemeClr w14:val="tx1"/>
                  </w14:solidFill>
                </w14:textFill>
              </w:rPr>
              <w:t xml:space="preserve">                  固体废物处置情况一览表</w:t>
            </w:r>
          </w:p>
          <w:tbl>
            <w:tblPr>
              <w:tblStyle w:val="8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922"/>
              <w:gridCol w:w="1265"/>
              <w:gridCol w:w="1064"/>
              <w:gridCol w:w="1172"/>
              <w:gridCol w:w="1822"/>
              <w:gridCol w:w="1984"/>
            </w:tblGrid>
            <w:tr w14:paraId="0784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0C3DBCF4">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类别</w:t>
                  </w:r>
                </w:p>
              </w:tc>
              <w:tc>
                <w:tcPr>
                  <w:tcW w:w="514" w:type="pct"/>
                  <w:tcBorders>
                    <w:top w:val="single" w:color="auto" w:sz="4" w:space="0"/>
                    <w:left w:val="single" w:color="auto" w:sz="4" w:space="0"/>
                    <w:bottom w:val="single" w:color="auto" w:sz="4" w:space="0"/>
                    <w:right w:val="single" w:color="auto" w:sz="4" w:space="0"/>
                  </w:tcBorders>
                  <w:vAlign w:val="center"/>
                </w:tcPr>
                <w:p w14:paraId="37868135">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705" w:type="pct"/>
                  <w:tcBorders>
                    <w:top w:val="single" w:color="auto" w:sz="4" w:space="0"/>
                    <w:left w:val="single" w:color="auto" w:sz="4" w:space="0"/>
                    <w:bottom w:val="single" w:color="auto" w:sz="4" w:space="0"/>
                    <w:right w:val="single" w:color="auto" w:sz="4" w:space="0"/>
                  </w:tcBorders>
                  <w:vAlign w:val="center"/>
                </w:tcPr>
                <w:p w14:paraId="3E179A4E">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代码</w:t>
                  </w:r>
                </w:p>
              </w:tc>
              <w:tc>
                <w:tcPr>
                  <w:tcW w:w="593" w:type="pct"/>
                  <w:tcBorders>
                    <w:top w:val="single" w:color="auto" w:sz="4" w:space="0"/>
                    <w:left w:val="single" w:color="auto" w:sz="4" w:space="0"/>
                    <w:bottom w:val="single" w:color="auto" w:sz="4" w:space="0"/>
                    <w:right w:val="single" w:color="auto" w:sz="4" w:space="0"/>
                  </w:tcBorders>
                  <w:vAlign w:val="center"/>
                </w:tcPr>
                <w:p w14:paraId="2A878A30">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产生环节</w:t>
                  </w:r>
                </w:p>
              </w:tc>
              <w:tc>
                <w:tcPr>
                  <w:tcW w:w="653" w:type="pct"/>
                  <w:tcBorders>
                    <w:top w:val="single" w:color="auto" w:sz="4" w:space="0"/>
                    <w:left w:val="single" w:color="auto" w:sz="4" w:space="0"/>
                    <w:bottom w:val="single" w:color="auto" w:sz="4" w:space="0"/>
                    <w:right w:val="single" w:color="auto" w:sz="4" w:space="0"/>
                  </w:tcBorders>
                  <w:vAlign w:val="center"/>
                </w:tcPr>
                <w:p w14:paraId="2CCD23D6">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产生量（t/a）</w:t>
                  </w:r>
                </w:p>
              </w:tc>
              <w:tc>
                <w:tcPr>
                  <w:tcW w:w="1015" w:type="pct"/>
                  <w:tcBorders>
                    <w:top w:val="single" w:color="auto" w:sz="4" w:space="0"/>
                    <w:left w:val="single" w:color="auto" w:sz="4" w:space="0"/>
                    <w:bottom w:val="single" w:color="auto" w:sz="4" w:space="0"/>
                    <w:right w:val="single" w:color="auto" w:sz="4" w:space="0"/>
                  </w:tcBorders>
                  <w:vAlign w:val="center"/>
                </w:tcPr>
                <w:p w14:paraId="54E49EC2">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利用处置方式及去向</w:t>
                  </w:r>
                </w:p>
              </w:tc>
              <w:tc>
                <w:tcPr>
                  <w:tcW w:w="1105" w:type="pct"/>
                  <w:tcBorders>
                    <w:top w:val="single" w:color="auto" w:sz="4" w:space="0"/>
                    <w:left w:val="single" w:color="auto" w:sz="4" w:space="0"/>
                    <w:bottom w:val="single" w:color="auto" w:sz="4" w:space="0"/>
                    <w:right w:val="single" w:color="auto" w:sz="4" w:space="0"/>
                  </w:tcBorders>
                  <w:vAlign w:val="center"/>
                </w:tcPr>
                <w:p w14:paraId="61AB6665">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环境管理要求</w:t>
                  </w:r>
                </w:p>
              </w:tc>
            </w:tr>
            <w:tr w14:paraId="70FA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7243D62B">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514" w:type="pct"/>
                  <w:tcBorders>
                    <w:top w:val="single" w:color="auto" w:sz="4" w:space="0"/>
                    <w:left w:val="single" w:color="auto" w:sz="4" w:space="0"/>
                    <w:bottom w:val="single" w:color="auto" w:sz="4" w:space="0"/>
                    <w:right w:val="single" w:color="auto" w:sz="4" w:space="0"/>
                  </w:tcBorders>
                  <w:vAlign w:val="center"/>
                </w:tcPr>
                <w:p w14:paraId="2F7C1586">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w:t>
                  </w:r>
                </w:p>
              </w:tc>
              <w:tc>
                <w:tcPr>
                  <w:tcW w:w="705" w:type="pct"/>
                  <w:tcBorders>
                    <w:top w:val="single" w:color="auto" w:sz="4" w:space="0"/>
                    <w:left w:val="single" w:color="auto" w:sz="4" w:space="0"/>
                    <w:bottom w:val="single" w:color="auto" w:sz="4" w:space="0"/>
                    <w:right w:val="single" w:color="auto" w:sz="4" w:space="0"/>
                  </w:tcBorders>
                  <w:vAlign w:val="center"/>
                </w:tcPr>
                <w:p w14:paraId="465290B8">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vAlign w:val="center"/>
                </w:tcPr>
                <w:p w14:paraId="6886B0EB">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职工生活</w:t>
                  </w:r>
                </w:p>
              </w:tc>
              <w:tc>
                <w:tcPr>
                  <w:tcW w:w="653" w:type="pct"/>
                  <w:tcBorders>
                    <w:top w:val="single" w:color="auto" w:sz="4" w:space="0"/>
                    <w:left w:val="single" w:color="auto" w:sz="4" w:space="0"/>
                    <w:bottom w:val="single" w:color="auto" w:sz="4" w:space="0"/>
                    <w:right w:val="single" w:color="auto" w:sz="4" w:space="0"/>
                  </w:tcBorders>
                  <w:vAlign w:val="center"/>
                </w:tcPr>
                <w:p w14:paraId="123E0B8E">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18t/a</w:t>
                  </w:r>
                </w:p>
              </w:tc>
              <w:tc>
                <w:tcPr>
                  <w:tcW w:w="1015" w:type="pct"/>
                  <w:tcBorders>
                    <w:top w:val="single" w:color="auto" w:sz="4" w:space="0"/>
                    <w:left w:val="single" w:color="auto" w:sz="4" w:space="0"/>
                    <w:bottom w:val="single" w:color="auto" w:sz="4" w:space="0"/>
                    <w:right w:val="single" w:color="auto" w:sz="4" w:space="0"/>
                  </w:tcBorders>
                  <w:vAlign w:val="center"/>
                </w:tcPr>
                <w:p w14:paraId="714DF470">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生活垃圾定期送往当地城镇垃圾收集点</w:t>
                  </w:r>
                </w:p>
              </w:tc>
              <w:tc>
                <w:tcPr>
                  <w:tcW w:w="1105" w:type="pct"/>
                  <w:tcBorders>
                    <w:top w:val="single" w:color="auto" w:sz="4" w:space="0"/>
                    <w:left w:val="single" w:color="auto" w:sz="4" w:space="0"/>
                    <w:bottom w:val="single" w:color="auto" w:sz="4" w:space="0"/>
                    <w:right w:val="single" w:color="auto" w:sz="4" w:space="0"/>
                  </w:tcBorders>
                  <w:vAlign w:val="center"/>
                </w:tcPr>
                <w:p w14:paraId="56A7732F">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《生活垃圾填埋场污染控制标准（GB16889-2008）有关要求</w:t>
                  </w:r>
                </w:p>
              </w:tc>
            </w:tr>
            <w:tr w14:paraId="55F7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12" w:type="pct"/>
                  <w:vMerge w:val="restart"/>
                  <w:tcBorders>
                    <w:top w:val="single" w:color="auto" w:sz="4" w:space="0"/>
                    <w:left w:val="single" w:color="auto" w:sz="4" w:space="0"/>
                    <w:right w:val="single" w:color="auto" w:sz="4" w:space="0"/>
                  </w:tcBorders>
                  <w:vAlign w:val="center"/>
                </w:tcPr>
                <w:p w14:paraId="5BE6FE93">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一般固废</w:t>
                  </w:r>
                </w:p>
              </w:tc>
              <w:tc>
                <w:tcPr>
                  <w:tcW w:w="514" w:type="pct"/>
                  <w:vMerge w:val="restart"/>
                  <w:tcBorders>
                    <w:top w:val="single" w:color="auto" w:sz="4" w:space="0"/>
                    <w:left w:val="single" w:color="auto" w:sz="4" w:space="0"/>
                    <w:bottom w:val="single" w:color="auto" w:sz="4" w:space="0"/>
                    <w:right w:val="single" w:color="auto" w:sz="4" w:space="0"/>
                  </w:tcBorders>
                  <w:vAlign w:val="center"/>
                </w:tcPr>
                <w:p w14:paraId="47C13720">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收集尘</w:t>
                  </w:r>
                </w:p>
              </w:tc>
              <w:tc>
                <w:tcPr>
                  <w:tcW w:w="705" w:type="pct"/>
                  <w:vMerge w:val="restart"/>
                  <w:tcBorders>
                    <w:top w:val="single" w:color="auto" w:sz="4" w:space="0"/>
                    <w:left w:val="single" w:color="auto" w:sz="4" w:space="0"/>
                    <w:bottom w:val="single" w:color="auto" w:sz="4" w:space="0"/>
                    <w:right w:val="single" w:color="auto" w:sz="4" w:space="0"/>
                  </w:tcBorders>
                  <w:vAlign w:val="center"/>
                </w:tcPr>
                <w:p w14:paraId="5A6CABC7">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900-999-66</w:t>
                  </w:r>
                </w:p>
              </w:tc>
              <w:tc>
                <w:tcPr>
                  <w:tcW w:w="593" w:type="pct"/>
                  <w:tcBorders>
                    <w:top w:val="single" w:color="auto" w:sz="4" w:space="0"/>
                    <w:left w:val="single" w:color="auto" w:sz="4" w:space="0"/>
                    <w:bottom w:val="single" w:color="auto" w:sz="4" w:space="0"/>
                    <w:right w:val="single" w:color="auto" w:sz="4" w:space="0"/>
                  </w:tcBorders>
                  <w:vAlign w:val="center"/>
                </w:tcPr>
                <w:p w14:paraId="1606D361">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煤矸石破碎、筛分工序</w:t>
                  </w:r>
                </w:p>
              </w:tc>
              <w:tc>
                <w:tcPr>
                  <w:tcW w:w="653" w:type="pct"/>
                  <w:tcBorders>
                    <w:top w:val="single" w:color="auto" w:sz="4" w:space="0"/>
                    <w:left w:val="single" w:color="auto" w:sz="4" w:space="0"/>
                    <w:bottom w:val="single" w:color="auto" w:sz="4" w:space="0"/>
                    <w:right w:val="single" w:color="auto" w:sz="4" w:space="0"/>
                  </w:tcBorders>
                  <w:vAlign w:val="center"/>
                </w:tcPr>
                <w:p w14:paraId="1EE7DACD">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203.88t/a</w:t>
                  </w:r>
                </w:p>
              </w:tc>
              <w:tc>
                <w:tcPr>
                  <w:tcW w:w="1015" w:type="pct"/>
                  <w:vMerge w:val="restart"/>
                  <w:tcBorders>
                    <w:top w:val="single" w:color="auto" w:sz="4" w:space="0"/>
                    <w:left w:val="single" w:color="auto" w:sz="4" w:space="0"/>
                    <w:bottom w:val="single" w:color="auto" w:sz="4" w:space="0"/>
                    <w:right w:val="single" w:color="auto" w:sz="4" w:space="0"/>
                  </w:tcBorders>
                  <w:vAlign w:val="center"/>
                </w:tcPr>
                <w:p w14:paraId="3FC1A48B">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回用生产</w:t>
                  </w:r>
                </w:p>
              </w:tc>
              <w:tc>
                <w:tcPr>
                  <w:tcW w:w="1105" w:type="pct"/>
                  <w:vMerge w:val="restart"/>
                  <w:tcBorders>
                    <w:top w:val="single" w:color="auto" w:sz="4" w:space="0"/>
                    <w:left w:val="single" w:color="auto" w:sz="4" w:space="0"/>
                    <w:right w:val="single" w:color="auto" w:sz="4" w:space="0"/>
                  </w:tcBorders>
                  <w:vAlign w:val="center"/>
                </w:tcPr>
                <w:p w14:paraId="02D23993">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《一般工业固体废物贮存和填埋污染控制标准》（GB18599-2020）有关要求</w:t>
                  </w:r>
                </w:p>
              </w:tc>
            </w:tr>
            <w:tr w14:paraId="4B15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12" w:type="pct"/>
                  <w:vMerge w:val="continue"/>
                  <w:tcBorders>
                    <w:left w:val="single" w:color="auto" w:sz="4" w:space="0"/>
                    <w:right w:val="single" w:color="auto" w:sz="4" w:space="0"/>
                  </w:tcBorders>
                  <w:vAlign w:val="center"/>
                </w:tcPr>
                <w:p w14:paraId="0DDFBB32">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B1D268F">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85D1B09">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593" w:type="pct"/>
                  <w:tcBorders>
                    <w:top w:val="single" w:color="auto" w:sz="4" w:space="0"/>
                    <w:left w:val="single" w:color="auto" w:sz="4" w:space="0"/>
                    <w:bottom w:val="single" w:color="auto" w:sz="4" w:space="0"/>
                    <w:right w:val="single" w:color="auto" w:sz="4" w:space="0"/>
                  </w:tcBorders>
                  <w:vAlign w:val="center"/>
                </w:tcPr>
                <w:p w14:paraId="76E2EF00">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烧结砖备料工序破碎</w:t>
                  </w:r>
                </w:p>
              </w:tc>
              <w:tc>
                <w:tcPr>
                  <w:tcW w:w="653" w:type="pct"/>
                  <w:tcBorders>
                    <w:top w:val="single" w:color="auto" w:sz="4" w:space="0"/>
                    <w:left w:val="single" w:color="auto" w:sz="4" w:space="0"/>
                    <w:bottom w:val="single" w:color="auto" w:sz="4" w:space="0"/>
                    <w:right w:val="single" w:color="auto" w:sz="4" w:space="0"/>
                  </w:tcBorders>
                  <w:vAlign w:val="center"/>
                </w:tcPr>
                <w:p w14:paraId="7AF7BED2">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82.53</w:t>
                  </w:r>
                  <w:r>
                    <w:rPr>
                      <w:rFonts w:hint="default" w:ascii="Times New Roman" w:hAnsi="Times New Roman" w:cs="Times New Roman"/>
                      <w:color w:val="000000" w:themeColor="text1"/>
                      <w14:textFill>
                        <w14:solidFill>
                          <w14:schemeClr w14:val="tx1"/>
                        </w14:solidFill>
                      </w14:textFill>
                    </w:rPr>
                    <w:t>t/a</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6066D1">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1105" w:type="pct"/>
                  <w:vMerge w:val="continue"/>
                  <w:tcBorders>
                    <w:left w:val="single" w:color="auto" w:sz="4" w:space="0"/>
                    <w:right w:val="single" w:color="auto" w:sz="4" w:space="0"/>
                  </w:tcBorders>
                  <w:vAlign w:val="center"/>
                </w:tcPr>
                <w:p w14:paraId="46552263">
                  <w:pPr>
                    <w:pStyle w:val="312"/>
                    <w:widowControl w:val="0"/>
                    <w:spacing w:line="240" w:lineRule="auto"/>
                    <w:ind w:firstLine="482"/>
                    <w:textAlignment w:val="baseline"/>
                    <w:rPr>
                      <w:rFonts w:hint="default" w:ascii="Times New Roman" w:hAnsi="Times New Roman" w:cs="Times New Roman"/>
                      <w:b/>
                      <w:color w:val="000000" w:themeColor="text1"/>
                      <w14:textFill>
                        <w14:solidFill>
                          <w14:schemeClr w14:val="tx1"/>
                        </w14:solidFill>
                      </w14:textFill>
                    </w:rPr>
                  </w:pPr>
                </w:p>
              </w:tc>
            </w:tr>
            <w:tr w14:paraId="5177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12" w:type="pct"/>
                  <w:vMerge w:val="continue"/>
                  <w:tcBorders>
                    <w:left w:val="single" w:color="auto" w:sz="4" w:space="0"/>
                    <w:right w:val="single" w:color="auto" w:sz="4" w:space="0"/>
                  </w:tcBorders>
                  <w:vAlign w:val="center"/>
                </w:tcPr>
                <w:p w14:paraId="01CF8DE2">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282BD2B">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C9FD897">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593" w:type="pct"/>
                  <w:tcBorders>
                    <w:top w:val="single" w:color="auto" w:sz="4" w:space="0"/>
                    <w:left w:val="single" w:color="auto" w:sz="4" w:space="0"/>
                    <w:bottom w:val="single" w:color="auto" w:sz="4" w:space="0"/>
                    <w:right w:val="single" w:color="auto" w:sz="4" w:space="0"/>
                  </w:tcBorders>
                  <w:vAlign w:val="center"/>
                </w:tcPr>
                <w:p w14:paraId="5B44EBA6">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免烧砖备料工序破碎</w:t>
                  </w:r>
                </w:p>
              </w:tc>
              <w:tc>
                <w:tcPr>
                  <w:tcW w:w="653" w:type="pct"/>
                  <w:tcBorders>
                    <w:top w:val="single" w:color="auto" w:sz="4" w:space="0"/>
                    <w:left w:val="single" w:color="auto" w:sz="4" w:space="0"/>
                    <w:bottom w:val="single" w:color="auto" w:sz="4" w:space="0"/>
                    <w:right w:val="single" w:color="auto" w:sz="4" w:space="0"/>
                  </w:tcBorders>
                  <w:vAlign w:val="center"/>
                </w:tcPr>
                <w:p w14:paraId="7E11347D">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45.9</w:t>
                  </w:r>
                  <w:r>
                    <w:rPr>
                      <w:rFonts w:hint="default" w:ascii="Times New Roman" w:hAnsi="Times New Roman" w:cs="Times New Roman"/>
                      <w:color w:val="000000" w:themeColor="text1"/>
                      <w14:textFill>
                        <w14:solidFill>
                          <w14:schemeClr w14:val="tx1"/>
                        </w14:solidFill>
                      </w14:textFill>
                    </w:rPr>
                    <w:t>t/a</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517A2E8">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1105" w:type="pct"/>
                  <w:vMerge w:val="continue"/>
                  <w:tcBorders>
                    <w:left w:val="single" w:color="auto" w:sz="4" w:space="0"/>
                    <w:right w:val="single" w:color="auto" w:sz="4" w:space="0"/>
                  </w:tcBorders>
                  <w:vAlign w:val="center"/>
                </w:tcPr>
                <w:p w14:paraId="26D19618">
                  <w:pPr>
                    <w:pStyle w:val="312"/>
                    <w:widowControl w:val="0"/>
                    <w:spacing w:line="240" w:lineRule="auto"/>
                    <w:ind w:firstLine="482"/>
                    <w:textAlignment w:val="baseline"/>
                    <w:rPr>
                      <w:rFonts w:hint="default" w:ascii="Times New Roman" w:hAnsi="Times New Roman" w:cs="Times New Roman"/>
                      <w:b/>
                      <w:color w:val="000000" w:themeColor="text1"/>
                      <w14:textFill>
                        <w14:solidFill>
                          <w14:schemeClr w14:val="tx1"/>
                        </w14:solidFill>
                      </w14:textFill>
                    </w:rPr>
                  </w:pPr>
                </w:p>
              </w:tc>
            </w:tr>
            <w:tr w14:paraId="7576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12" w:type="pct"/>
                  <w:vMerge w:val="continue"/>
                  <w:tcBorders>
                    <w:left w:val="single" w:color="auto" w:sz="4" w:space="0"/>
                    <w:right w:val="single" w:color="auto" w:sz="4" w:space="0"/>
                  </w:tcBorders>
                  <w:vAlign w:val="center"/>
                </w:tcPr>
                <w:p w14:paraId="308C812E">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EAF9DD9">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CBD68B0">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593" w:type="pct"/>
                  <w:tcBorders>
                    <w:top w:val="single" w:color="auto" w:sz="4" w:space="0"/>
                    <w:left w:val="single" w:color="auto" w:sz="4" w:space="0"/>
                    <w:bottom w:val="single" w:color="auto" w:sz="4" w:space="0"/>
                    <w:right w:val="single" w:color="auto" w:sz="4" w:space="0"/>
                  </w:tcBorders>
                  <w:vAlign w:val="center"/>
                </w:tcPr>
                <w:p w14:paraId="3FCE8646">
                  <w:pPr>
                    <w:pStyle w:val="144"/>
                    <w:autoSpaceDE/>
                    <w:autoSpaceDN/>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机制砂破碎</w:t>
                  </w:r>
                </w:p>
              </w:tc>
              <w:tc>
                <w:tcPr>
                  <w:tcW w:w="653" w:type="pct"/>
                  <w:tcBorders>
                    <w:top w:val="single" w:color="auto" w:sz="4" w:space="0"/>
                    <w:left w:val="single" w:color="auto" w:sz="4" w:space="0"/>
                    <w:bottom w:val="single" w:color="auto" w:sz="4" w:space="0"/>
                    <w:right w:val="single" w:color="auto" w:sz="4" w:space="0"/>
                  </w:tcBorders>
                  <w:vAlign w:val="center"/>
                </w:tcPr>
                <w:p w14:paraId="30E2A317">
                  <w:pPr>
                    <w:pStyle w:val="144"/>
                    <w:autoSpaceDE/>
                    <w:autoSpaceDN/>
                    <w:textAlignment w:val="baseline"/>
                    <w:rPr>
                      <w:rFonts w:hint="default" w:ascii="Times New Roman" w:hAnsi="Times New Roman" w:cs="Times New Roman"/>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164.685</w:t>
                  </w:r>
                  <w:r>
                    <w:rPr>
                      <w:rFonts w:hint="default" w:ascii="Times New Roman" w:hAnsi="Times New Roman" w:cs="Times New Roman"/>
                      <w:color w:val="000000" w:themeColor="text1"/>
                      <w:szCs w:val="24"/>
                      <w14:textFill>
                        <w14:solidFill>
                          <w14:schemeClr w14:val="tx1"/>
                        </w14:solidFill>
                      </w14:textFill>
                    </w:rPr>
                    <w:t>t/a</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75874F9">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1105" w:type="pct"/>
                  <w:vMerge w:val="continue"/>
                  <w:tcBorders>
                    <w:left w:val="single" w:color="auto" w:sz="4" w:space="0"/>
                    <w:right w:val="single" w:color="auto" w:sz="4" w:space="0"/>
                  </w:tcBorders>
                  <w:vAlign w:val="center"/>
                </w:tcPr>
                <w:p w14:paraId="6F1DDB21">
                  <w:pPr>
                    <w:pStyle w:val="312"/>
                    <w:widowControl w:val="0"/>
                    <w:spacing w:line="240" w:lineRule="auto"/>
                    <w:ind w:firstLine="482"/>
                    <w:textAlignment w:val="baseline"/>
                    <w:rPr>
                      <w:rFonts w:hint="default" w:ascii="Times New Roman" w:hAnsi="Times New Roman" w:cs="Times New Roman"/>
                      <w:b/>
                      <w:color w:val="000000" w:themeColor="text1"/>
                      <w14:textFill>
                        <w14:solidFill>
                          <w14:schemeClr w14:val="tx1"/>
                        </w14:solidFill>
                      </w14:textFill>
                    </w:rPr>
                  </w:pPr>
                </w:p>
              </w:tc>
            </w:tr>
            <w:tr w14:paraId="1180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12" w:type="pct"/>
                  <w:vMerge w:val="continue"/>
                  <w:tcBorders>
                    <w:left w:val="single" w:color="auto" w:sz="4" w:space="0"/>
                    <w:right w:val="single" w:color="auto" w:sz="4" w:space="0"/>
                  </w:tcBorders>
                  <w:vAlign w:val="center"/>
                </w:tcPr>
                <w:p w14:paraId="7E283873">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92D8734">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A8ACE1">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593" w:type="pct"/>
                  <w:tcBorders>
                    <w:top w:val="single" w:color="auto" w:sz="4" w:space="0"/>
                    <w:left w:val="single" w:color="auto" w:sz="4" w:space="0"/>
                    <w:bottom w:val="single" w:color="auto" w:sz="4" w:space="0"/>
                    <w:right w:val="single" w:color="auto" w:sz="4" w:space="0"/>
                  </w:tcBorders>
                  <w:vAlign w:val="center"/>
                </w:tcPr>
                <w:p w14:paraId="4BFD2F85">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水泥筒仓</w:t>
                  </w:r>
                </w:p>
              </w:tc>
              <w:tc>
                <w:tcPr>
                  <w:tcW w:w="653" w:type="pct"/>
                  <w:tcBorders>
                    <w:top w:val="single" w:color="auto" w:sz="4" w:space="0"/>
                    <w:left w:val="single" w:color="auto" w:sz="4" w:space="0"/>
                    <w:bottom w:val="single" w:color="auto" w:sz="4" w:space="0"/>
                    <w:right w:val="single" w:color="auto" w:sz="4" w:space="0"/>
                  </w:tcBorders>
                  <w:vAlign w:val="center"/>
                </w:tcPr>
                <w:p w14:paraId="4B14DDDA">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329t/a</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A8FDA8B">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1105" w:type="pct"/>
                  <w:vMerge w:val="continue"/>
                  <w:tcBorders>
                    <w:left w:val="single" w:color="auto" w:sz="4" w:space="0"/>
                    <w:right w:val="single" w:color="auto" w:sz="4" w:space="0"/>
                  </w:tcBorders>
                  <w:vAlign w:val="center"/>
                </w:tcPr>
                <w:p w14:paraId="7BC00B57">
                  <w:pPr>
                    <w:pStyle w:val="312"/>
                    <w:widowControl w:val="0"/>
                    <w:spacing w:line="240" w:lineRule="auto"/>
                    <w:ind w:firstLine="482"/>
                    <w:textAlignment w:val="baseline"/>
                    <w:rPr>
                      <w:rFonts w:hint="default" w:ascii="Times New Roman" w:hAnsi="Times New Roman" w:cs="Times New Roman"/>
                      <w:b/>
                      <w:color w:val="000000" w:themeColor="text1"/>
                      <w14:textFill>
                        <w14:solidFill>
                          <w14:schemeClr w14:val="tx1"/>
                        </w14:solidFill>
                      </w14:textFill>
                    </w:rPr>
                  </w:pPr>
                </w:p>
              </w:tc>
            </w:tr>
            <w:tr w14:paraId="630D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12" w:type="pct"/>
                  <w:vMerge w:val="continue"/>
                  <w:tcBorders>
                    <w:left w:val="single" w:color="auto" w:sz="4" w:space="0"/>
                    <w:right w:val="single" w:color="auto" w:sz="4" w:space="0"/>
                  </w:tcBorders>
                  <w:vAlign w:val="center"/>
                </w:tcPr>
                <w:p w14:paraId="78297B95">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vAlign w:val="center"/>
                </w:tcPr>
                <w:p w14:paraId="6A76EB6D">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脱硫渣</w:t>
                  </w:r>
                </w:p>
              </w:tc>
              <w:tc>
                <w:tcPr>
                  <w:tcW w:w="705" w:type="pct"/>
                  <w:tcBorders>
                    <w:top w:val="single" w:color="auto" w:sz="4" w:space="0"/>
                    <w:left w:val="single" w:color="auto" w:sz="4" w:space="0"/>
                    <w:bottom w:val="single" w:color="auto" w:sz="4" w:space="0"/>
                    <w:right w:val="single" w:color="auto" w:sz="4" w:space="0"/>
                  </w:tcBorders>
                  <w:vAlign w:val="center"/>
                </w:tcPr>
                <w:p w14:paraId="6F32AECE">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900-999-65</w:t>
                  </w:r>
                </w:p>
              </w:tc>
              <w:tc>
                <w:tcPr>
                  <w:tcW w:w="593" w:type="pct"/>
                  <w:vMerge w:val="restart"/>
                  <w:tcBorders>
                    <w:top w:val="single" w:color="auto" w:sz="4" w:space="0"/>
                    <w:left w:val="single" w:color="auto" w:sz="4" w:space="0"/>
                    <w:bottom w:val="single" w:color="auto" w:sz="4" w:space="0"/>
                    <w:right w:val="single" w:color="auto" w:sz="4" w:space="0"/>
                  </w:tcBorders>
                  <w:vAlign w:val="center"/>
                </w:tcPr>
                <w:p w14:paraId="0668F87F">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隧道窑工序</w:t>
                  </w:r>
                </w:p>
              </w:tc>
              <w:tc>
                <w:tcPr>
                  <w:tcW w:w="653" w:type="pct"/>
                  <w:tcBorders>
                    <w:top w:val="single" w:color="auto" w:sz="4" w:space="0"/>
                    <w:left w:val="single" w:color="auto" w:sz="4" w:space="0"/>
                    <w:bottom w:val="single" w:color="auto" w:sz="4" w:space="0"/>
                    <w:right w:val="single" w:color="auto" w:sz="4" w:space="0"/>
                  </w:tcBorders>
                  <w:vAlign w:val="center"/>
                </w:tcPr>
                <w:p w14:paraId="0411C3BB">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286</w:t>
                  </w:r>
                  <w:r>
                    <w:rPr>
                      <w:rFonts w:hint="default" w:ascii="Times New Roman" w:hAnsi="Times New Roman" w:cs="Times New Roman"/>
                      <w:color w:val="000000" w:themeColor="text1"/>
                      <w14:textFill>
                        <w14:solidFill>
                          <w14:schemeClr w14:val="tx1"/>
                        </w14:solidFill>
                      </w14:textFill>
                    </w:rPr>
                    <w:t>t/a</w:t>
                  </w:r>
                </w:p>
              </w:tc>
              <w:tc>
                <w:tcPr>
                  <w:tcW w:w="1015" w:type="pct"/>
                  <w:tcBorders>
                    <w:top w:val="single" w:color="auto" w:sz="4" w:space="0"/>
                    <w:left w:val="single" w:color="auto" w:sz="4" w:space="0"/>
                    <w:bottom w:val="single" w:color="auto" w:sz="4" w:space="0"/>
                    <w:right w:val="single" w:color="auto" w:sz="4" w:space="0"/>
                  </w:tcBorders>
                  <w:vAlign w:val="center"/>
                </w:tcPr>
                <w:p w14:paraId="388E9B20">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回用生产</w:t>
                  </w:r>
                </w:p>
              </w:tc>
              <w:tc>
                <w:tcPr>
                  <w:tcW w:w="1105" w:type="pct"/>
                  <w:vMerge w:val="continue"/>
                  <w:tcBorders>
                    <w:left w:val="single" w:color="auto" w:sz="4" w:space="0"/>
                    <w:right w:val="single" w:color="auto" w:sz="4" w:space="0"/>
                  </w:tcBorders>
                  <w:vAlign w:val="center"/>
                </w:tcPr>
                <w:p w14:paraId="51E1EB52">
                  <w:pPr>
                    <w:pStyle w:val="312"/>
                    <w:widowControl w:val="0"/>
                    <w:spacing w:line="240" w:lineRule="auto"/>
                    <w:ind w:firstLine="482"/>
                    <w:textAlignment w:val="baseline"/>
                    <w:rPr>
                      <w:rFonts w:hint="default" w:ascii="Times New Roman" w:hAnsi="Times New Roman" w:cs="Times New Roman"/>
                      <w:b/>
                      <w:color w:val="000000" w:themeColor="text1"/>
                      <w14:textFill>
                        <w14:solidFill>
                          <w14:schemeClr w14:val="tx1"/>
                        </w14:solidFill>
                      </w14:textFill>
                    </w:rPr>
                  </w:pPr>
                </w:p>
              </w:tc>
            </w:tr>
            <w:tr w14:paraId="1BDA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12" w:type="pct"/>
                  <w:vMerge w:val="continue"/>
                  <w:tcBorders>
                    <w:left w:val="single" w:color="auto" w:sz="4" w:space="0"/>
                    <w:right w:val="single" w:color="auto" w:sz="4" w:space="0"/>
                  </w:tcBorders>
                  <w:vAlign w:val="center"/>
                </w:tcPr>
                <w:p w14:paraId="1BF3E2A6">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vAlign w:val="center"/>
                </w:tcPr>
                <w:p w14:paraId="764AC12F">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不合格砖</w:t>
                  </w:r>
                </w:p>
              </w:tc>
              <w:tc>
                <w:tcPr>
                  <w:tcW w:w="705" w:type="pct"/>
                  <w:tcBorders>
                    <w:top w:val="single" w:color="auto" w:sz="4" w:space="0"/>
                    <w:left w:val="single" w:color="auto" w:sz="4" w:space="0"/>
                    <w:bottom w:val="single" w:color="auto" w:sz="4" w:space="0"/>
                    <w:right w:val="single" w:color="auto" w:sz="4" w:space="0"/>
                  </w:tcBorders>
                  <w:vAlign w:val="center"/>
                </w:tcPr>
                <w:p w14:paraId="2CE221D6">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A38C8A9">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653" w:type="pct"/>
                  <w:tcBorders>
                    <w:top w:val="single" w:color="auto" w:sz="4" w:space="0"/>
                    <w:left w:val="single" w:color="auto" w:sz="4" w:space="0"/>
                    <w:bottom w:val="single" w:color="auto" w:sz="4" w:space="0"/>
                    <w:right w:val="single" w:color="auto" w:sz="4" w:space="0"/>
                  </w:tcBorders>
                  <w:vAlign w:val="center"/>
                </w:tcPr>
                <w:p w14:paraId="6F76E4E4">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2400</w:t>
                  </w:r>
                  <w:r>
                    <w:rPr>
                      <w:rFonts w:hint="default" w:ascii="Times New Roman" w:hAnsi="Times New Roman" w:cs="Times New Roman"/>
                      <w:color w:val="000000" w:themeColor="text1"/>
                      <w14:textFill>
                        <w14:solidFill>
                          <w14:schemeClr w14:val="tx1"/>
                        </w14:solidFill>
                      </w14:textFill>
                    </w:rPr>
                    <w:t>t/a</w:t>
                  </w:r>
                </w:p>
              </w:tc>
              <w:tc>
                <w:tcPr>
                  <w:tcW w:w="1015" w:type="pct"/>
                  <w:tcBorders>
                    <w:top w:val="single" w:color="auto" w:sz="4" w:space="0"/>
                    <w:left w:val="single" w:color="auto" w:sz="4" w:space="0"/>
                    <w:bottom w:val="single" w:color="auto" w:sz="4" w:space="0"/>
                    <w:right w:val="single" w:color="auto" w:sz="4" w:space="0"/>
                  </w:tcBorders>
                  <w:vAlign w:val="center"/>
                </w:tcPr>
                <w:p w14:paraId="3F37F571">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回用生产</w:t>
                  </w:r>
                </w:p>
              </w:tc>
              <w:tc>
                <w:tcPr>
                  <w:tcW w:w="1105" w:type="pct"/>
                  <w:vMerge w:val="continue"/>
                  <w:tcBorders>
                    <w:left w:val="single" w:color="auto" w:sz="4" w:space="0"/>
                    <w:right w:val="single" w:color="auto" w:sz="4" w:space="0"/>
                  </w:tcBorders>
                  <w:vAlign w:val="center"/>
                </w:tcPr>
                <w:p w14:paraId="60CFB834">
                  <w:pPr>
                    <w:pStyle w:val="312"/>
                    <w:widowControl w:val="0"/>
                    <w:spacing w:line="240" w:lineRule="auto"/>
                    <w:ind w:firstLine="482"/>
                    <w:textAlignment w:val="baseline"/>
                    <w:rPr>
                      <w:rFonts w:hint="default" w:ascii="Times New Roman" w:hAnsi="Times New Roman" w:cs="Times New Roman"/>
                      <w:b/>
                      <w:color w:val="000000" w:themeColor="text1"/>
                      <w14:textFill>
                        <w14:solidFill>
                          <w14:schemeClr w14:val="tx1"/>
                        </w14:solidFill>
                      </w14:textFill>
                    </w:rPr>
                  </w:pPr>
                </w:p>
              </w:tc>
            </w:tr>
            <w:tr w14:paraId="0EE5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12" w:type="pct"/>
                  <w:vMerge w:val="continue"/>
                  <w:tcBorders>
                    <w:left w:val="single" w:color="auto" w:sz="4" w:space="0"/>
                    <w:right w:val="single" w:color="auto" w:sz="4" w:space="0"/>
                  </w:tcBorders>
                  <w:vAlign w:val="center"/>
                </w:tcPr>
                <w:p w14:paraId="2D39C6B2">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vAlign w:val="center"/>
                </w:tcPr>
                <w:p w14:paraId="1C885D34">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不合格砖</w:t>
                  </w:r>
                </w:p>
              </w:tc>
              <w:tc>
                <w:tcPr>
                  <w:tcW w:w="705" w:type="pct"/>
                  <w:tcBorders>
                    <w:top w:val="single" w:color="auto" w:sz="4" w:space="0"/>
                    <w:left w:val="single" w:color="auto" w:sz="4" w:space="0"/>
                    <w:bottom w:val="single" w:color="auto" w:sz="4" w:space="0"/>
                    <w:right w:val="single" w:color="auto" w:sz="4" w:space="0"/>
                  </w:tcBorders>
                  <w:vAlign w:val="center"/>
                </w:tcPr>
                <w:p w14:paraId="366C52C2">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vAlign w:val="center"/>
                </w:tcPr>
                <w:p w14:paraId="74AF9F29">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免烧砖工序</w:t>
                  </w:r>
                </w:p>
              </w:tc>
              <w:tc>
                <w:tcPr>
                  <w:tcW w:w="653" w:type="pct"/>
                  <w:tcBorders>
                    <w:top w:val="single" w:color="auto" w:sz="4" w:space="0"/>
                    <w:left w:val="single" w:color="auto" w:sz="4" w:space="0"/>
                    <w:bottom w:val="single" w:color="auto" w:sz="4" w:space="0"/>
                    <w:right w:val="single" w:color="auto" w:sz="4" w:space="0"/>
                  </w:tcBorders>
                  <w:vAlign w:val="center"/>
                </w:tcPr>
                <w:p w14:paraId="1079DB10">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1893</w:t>
                  </w:r>
                  <w:r>
                    <w:rPr>
                      <w:rFonts w:hint="default" w:ascii="Times New Roman" w:hAnsi="Times New Roman" w:cs="Times New Roman"/>
                      <w:color w:val="000000" w:themeColor="text1"/>
                      <w14:textFill>
                        <w14:solidFill>
                          <w14:schemeClr w14:val="tx1"/>
                        </w14:solidFill>
                      </w14:textFill>
                    </w:rPr>
                    <w:t>t/a</w:t>
                  </w:r>
                </w:p>
              </w:tc>
              <w:tc>
                <w:tcPr>
                  <w:tcW w:w="1015" w:type="pct"/>
                  <w:tcBorders>
                    <w:top w:val="single" w:color="auto" w:sz="4" w:space="0"/>
                    <w:left w:val="single" w:color="auto" w:sz="4" w:space="0"/>
                    <w:bottom w:val="single" w:color="auto" w:sz="4" w:space="0"/>
                    <w:right w:val="single" w:color="auto" w:sz="4" w:space="0"/>
                  </w:tcBorders>
                  <w:vAlign w:val="center"/>
                </w:tcPr>
                <w:p w14:paraId="2DD5AF55">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回用生产</w:t>
                  </w:r>
                </w:p>
              </w:tc>
              <w:tc>
                <w:tcPr>
                  <w:tcW w:w="1105" w:type="pct"/>
                  <w:vMerge w:val="continue"/>
                  <w:tcBorders>
                    <w:left w:val="single" w:color="auto" w:sz="4" w:space="0"/>
                    <w:right w:val="single" w:color="auto" w:sz="4" w:space="0"/>
                  </w:tcBorders>
                  <w:vAlign w:val="center"/>
                </w:tcPr>
                <w:p w14:paraId="79B42465">
                  <w:pPr>
                    <w:pStyle w:val="312"/>
                    <w:widowControl w:val="0"/>
                    <w:spacing w:line="240" w:lineRule="auto"/>
                    <w:ind w:firstLine="482"/>
                    <w:textAlignment w:val="baseline"/>
                    <w:rPr>
                      <w:rFonts w:hint="default" w:ascii="Times New Roman" w:hAnsi="Times New Roman" w:cs="Times New Roman"/>
                      <w:b/>
                      <w:color w:val="000000" w:themeColor="text1"/>
                      <w14:textFill>
                        <w14:solidFill>
                          <w14:schemeClr w14:val="tx1"/>
                        </w14:solidFill>
                      </w14:textFill>
                    </w:rPr>
                  </w:pPr>
                </w:p>
              </w:tc>
            </w:tr>
            <w:tr w14:paraId="4A55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12" w:type="pct"/>
                  <w:vMerge w:val="continue"/>
                  <w:tcBorders>
                    <w:left w:val="single" w:color="auto" w:sz="4" w:space="0"/>
                    <w:bottom w:val="single" w:color="auto" w:sz="4" w:space="0"/>
                    <w:right w:val="single" w:color="auto" w:sz="4" w:space="0"/>
                  </w:tcBorders>
                  <w:vAlign w:val="center"/>
                </w:tcPr>
                <w:p w14:paraId="1C0BA2C5">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p>
              </w:tc>
              <w:tc>
                <w:tcPr>
                  <w:tcW w:w="514" w:type="pct"/>
                  <w:tcBorders>
                    <w:top w:val="single" w:color="auto" w:sz="4" w:space="0"/>
                    <w:left w:val="single" w:color="auto" w:sz="4" w:space="0"/>
                    <w:bottom w:val="single" w:color="auto" w:sz="4" w:space="0"/>
                    <w:right w:val="single" w:color="auto" w:sz="4" w:space="0"/>
                  </w:tcBorders>
                  <w:vAlign w:val="center"/>
                </w:tcPr>
                <w:p w14:paraId="1CE3256F">
                  <w:pPr>
                    <w:pStyle w:val="144"/>
                    <w:autoSpaceDE/>
                    <w:autoSpaceDN/>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尾泥</w:t>
                  </w:r>
                </w:p>
              </w:tc>
              <w:tc>
                <w:tcPr>
                  <w:tcW w:w="705" w:type="pct"/>
                  <w:tcBorders>
                    <w:top w:val="single" w:color="auto" w:sz="4" w:space="0"/>
                    <w:left w:val="single" w:color="auto" w:sz="4" w:space="0"/>
                    <w:bottom w:val="single" w:color="auto" w:sz="4" w:space="0"/>
                    <w:right w:val="single" w:color="auto" w:sz="4" w:space="0"/>
                  </w:tcBorders>
                  <w:vAlign w:val="center"/>
                </w:tcPr>
                <w:p w14:paraId="4901A53C">
                  <w:pPr>
                    <w:pStyle w:val="144"/>
                    <w:autoSpaceDE/>
                    <w:autoSpaceDN/>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vAlign w:val="center"/>
                </w:tcPr>
                <w:p w14:paraId="2F74F915">
                  <w:pPr>
                    <w:pStyle w:val="144"/>
                    <w:autoSpaceDE/>
                    <w:autoSpaceDN/>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洗选过程</w:t>
                  </w:r>
                </w:p>
              </w:tc>
              <w:tc>
                <w:tcPr>
                  <w:tcW w:w="653" w:type="pct"/>
                  <w:tcBorders>
                    <w:top w:val="single" w:color="auto" w:sz="4" w:space="0"/>
                    <w:left w:val="single" w:color="auto" w:sz="4" w:space="0"/>
                    <w:bottom w:val="single" w:color="auto" w:sz="4" w:space="0"/>
                    <w:right w:val="single" w:color="auto" w:sz="4" w:space="0"/>
                  </w:tcBorders>
                  <w:vAlign w:val="center"/>
                </w:tcPr>
                <w:p w14:paraId="1B9E7F0D">
                  <w:pPr>
                    <w:pStyle w:val="144"/>
                    <w:autoSpaceDE/>
                    <w:autoSpaceDN/>
                    <w:textAlignment w:val="baseline"/>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71.45万</w:t>
                  </w:r>
                  <w:r>
                    <w:rPr>
                      <w:rFonts w:hint="default" w:ascii="Times New Roman" w:hAnsi="Times New Roman" w:cs="Times New Roman"/>
                      <w:color w:val="000000" w:themeColor="text1"/>
                      <w14:textFill>
                        <w14:solidFill>
                          <w14:schemeClr w14:val="tx1"/>
                        </w14:solidFill>
                      </w14:textFill>
                    </w:rPr>
                    <w:t>t/a</w:t>
                  </w:r>
                </w:p>
              </w:tc>
              <w:tc>
                <w:tcPr>
                  <w:tcW w:w="1015" w:type="pct"/>
                  <w:tcBorders>
                    <w:top w:val="single" w:color="auto" w:sz="4" w:space="0"/>
                    <w:left w:val="single" w:color="auto" w:sz="4" w:space="0"/>
                    <w:bottom w:val="single" w:color="auto" w:sz="4" w:space="0"/>
                    <w:right w:val="single" w:color="auto" w:sz="4" w:space="0"/>
                  </w:tcBorders>
                  <w:vAlign w:val="center"/>
                </w:tcPr>
                <w:p w14:paraId="4BA7209B">
                  <w:pPr>
                    <w:pStyle w:val="144"/>
                    <w:autoSpaceDE/>
                    <w:autoSpaceDN/>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用作免烧砖生产原料</w:t>
                  </w:r>
                </w:p>
              </w:tc>
              <w:tc>
                <w:tcPr>
                  <w:tcW w:w="1105" w:type="pct"/>
                  <w:vMerge w:val="continue"/>
                  <w:tcBorders>
                    <w:left w:val="single" w:color="auto" w:sz="4" w:space="0"/>
                    <w:bottom w:val="single" w:color="auto" w:sz="4" w:space="0"/>
                    <w:right w:val="single" w:color="auto" w:sz="4" w:space="0"/>
                  </w:tcBorders>
                  <w:vAlign w:val="center"/>
                </w:tcPr>
                <w:p w14:paraId="52F469F9">
                  <w:pPr>
                    <w:pStyle w:val="312"/>
                    <w:widowControl w:val="0"/>
                    <w:spacing w:line="240" w:lineRule="auto"/>
                    <w:ind w:firstLine="482"/>
                    <w:textAlignment w:val="baseline"/>
                    <w:rPr>
                      <w:rFonts w:hint="default" w:ascii="Times New Roman" w:hAnsi="Times New Roman" w:cs="Times New Roman"/>
                      <w:b/>
                      <w:color w:val="000000" w:themeColor="text1"/>
                      <w14:textFill>
                        <w14:solidFill>
                          <w14:schemeClr w14:val="tx1"/>
                        </w14:solidFill>
                      </w14:textFill>
                    </w:rPr>
                  </w:pPr>
                </w:p>
              </w:tc>
            </w:tr>
          </w:tbl>
          <w:p w14:paraId="09D6C82F">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2</w:t>
            </w:r>
            <w:r>
              <w:rPr>
                <w:rFonts w:hint="eastAsia" w:cs="Times New Roman"/>
                <w:color w:val="000000" w:themeColor="text1"/>
                <w:szCs w:val="24"/>
                <w:lang w:eastAsia="zh-CN"/>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环境管理要求</w:t>
            </w:r>
          </w:p>
          <w:p w14:paraId="0FCA6DAC">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①一般工业固废</w:t>
            </w:r>
          </w:p>
          <w:p w14:paraId="63DE149B">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根据《一般工业固体废物贮存和填埋污染控制标准》（</w:t>
            </w:r>
            <w:r>
              <w:rPr>
                <w:rFonts w:hint="default" w:ascii="Times New Roman" w:hAnsi="Times New Roman" w:cs="Times New Roman"/>
                <w:color w:val="000000" w:themeColor="text1"/>
                <w:szCs w:val="24"/>
                <w14:textFill>
                  <w14:solidFill>
                    <w14:schemeClr w14:val="tx1"/>
                  </w14:solidFill>
                </w14:textFill>
              </w:rPr>
              <w:t>GB18599-2020</w:t>
            </w:r>
            <w:r>
              <w:rPr>
                <w:rFonts w:hint="eastAsia" w:ascii="Times New Roman" w:hAnsi="Times New Roman" w:cs="Times New Roman"/>
                <w:color w:val="000000" w:themeColor="text1"/>
                <w:szCs w:val="24"/>
                <w14:textFill>
                  <w14:solidFill>
                    <w14:schemeClr w14:val="tx1"/>
                  </w14:solidFill>
                </w14:textFill>
              </w:rPr>
              <w:t>）的要求设置贮存场所。</w:t>
            </w:r>
          </w:p>
          <w:p w14:paraId="59C97631">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②危险废物</w:t>
            </w:r>
          </w:p>
          <w:p w14:paraId="20C8279E">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本项目危险废物暂存危废间内，委托有危废处理资质单位处置。不相容危险废物要分别存放或存放在不渗透间隔分开的区域内，每个部分都应有防漏裙脚或储漏盘，防漏裙脚或储漏盘的材料与危险废物相容。</w:t>
            </w:r>
            <w:r>
              <w:rPr>
                <w:rFonts w:hint="default" w:ascii="Times New Roman" w:hAnsi="Times New Roman" w:cs="Times New Roman"/>
                <w:color w:val="000000" w:themeColor="text1"/>
                <w:szCs w:val="24"/>
                <w14:textFill>
                  <w14:solidFill>
                    <w14:schemeClr w14:val="tx1"/>
                  </w14:solidFill>
                </w14:textFill>
              </w:rPr>
              <w:t xml:space="preserve"> </w:t>
            </w:r>
          </w:p>
          <w:p w14:paraId="39A4AEDE">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厂内建立危险废物台账管理制度，做好危险废物情况的记录，记录上须注明危险废物的名称、来源、数量、特性和包装容器的类别、入库日期、存放库位、废物出库日期及接受单位名称，危险废物的记录和货单在危险废物回取后应继续保留三年。</w:t>
            </w:r>
          </w:p>
          <w:p w14:paraId="7DD545A6">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C</w:t>
            </w:r>
            <w:r>
              <w:rPr>
                <w:rFonts w:hint="eastAsia" w:ascii="Times New Roman" w:hAnsi="Times New Roman" w:cs="Times New Roman"/>
                <w:color w:val="000000" w:themeColor="text1"/>
                <w:szCs w:val="24"/>
                <w14:textFill>
                  <w14:solidFill>
                    <w14:schemeClr w14:val="tx1"/>
                  </w14:solidFill>
                </w14:textFill>
              </w:rPr>
              <w:t>必须定期对贮存的危险废物包装容器及贮存设施进行检查，发现破损，应及时采取措施清理更换。</w:t>
            </w:r>
          </w:p>
          <w:p w14:paraId="79DDEAAF">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D</w:t>
            </w:r>
            <w:r>
              <w:rPr>
                <w:rFonts w:hint="eastAsia" w:ascii="Times New Roman" w:hAnsi="Times New Roman" w:cs="Times New Roman"/>
                <w:color w:val="000000" w:themeColor="text1"/>
                <w:szCs w:val="24"/>
                <w14:textFill>
                  <w14:solidFill>
                    <w14:schemeClr w14:val="tx1"/>
                  </w14:solidFill>
                </w14:textFill>
              </w:rPr>
              <w:t>危险废物贮存设施必须按照《环境保护图形标志</w:t>
            </w:r>
            <w:r>
              <w:rPr>
                <w:rFonts w:hint="default" w:ascii="Times New Roman" w:hAnsi="Times New Roman" w:cs="Times New Roman"/>
                <w:color w:val="000000" w:themeColor="text1"/>
                <w:szCs w:val="24"/>
                <w14:textFill>
                  <w14:solidFill>
                    <w14:schemeClr w14:val="tx1"/>
                  </w14:solidFill>
                </w14:textFill>
              </w:rPr>
              <w:t xml:space="preserve"> </w:t>
            </w:r>
            <w:r>
              <w:rPr>
                <w:rFonts w:hint="eastAsia" w:ascii="Times New Roman" w:hAnsi="Times New Roman" w:cs="Times New Roman"/>
                <w:color w:val="000000" w:themeColor="text1"/>
                <w:szCs w:val="24"/>
                <w14:textFill>
                  <w14:solidFill>
                    <w14:schemeClr w14:val="tx1"/>
                  </w14:solidFill>
                </w14:textFill>
              </w:rPr>
              <w:t>固体废物贮存（处置）场》（</w:t>
            </w:r>
            <w:r>
              <w:rPr>
                <w:rFonts w:hint="default" w:ascii="Times New Roman" w:hAnsi="Times New Roman" w:cs="Times New Roman"/>
                <w:color w:val="000000" w:themeColor="text1"/>
                <w:szCs w:val="24"/>
                <w14:textFill>
                  <w14:solidFill>
                    <w14:schemeClr w14:val="tx1"/>
                  </w14:solidFill>
                </w14:textFill>
              </w:rPr>
              <w:t>GB15562.2-1995</w:t>
            </w:r>
            <w:r>
              <w:rPr>
                <w:rFonts w:hint="eastAsia" w:ascii="Times New Roman" w:hAnsi="Times New Roman" w:cs="Times New Roman"/>
                <w:color w:val="000000" w:themeColor="text1"/>
                <w:szCs w:val="24"/>
                <w14:textFill>
                  <w14:solidFill>
                    <w14:schemeClr w14:val="tx1"/>
                  </w14:solidFill>
                </w14:textFill>
              </w:rPr>
              <w:t>）的规定设置警示标志。</w:t>
            </w:r>
          </w:p>
          <w:p w14:paraId="518145AB">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③生活垃圾</w:t>
            </w:r>
          </w:p>
          <w:p w14:paraId="675A81F7">
            <w:pPr>
              <w:widowControl w:val="0"/>
              <w:tabs>
                <w:tab w:val="left" w:pos="7200"/>
              </w:tabs>
              <w:ind w:firstLine="480"/>
              <w:textAlignment w:val="baseline"/>
              <w:rPr>
                <w:rFonts w:hint="default"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厂区设垃圾桶，定期清运至指定垃圾收集点。</w:t>
            </w:r>
          </w:p>
          <w:p w14:paraId="1638E090">
            <w:pPr>
              <w:widowControl w:val="0"/>
              <w:tabs>
                <w:tab w:val="left" w:pos="7200"/>
              </w:tabs>
              <w:ind w:firstLine="480"/>
              <w:textAlignment w:val="baseline"/>
              <w:rPr>
                <w:rFonts w:hint="eastAsia" w:ascii="Times New Roman" w:hAnsi="Times New Roman" w:cs="Times New Roman"/>
                <w:b/>
                <w:bCs/>
                <w:color w:val="000000" w:themeColor="text1"/>
                <w:szCs w:val="24"/>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5.</w:t>
            </w:r>
            <w:r>
              <w:rPr>
                <w:rFonts w:hint="eastAsia" w:ascii="Times New Roman" w:hAnsi="Times New Roman" w:cs="Times New Roman"/>
                <w:b/>
                <w:bCs/>
                <w:color w:val="000000" w:themeColor="text1"/>
                <w:szCs w:val="24"/>
                <w14:textFill>
                  <w14:solidFill>
                    <w14:schemeClr w14:val="tx1"/>
                  </w14:solidFill>
                </w14:textFill>
              </w:rPr>
              <w:t>地下水、土壤影响分析及措施</w:t>
            </w:r>
          </w:p>
          <w:p w14:paraId="1F0BA325">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1</w:t>
            </w:r>
            <w:r>
              <w:rPr>
                <w:rFonts w:hint="eastAsia" w:cs="Times New Roman"/>
                <w:color w:val="000000" w:themeColor="text1"/>
                <w:szCs w:val="24"/>
                <w:lang w:eastAsia="zh-CN"/>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地下水、土壤环境影响识别</w:t>
            </w:r>
          </w:p>
          <w:p w14:paraId="1C7E8A13">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①污染源识别</w:t>
            </w:r>
          </w:p>
          <w:p w14:paraId="3D83C741">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本项目地下水污染源主要指项目可能造成地下水污染的装置、设施和区域，通过上述分析，项目可能造成地下水及土壤污染的区域有危废箱、沉淀池及雨水池。</w:t>
            </w:r>
          </w:p>
          <w:p w14:paraId="037FE5FA">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②污染途径识别</w:t>
            </w:r>
          </w:p>
          <w:p w14:paraId="5CA667BC">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针对企业生产过程中生活污水及洗车废水、固体废物产生、输送和处理过程，采取合理有效的工程措施可防止污染物对地下水的污染。本项目可能对地下水造成污染途径的主要有废水、废机油泄漏对地下水及土壤造成的污染。</w:t>
            </w:r>
          </w:p>
          <w:p w14:paraId="76E66ECF">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正常情况下，地下水的污染主要是由于污染物迁移穿过包气带进入含水层造成。废水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拟建项目仍存在造成地下水污染的可能性，且地下水一旦受污染其发现和治理难度都非常难，为了更好的保护地下水资源，将拟建项目对地下水的影响降至最低限度，建议采取相关措施。</w:t>
            </w:r>
          </w:p>
          <w:p w14:paraId="01360166">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2</w:t>
            </w:r>
            <w:r>
              <w:rPr>
                <w:rFonts w:hint="eastAsia" w:cs="Times New Roman"/>
                <w:color w:val="000000" w:themeColor="text1"/>
                <w:szCs w:val="24"/>
                <w:lang w:eastAsia="zh-CN"/>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防控措施</w:t>
            </w:r>
          </w:p>
          <w:p w14:paraId="0FE065D2">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①源头控制</w:t>
            </w:r>
          </w:p>
          <w:p w14:paraId="2EAEF2DF">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本项目将选择先进、成熟、可靠的工艺技术，并对产生的废物进行合理的回用和治理，以尽可能从源头上减少污染物排放；严格按照国家相关规范要求，对工艺、设备、废水储存采取相应的措施，防止和降低污染物的跑、冒、滴、漏，将污染物泄漏的环境风险事故降低到最低程度；优化系统设计，加强监控，做到污染物“早发现、早处理”，以减少由于泄漏可能造成的地下水、土壤污染。从源头控制上，本次评价要求项目建设应满足以下要求：</w:t>
            </w:r>
          </w:p>
          <w:p w14:paraId="08A8223B">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1.危险废物要按照危废贮存、处置要求进行严格管理。</w:t>
            </w:r>
          </w:p>
          <w:p w14:paraId="3535D8A9">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2.在设备技术上做改进，采用高质量设备设施和先进的监控手段，防止污水泄漏，避免机械故障下的事故排放。</w:t>
            </w:r>
          </w:p>
          <w:p w14:paraId="6DC59575">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3.必须严格控制厂区废水无组织泄漏，杜绝厂内存在的长期事故性排放点源，定期对沉淀池等进行检查。</w:t>
            </w:r>
          </w:p>
          <w:p w14:paraId="5003ABB1">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4.加强职工培训和管理，提高职工的责任意识和技术水平。</w:t>
            </w:r>
          </w:p>
          <w:p w14:paraId="37DE8309">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②分区防控措施</w:t>
            </w:r>
          </w:p>
          <w:p w14:paraId="6E55D306">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根据《危险废物贮存污染控制标准》（GB18597－20</w:t>
            </w:r>
            <w:r>
              <w:rPr>
                <w:rFonts w:hint="eastAsia" w:cs="Times New Roman"/>
                <w:color w:val="000000" w:themeColor="text1"/>
                <w:szCs w:val="24"/>
                <w:lang w:val="en-US" w:eastAsia="zh-CN"/>
                <w14:textFill>
                  <w14:solidFill>
                    <w14:schemeClr w14:val="tx1"/>
                  </w14:solidFill>
                </w14:textFill>
              </w:rPr>
              <w:t>23</w:t>
            </w:r>
            <w:r>
              <w:rPr>
                <w:rFonts w:hint="eastAsia" w:ascii="Times New Roman" w:hAnsi="Times New Roman" w:cs="Times New Roman"/>
                <w:color w:val="000000" w:themeColor="text1"/>
                <w:szCs w:val="24"/>
                <w14:textFill>
                  <w14:solidFill>
                    <w14:schemeClr w14:val="tx1"/>
                  </w14:solidFill>
                </w14:textFill>
              </w:rPr>
              <w:t>）的规定，对厂区可能泄漏污染物的污染区地面进行防渗处理，并及时将泄漏、渗漏的污染物收集起来进行处理，可有效防治洒落地面的污染物渗入地下。根据厂区各生产功能单元可能泄漏至地面区域的污染物性质和生产单元的构筑方式，将厂区划分为重点防渗区、一般防渗区和简单防渗区。项目分区防渗图见附图。</w:t>
            </w:r>
          </w:p>
          <w:p w14:paraId="6D8D7674">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A</w:t>
            </w:r>
            <w:r>
              <w:rPr>
                <w:rFonts w:hint="eastAsia" w:ascii="Times New Roman" w:hAnsi="Times New Roman" w:cs="Times New Roman"/>
                <w:color w:val="000000" w:themeColor="text1"/>
                <w:szCs w:val="24"/>
                <w14:textFill>
                  <w14:solidFill>
                    <w14:schemeClr w14:val="tx1"/>
                  </w14:solidFill>
                </w14:textFill>
              </w:rPr>
              <w:t>.重点防渗区</w:t>
            </w:r>
          </w:p>
          <w:p w14:paraId="670621EC">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重点防渗区主要为危废间放置区、浓缩池、脱硫系统（沉淀池、氢氧化钠池、石灰池等）渗透系数≤10</w:t>
            </w:r>
            <w:r>
              <w:rPr>
                <w:rFonts w:hint="eastAsia" w:ascii="Times New Roman" w:hAnsi="Times New Roman" w:cs="Times New Roman"/>
                <w:color w:val="000000" w:themeColor="text1"/>
                <w:szCs w:val="24"/>
                <w:vertAlign w:val="superscript"/>
                <w14:textFill>
                  <w14:solidFill>
                    <w14:schemeClr w14:val="tx1"/>
                  </w14:solidFill>
                </w14:textFill>
              </w:rPr>
              <w:t>-7</w:t>
            </w:r>
            <w:r>
              <w:rPr>
                <w:rFonts w:hint="eastAsia" w:ascii="Times New Roman" w:hAnsi="Times New Roman" w:cs="Times New Roman"/>
                <w:color w:val="000000" w:themeColor="text1"/>
                <w:szCs w:val="24"/>
                <w14:textFill>
                  <w14:solidFill>
                    <w14:schemeClr w14:val="tx1"/>
                  </w14:solidFill>
                </w14:textFill>
              </w:rPr>
              <w:t>cm/s。</w:t>
            </w:r>
          </w:p>
          <w:p w14:paraId="71503638">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B</w:t>
            </w:r>
            <w:r>
              <w:rPr>
                <w:rFonts w:hint="eastAsia" w:ascii="Times New Roman" w:hAnsi="Times New Roman" w:cs="Times New Roman"/>
                <w:color w:val="000000" w:themeColor="text1"/>
                <w:szCs w:val="24"/>
                <w14:textFill>
                  <w14:solidFill>
                    <w14:schemeClr w14:val="tx1"/>
                  </w14:solidFill>
                </w14:textFill>
              </w:rPr>
              <w:t>.一般防渗区</w:t>
            </w:r>
          </w:p>
          <w:p w14:paraId="2D3CFA3B">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一般防渗区指生产区中除了上述重点防渗区以外的其他建筑区，指裸露于地面的生产功能单元，污染地下水及土壤环境的物料污染物泄漏后，可及时发现和处理的区域或部位，主要为生产车间、成品区、沉淀池及雨水池等，本项目一般防渗区参照《一般工业固体废物贮存和填埋污染物控制标准》（GB18599-2020）</w:t>
            </w:r>
            <w:r>
              <w:rPr>
                <w:rFonts w:hint="eastAsia" w:ascii="Times New Roman" w:hAnsi="Times New Roman" w:cs="Times New Roman"/>
                <w:color w:val="000000" w:themeColor="text1"/>
                <w:szCs w:val="24"/>
                <w14:textFill>
                  <w14:solidFill>
                    <w14:schemeClr w14:val="tx1"/>
                  </w14:solidFill>
                </w14:textFill>
              </w:rPr>
              <w:fldChar w:fldCharType="begin"/>
            </w:r>
            <w:r>
              <w:rPr>
                <w:rFonts w:hint="eastAsia" w:ascii="Times New Roman" w:hAnsi="Times New Roman" w:cs="Times New Roman"/>
                <w:color w:val="000000" w:themeColor="text1"/>
                <w:szCs w:val="24"/>
                <w14:textFill>
                  <w14:solidFill>
                    <w14:schemeClr w14:val="tx1"/>
                  </w14:solidFill>
                </w14:textFill>
              </w:rPr>
              <w:instrText xml:space="preserve"> = 2 \* ROMAN \* MERGEFORMAT </w:instrText>
            </w:r>
            <w:r>
              <w:rPr>
                <w:rFonts w:hint="eastAsia" w:ascii="Times New Roman" w:hAnsi="Times New Roman" w:cs="Times New Roman"/>
                <w:color w:val="000000" w:themeColor="text1"/>
                <w:szCs w:val="24"/>
                <w14:textFill>
                  <w14:solidFill>
                    <w14:schemeClr w14:val="tx1"/>
                  </w14:solidFill>
                </w14:textFill>
              </w:rPr>
              <w:fldChar w:fldCharType="separate"/>
            </w:r>
            <w:r>
              <w:rPr>
                <w:rFonts w:hint="eastAsia" w:ascii="Times New Roman" w:hAnsi="Times New Roman" w:cs="Times New Roman"/>
                <w:color w:val="000000" w:themeColor="text1"/>
                <w:szCs w:val="24"/>
                <w14:textFill>
                  <w14:solidFill>
                    <w14:schemeClr w14:val="tx1"/>
                  </w14:solidFill>
                </w14:textFill>
              </w:rPr>
              <w:t>II</w:t>
            </w:r>
            <w:r>
              <w:rPr>
                <w:rFonts w:hint="eastAsia" w:ascii="Times New Roman" w:hAnsi="Times New Roman" w:cs="Times New Roman"/>
                <w:color w:val="000000" w:themeColor="text1"/>
                <w:szCs w:val="24"/>
                <w14:textFill>
                  <w14:solidFill>
                    <w14:schemeClr w14:val="tx1"/>
                  </w14:solidFill>
                </w14:textFill>
              </w:rPr>
              <w:fldChar w:fldCharType="end"/>
            </w:r>
            <w:r>
              <w:rPr>
                <w:rFonts w:hint="eastAsia" w:ascii="Times New Roman" w:hAnsi="Times New Roman" w:cs="Times New Roman"/>
                <w:color w:val="000000" w:themeColor="text1"/>
                <w:szCs w:val="24"/>
                <w14:textFill>
                  <w14:solidFill>
                    <w14:schemeClr w14:val="tx1"/>
                  </w14:solidFill>
                </w14:textFill>
              </w:rPr>
              <w:t>类场地进行地面防渗设计。</w:t>
            </w:r>
          </w:p>
          <w:p w14:paraId="175874E4">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C</w:t>
            </w:r>
            <w:r>
              <w:rPr>
                <w:rFonts w:hint="eastAsia" w:ascii="Times New Roman" w:hAnsi="Times New Roman" w:cs="Times New Roman"/>
                <w:color w:val="000000" w:themeColor="text1"/>
                <w:szCs w:val="24"/>
                <w14:textFill>
                  <w14:solidFill>
                    <w14:schemeClr w14:val="tx1"/>
                  </w14:solidFill>
                </w14:textFill>
              </w:rPr>
              <w:t>.简单防渗区</w:t>
            </w:r>
          </w:p>
          <w:p w14:paraId="3788FEEF">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除重点防渗、一般防渗外，采用一般地面硬化。</w:t>
            </w:r>
          </w:p>
          <w:p w14:paraId="1DA8E1D4">
            <w:pPr>
              <w:widowControl w:val="0"/>
              <w:tabs>
                <w:tab w:val="left" w:pos="7200"/>
              </w:tabs>
              <w:ind w:firstLine="480"/>
              <w:textAlignment w:val="baseline"/>
              <w:rPr>
                <w:rFonts w:hint="eastAsia"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3</w:t>
            </w:r>
            <w:r>
              <w:rPr>
                <w:rFonts w:hint="eastAsia" w:cs="Times New Roman"/>
                <w:color w:val="000000" w:themeColor="text1"/>
                <w:szCs w:val="24"/>
                <w:lang w:eastAsia="zh-CN"/>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环境监测计划</w:t>
            </w:r>
          </w:p>
          <w:p w14:paraId="6F871DFF">
            <w:pPr>
              <w:pStyle w:val="312"/>
              <w:widowControl w:val="0"/>
              <w:numPr>
                <w:ilvl w:val="0"/>
                <w:numId w:val="14"/>
              </w:numPr>
              <w:spacing w:line="240" w:lineRule="auto"/>
              <w:ind w:left="-2" w:firstLine="482" w:firstLineChars="0"/>
              <w:textAlignment w:val="baseline"/>
              <w:rPr>
                <w:rFonts w:ascii="宋体" w:hAnsi="宋体" w:cs="宋体"/>
                <w:b/>
                <w:color w:val="000000" w:themeColor="text1"/>
                <w14:textFill>
                  <w14:solidFill>
                    <w14:schemeClr w14:val="tx1"/>
                  </w14:solidFill>
                </w14:textFill>
              </w:rPr>
            </w:pPr>
            <w:r>
              <w:rPr>
                <w:rFonts w:hint="eastAsia" w:ascii="宋体" w:hAnsi="宋体" w:cs="宋体"/>
                <w:b/>
                <w:color w:val="000000" w:themeColor="text1"/>
                <w:lang w:val="en-US" w:eastAsia="zh-CN"/>
                <w14:textFill>
                  <w14:solidFill>
                    <w14:schemeClr w14:val="tx1"/>
                  </w14:solidFill>
                </w14:textFill>
              </w:rPr>
              <w:t xml:space="preserve">           营运期地下水、土壤环境监测计划</w:t>
            </w:r>
          </w:p>
          <w:tbl>
            <w:tblPr>
              <w:tblStyle w:val="82"/>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autofit"/>
              <w:tblCellMar>
                <w:top w:w="0" w:type="dxa"/>
                <w:left w:w="108" w:type="dxa"/>
                <w:bottom w:w="0" w:type="dxa"/>
                <w:right w:w="108" w:type="dxa"/>
              </w:tblCellMar>
            </w:tblPr>
            <w:tblGrid>
              <w:gridCol w:w="962"/>
              <w:gridCol w:w="1297"/>
              <w:gridCol w:w="1824"/>
              <w:gridCol w:w="1156"/>
              <w:gridCol w:w="3715"/>
            </w:tblGrid>
            <w:tr w14:paraId="58A0ED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40" w:hRule="atLeast"/>
                <w:jc w:val="center"/>
              </w:trPr>
              <w:tc>
                <w:tcPr>
                  <w:tcW w:w="537" w:type="pct"/>
                  <w:tcBorders>
                    <w:top w:val="single" w:color="000000" w:sz="8" w:space="0"/>
                    <w:left w:val="single" w:color="000000" w:sz="8" w:space="0"/>
                    <w:bottom w:val="single" w:color="000000" w:sz="8" w:space="0"/>
                    <w:right w:val="single" w:color="000000" w:sz="4" w:space="0"/>
                  </w:tcBorders>
                  <w:vAlign w:val="center"/>
                </w:tcPr>
                <w:p w14:paraId="2D96B6D9">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w:t>
                  </w:r>
                </w:p>
              </w:tc>
              <w:tc>
                <w:tcPr>
                  <w:tcW w:w="724" w:type="pct"/>
                  <w:tcBorders>
                    <w:top w:val="single" w:color="000000" w:sz="8" w:space="0"/>
                    <w:left w:val="single" w:color="000000" w:sz="4" w:space="0"/>
                    <w:bottom w:val="single" w:color="000000" w:sz="8" w:space="0"/>
                    <w:right w:val="single" w:color="000000" w:sz="4" w:space="0"/>
                  </w:tcBorders>
                  <w:vAlign w:val="center"/>
                </w:tcPr>
                <w:p w14:paraId="09F17C60">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1018" w:type="pct"/>
                  <w:tcBorders>
                    <w:top w:val="single" w:color="000000" w:sz="8" w:space="0"/>
                    <w:left w:val="single" w:color="000000" w:sz="4" w:space="0"/>
                    <w:bottom w:val="single" w:color="000000" w:sz="8" w:space="0"/>
                    <w:right w:val="single" w:color="000000" w:sz="4" w:space="0"/>
                  </w:tcBorders>
                  <w:vAlign w:val="center"/>
                </w:tcPr>
                <w:p w14:paraId="103D24AD">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w:t>
                  </w:r>
                </w:p>
              </w:tc>
              <w:tc>
                <w:tcPr>
                  <w:tcW w:w="645" w:type="pct"/>
                  <w:tcBorders>
                    <w:top w:val="single" w:color="000000" w:sz="8" w:space="0"/>
                    <w:left w:val="single" w:color="000000" w:sz="4" w:space="0"/>
                    <w:bottom w:val="single" w:color="000000" w:sz="8" w:space="0"/>
                    <w:right w:val="single" w:color="000000" w:sz="4" w:space="0"/>
                  </w:tcBorders>
                  <w:vAlign w:val="center"/>
                </w:tcPr>
                <w:p w14:paraId="14B4C45C">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监测频次</w:t>
                  </w:r>
                </w:p>
              </w:tc>
              <w:tc>
                <w:tcPr>
                  <w:tcW w:w="2073" w:type="pct"/>
                  <w:tcBorders>
                    <w:top w:val="single" w:color="000000" w:sz="8" w:space="0"/>
                    <w:left w:val="single" w:color="000000" w:sz="4" w:space="0"/>
                    <w:bottom w:val="single" w:color="000000" w:sz="8" w:space="0"/>
                    <w:right w:val="single" w:color="000000" w:sz="8" w:space="0"/>
                  </w:tcBorders>
                  <w:vAlign w:val="center"/>
                </w:tcPr>
                <w:p w14:paraId="75DDCA25">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执行标准</w:t>
                  </w:r>
                </w:p>
              </w:tc>
            </w:tr>
            <w:tr w14:paraId="4FBF90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40" w:hRule="atLeast"/>
                <w:jc w:val="center"/>
              </w:trPr>
              <w:tc>
                <w:tcPr>
                  <w:tcW w:w="537" w:type="pct"/>
                  <w:tcBorders>
                    <w:top w:val="single" w:color="000000" w:sz="8" w:space="0"/>
                    <w:left w:val="single" w:color="000000" w:sz="8" w:space="0"/>
                    <w:bottom w:val="single" w:color="000000" w:sz="8" w:space="0"/>
                    <w:right w:val="single" w:color="000000" w:sz="4" w:space="0"/>
                  </w:tcBorders>
                  <w:vAlign w:val="center"/>
                </w:tcPr>
                <w:p w14:paraId="30C9A4B0">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w:t>
                  </w:r>
                </w:p>
              </w:tc>
              <w:tc>
                <w:tcPr>
                  <w:tcW w:w="724" w:type="pct"/>
                  <w:tcBorders>
                    <w:top w:val="single" w:color="000000" w:sz="8" w:space="0"/>
                    <w:left w:val="single" w:color="000000" w:sz="4" w:space="0"/>
                    <w:bottom w:val="single" w:color="000000" w:sz="8" w:space="0"/>
                    <w:right w:val="single" w:color="000000" w:sz="4" w:space="0"/>
                  </w:tcBorders>
                  <w:vAlign w:val="center"/>
                </w:tcPr>
                <w:p w14:paraId="42BFD44C">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厂区自备井</w:t>
                  </w:r>
                </w:p>
              </w:tc>
              <w:tc>
                <w:tcPr>
                  <w:tcW w:w="1018" w:type="pct"/>
                  <w:tcBorders>
                    <w:top w:val="single" w:color="000000" w:sz="8" w:space="0"/>
                    <w:left w:val="single" w:color="000000" w:sz="4" w:space="0"/>
                    <w:bottom w:val="single" w:color="000000" w:sz="8" w:space="0"/>
                    <w:right w:val="single" w:color="000000" w:sz="4" w:space="0"/>
                  </w:tcBorders>
                  <w:vAlign w:val="center"/>
                </w:tcPr>
                <w:p w14:paraId="544031B6">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pH、溶解性总固体、</w:t>
                  </w:r>
                  <w:r>
                    <w:rPr>
                      <w:rFonts w:hint="default" w:ascii="Times New Roman" w:hAnsi="Times New Roman" w:cs="Times New Roman"/>
                      <w:color w:val="000000" w:themeColor="text1"/>
                      <w:lang w:val="en-US" w:eastAsia="zh-CN"/>
                      <w14:textFill>
                        <w14:solidFill>
                          <w14:schemeClr w14:val="tx1"/>
                        </w14:solidFill>
                      </w14:textFill>
                    </w:rPr>
                    <w:t>COD、</w:t>
                  </w:r>
                  <w:r>
                    <w:rPr>
                      <w:rFonts w:hint="default" w:ascii="Times New Roman" w:hAnsi="Times New Roman" w:cs="Times New Roman"/>
                      <w:color w:val="000000" w:themeColor="text1"/>
                      <w14:textFill>
                        <w14:solidFill>
                          <w14:schemeClr w14:val="tx1"/>
                        </w14:solidFill>
                      </w14:textFill>
                    </w:rPr>
                    <w:t>总硬度、耗氧量、氨氮</w:t>
                  </w:r>
                </w:p>
              </w:tc>
              <w:tc>
                <w:tcPr>
                  <w:tcW w:w="645" w:type="pct"/>
                  <w:tcBorders>
                    <w:top w:val="single" w:color="000000" w:sz="8" w:space="0"/>
                    <w:left w:val="single" w:color="000000" w:sz="4" w:space="0"/>
                    <w:bottom w:val="single" w:color="000000" w:sz="8" w:space="0"/>
                    <w:right w:val="single" w:color="000000" w:sz="4" w:space="0"/>
                  </w:tcBorders>
                  <w:vAlign w:val="center"/>
                </w:tcPr>
                <w:p w14:paraId="3DC0059C">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1次/年</w:t>
                  </w:r>
                </w:p>
              </w:tc>
              <w:tc>
                <w:tcPr>
                  <w:tcW w:w="2073" w:type="pct"/>
                  <w:tcBorders>
                    <w:top w:val="single" w:color="000000" w:sz="8" w:space="0"/>
                    <w:left w:val="single" w:color="000000" w:sz="4" w:space="0"/>
                    <w:bottom w:val="single" w:color="000000" w:sz="8" w:space="0"/>
                    <w:right w:val="single" w:color="000000" w:sz="8" w:space="0"/>
                  </w:tcBorders>
                  <w:vAlign w:val="center"/>
                </w:tcPr>
                <w:p w14:paraId="0AA3FA22">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《地下水环境质量标准》(GB/T14848-2017)中Ⅲ类水质标准</w:t>
                  </w:r>
                </w:p>
              </w:tc>
            </w:tr>
            <w:tr w14:paraId="4DAED2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40" w:hRule="atLeast"/>
                <w:jc w:val="center"/>
              </w:trPr>
              <w:tc>
                <w:tcPr>
                  <w:tcW w:w="537" w:type="pct"/>
                  <w:tcBorders>
                    <w:top w:val="single" w:color="000000" w:sz="8" w:space="0"/>
                    <w:left w:val="single" w:color="000000" w:sz="8" w:space="0"/>
                    <w:bottom w:val="single" w:color="000000" w:sz="8" w:space="0"/>
                    <w:right w:val="single" w:color="000000" w:sz="4" w:space="0"/>
                  </w:tcBorders>
                  <w:vAlign w:val="center"/>
                </w:tcPr>
                <w:p w14:paraId="030E5719">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w:t>
                  </w:r>
                </w:p>
              </w:tc>
              <w:tc>
                <w:tcPr>
                  <w:tcW w:w="724" w:type="pct"/>
                  <w:tcBorders>
                    <w:top w:val="single" w:color="000000" w:sz="8" w:space="0"/>
                    <w:left w:val="single" w:color="000000" w:sz="4" w:space="0"/>
                    <w:bottom w:val="single" w:color="000000" w:sz="8" w:space="0"/>
                    <w:right w:val="single" w:color="000000" w:sz="4" w:space="0"/>
                  </w:tcBorders>
                  <w:vAlign w:val="center"/>
                </w:tcPr>
                <w:p w14:paraId="58301E1E">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厂区内</w:t>
                  </w:r>
                </w:p>
              </w:tc>
              <w:tc>
                <w:tcPr>
                  <w:tcW w:w="1018" w:type="pct"/>
                  <w:tcBorders>
                    <w:top w:val="single" w:color="000000" w:sz="8" w:space="0"/>
                    <w:left w:val="single" w:color="000000" w:sz="4" w:space="0"/>
                    <w:bottom w:val="single" w:color="000000" w:sz="8" w:space="0"/>
                    <w:right w:val="single" w:color="000000" w:sz="4" w:space="0"/>
                  </w:tcBorders>
                  <w:vAlign w:val="center"/>
                </w:tcPr>
                <w:p w14:paraId="49003C0B">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砷、镉、铬（六价）、铜、铅、汞、镍</w:t>
                  </w:r>
                </w:p>
              </w:tc>
              <w:tc>
                <w:tcPr>
                  <w:tcW w:w="645" w:type="pct"/>
                  <w:tcBorders>
                    <w:top w:val="single" w:color="000000" w:sz="8" w:space="0"/>
                    <w:left w:val="single" w:color="000000" w:sz="4" w:space="0"/>
                    <w:bottom w:val="single" w:color="000000" w:sz="8" w:space="0"/>
                    <w:right w:val="single" w:color="000000" w:sz="4" w:space="0"/>
                  </w:tcBorders>
                  <w:vAlign w:val="center"/>
                </w:tcPr>
                <w:p w14:paraId="290C45FE">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1次/5年</w:t>
                  </w:r>
                </w:p>
              </w:tc>
              <w:tc>
                <w:tcPr>
                  <w:tcW w:w="2073" w:type="pct"/>
                  <w:tcBorders>
                    <w:top w:val="single" w:color="000000" w:sz="8" w:space="0"/>
                    <w:left w:val="single" w:color="000000" w:sz="4" w:space="0"/>
                    <w:bottom w:val="single" w:color="000000" w:sz="8" w:space="0"/>
                    <w:right w:val="single" w:color="000000" w:sz="8" w:space="0"/>
                  </w:tcBorders>
                  <w:vAlign w:val="center"/>
                </w:tcPr>
                <w:p w14:paraId="56E5EC80">
                  <w:pPr>
                    <w:pStyle w:val="144"/>
                    <w:autoSpaceDE/>
                    <w:autoSpaceDN/>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《土壤环境质量标准建设用地土壤污染风险管控标准》（GB36600-2018）</w:t>
                  </w:r>
                </w:p>
              </w:tc>
            </w:tr>
          </w:tbl>
          <w:p w14:paraId="46CB76F7">
            <w:pPr>
              <w:widowControl w:val="0"/>
              <w:tabs>
                <w:tab w:val="left" w:pos="7200"/>
              </w:tabs>
              <w:ind w:firstLine="480"/>
              <w:textAlignment w:val="baseline"/>
              <w:rPr>
                <w:rFonts w:hint="eastAsia" w:cs="Times New Roman"/>
                <w:b/>
                <w:bCs/>
                <w:color w:val="000000" w:themeColor="text1"/>
                <w:szCs w:val="24"/>
                <w:lang w:val="en-US" w:eastAsia="zh-CN"/>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6.生态环境</w:t>
            </w:r>
          </w:p>
          <w:p w14:paraId="069FB3A2">
            <w:pPr>
              <w:widowControl w:val="0"/>
              <w:tabs>
                <w:tab w:val="left" w:pos="7200"/>
              </w:tabs>
              <w:ind w:firstLine="480"/>
              <w:textAlignment w:val="baseline"/>
              <w:rPr>
                <w:rFonts w:hint="eastAsia"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本项目用地范围内不涉及生态环境保护目标，则本评价不明确运营期生态保护措施。</w:t>
            </w:r>
          </w:p>
          <w:p w14:paraId="37BAEF6C">
            <w:pPr>
              <w:widowControl w:val="0"/>
              <w:tabs>
                <w:tab w:val="left" w:pos="7200"/>
              </w:tabs>
              <w:ind w:firstLine="480"/>
              <w:textAlignment w:val="baseline"/>
              <w:rPr>
                <w:rFonts w:hint="eastAsia" w:cs="Times New Roman"/>
                <w:b/>
                <w:bCs/>
                <w:color w:val="000000" w:themeColor="text1"/>
                <w:szCs w:val="24"/>
                <w:lang w:val="en-US" w:eastAsia="zh-CN"/>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7.环保投资</w:t>
            </w:r>
          </w:p>
          <w:p w14:paraId="197FC419">
            <w:pPr>
              <w:widowControl w:val="0"/>
              <w:tabs>
                <w:tab w:val="left" w:pos="7200"/>
              </w:tabs>
              <w:ind w:firstLine="480"/>
              <w:textAlignment w:val="baseline"/>
              <w:rPr>
                <w:rFonts w:hint="eastAsia"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项目总投资500万元，其中环保投资20万元，占总投资的4%，项目环保投资见表44。</w:t>
            </w:r>
          </w:p>
          <w:p w14:paraId="280DBA94">
            <w:pPr>
              <w:pStyle w:val="31"/>
              <w:rPr>
                <w:rFonts w:hint="eastAsia"/>
                <w:color w:val="000000" w:themeColor="text1"/>
                <w:lang w:val="en-US" w:eastAsia="zh-CN"/>
                <w14:textFill>
                  <w14:solidFill>
                    <w14:schemeClr w14:val="tx1"/>
                  </w14:solidFill>
                </w14:textFill>
              </w:rPr>
            </w:pPr>
          </w:p>
          <w:p w14:paraId="5592BFF5">
            <w:pPr>
              <w:pStyle w:val="312"/>
              <w:widowControl w:val="0"/>
              <w:numPr>
                <w:ilvl w:val="0"/>
                <w:numId w:val="14"/>
              </w:numPr>
              <w:spacing w:line="240" w:lineRule="auto"/>
              <w:ind w:left="-2" w:firstLine="482" w:firstLineChars="0"/>
              <w:textAlignment w:val="baseline"/>
              <w:rPr>
                <w:rFonts w:hint="eastAsia" w:ascii="宋体" w:hAnsi="宋体" w:cs="宋体"/>
                <w:b/>
                <w:color w:val="000000" w:themeColor="text1"/>
                <w:lang w:val="en-US" w:eastAsia="zh-CN"/>
                <w14:textFill>
                  <w14:solidFill>
                    <w14:schemeClr w14:val="tx1"/>
                  </w14:solidFill>
                </w14:textFill>
              </w:rPr>
            </w:pPr>
            <w:r>
              <w:rPr>
                <w:rFonts w:hint="eastAsia" w:ascii="宋体" w:hAnsi="宋体" w:cs="宋体"/>
                <w:b/>
                <w:color w:val="000000" w:themeColor="text1"/>
                <w:lang w:val="en-US" w:eastAsia="zh-CN"/>
                <w14:textFill>
                  <w14:solidFill>
                    <w14:schemeClr w14:val="tx1"/>
                  </w14:solidFill>
                </w14:textFill>
              </w:rPr>
              <w:t xml:space="preserve">                     环保投资一览表</w:t>
            </w:r>
          </w:p>
          <w:tbl>
            <w:tblPr>
              <w:tblStyle w:val="82"/>
              <w:tblW w:w="4997"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791"/>
              <w:gridCol w:w="3927"/>
              <w:gridCol w:w="992"/>
              <w:gridCol w:w="1486"/>
            </w:tblGrid>
            <w:tr w14:paraId="2744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428" w:type="pct"/>
                  <w:tcBorders>
                    <w:tl2br w:val="nil"/>
                    <w:tr2bl w:val="nil"/>
                  </w:tcBorders>
                  <w:vAlign w:val="center"/>
                </w:tcPr>
                <w:p w14:paraId="79DB01C7">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类别</w:t>
                  </w:r>
                </w:p>
              </w:tc>
              <w:tc>
                <w:tcPr>
                  <w:tcW w:w="999" w:type="pct"/>
                  <w:tcBorders>
                    <w:tl2br w:val="nil"/>
                    <w:tr2bl w:val="nil"/>
                  </w:tcBorders>
                  <w:vAlign w:val="center"/>
                </w:tcPr>
                <w:p w14:paraId="61E01F1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污染源</w:t>
                  </w:r>
                </w:p>
              </w:tc>
              <w:tc>
                <w:tcPr>
                  <w:tcW w:w="2189" w:type="pct"/>
                  <w:tcBorders>
                    <w:tl2br w:val="nil"/>
                    <w:tr2bl w:val="nil"/>
                  </w:tcBorders>
                  <w:vAlign w:val="center"/>
                </w:tcPr>
                <w:p w14:paraId="6E15692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防治措施</w:t>
                  </w:r>
                </w:p>
              </w:tc>
              <w:tc>
                <w:tcPr>
                  <w:tcW w:w="552" w:type="pct"/>
                  <w:tcBorders>
                    <w:tl2br w:val="nil"/>
                    <w:tr2bl w:val="nil"/>
                  </w:tcBorders>
                  <w:vAlign w:val="center"/>
                </w:tcPr>
                <w:p w14:paraId="466F0489">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数量</w:t>
                  </w:r>
                </w:p>
              </w:tc>
              <w:tc>
                <w:tcPr>
                  <w:tcW w:w="829" w:type="pct"/>
                  <w:tcBorders>
                    <w:tl2br w:val="nil"/>
                    <w:tr2bl w:val="nil"/>
                  </w:tcBorders>
                  <w:vAlign w:val="center"/>
                </w:tcPr>
                <w:p w14:paraId="2C0DC4D3">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环保投资（万元）</w:t>
                  </w:r>
                </w:p>
              </w:tc>
            </w:tr>
            <w:tr w14:paraId="468F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428" w:type="pct"/>
                  <w:vMerge w:val="restart"/>
                  <w:tcBorders>
                    <w:tl2br w:val="nil"/>
                    <w:tr2bl w:val="nil"/>
                  </w:tcBorders>
                  <w:vAlign w:val="center"/>
                </w:tcPr>
                <w:p w14:paraId="112CC8D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废气</w:t>
                  </w:r>
                </w:p>
              </w:tc>
              <w:tc>
                <w:tcPr>
                  <w:tcW w:w="999" w:type="pct"/>
                  <w:tcBorders>
                    <w:tl2br w:val="nil"/>
                    <w:tr2bl w:val="nil"/>
                  </w:tcBorders>
                  <w:vAlign w:val="center"/>
                </w:tcPr>
                <w:p w14:paraId="7E221A39">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烧结砖、免烧砖制砖</w:t>
                  </w:r>
                  <w:r>
                    <w:rPr>
                      <w:rFonts w:hint="eastAsia" w:cs="宋体"/>
                      <w:color w:val="000000" w:themeColor="text1"/>
                      <w:lang w:eastAsia="zh-CN"/>
                      <w14:textFill>
                        <w14:solidFill>
                          <w14:schemeClr w14:val="tx1"/>
                        </w14:solidFill>
                      </w14:textFill>
                    </w:rPr>
                    <w:t>、</w:t>
                  </w:r>
                  <w:r>
                    <w:rPr>
                      <w:rFonts w:hint="eastAsia" w:cs="宋体"/>
                      <w:color w:val="000000" w:themeColor="text1"/>
                      <w14:textFill>
                        <w14:solidFill>
                          <w14:schemeClr w14:val="tx1"/>
                        </w14:solidFill>
                      </w14:textFill>
                    </w:rPr>
                    <w:t>破碎</w:t>
                  </w:r>
                  <w:r>
                    <w:rPr>
                      <w:rFonts w:hint="eastAsia" w:cs="宋体"/>
                      <w:color w:val="000000" w:themeColor="text1"/>
                      <w:lang w:eastAsia="zh-CN"/>
                      <w14:textFill>
                        <w14:solidFill>
                          <w14:schemeClr w14:val="tx1"/>
                        </w14:solidFill>
                      </w14:textFill>
                    </w:rPr>
                    <w:t>、</w:t>
                  </w:r>
                  <w:r>
                    <w:rPr>
                      <w:rFonts w:hint="eastAsia" w:cs="宋体"/>
                      <w:color w:val="000000" w:themeColor="text1"/>
                      <w14:textFill>
                        <w14:solidFill>
                          <w14:schemeClr w14:val="tx1"/>
                        </w14:solidFill>
                      </w14:textFill>
                    </w:rPr>
                    <w:t>筛分</w:t>
                  </w:r>
                </w:p>
              </w:tc>
              <w:tc>
                <w:tcPr>
                  <w:tcW w:w="2189" w:type="pct"/>
                  <w:tcBorders>
                    <w:tl2br w:val="nil"/>
                    <w:tr2bl w:val="nil"/>
                  </w:tcBorders>
                  <w:vAlign w:val="center"/>
                </w:tcPr>
                <w:p w14:paraId="7D55046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破碎筛分车间为全密闭车间。破碎、筛分粉尘经集气罩+布袋除尘器处理</w:t>
                  </w:r>
                </w:p>
              </w:tc>
              <w:tc>
                <w:tcPr>
                  <w:tcW w:w="552" w:type="pct"/>
                  <w:tcBorders>
                    <w:tl2br w:val="nil"/>
                    <w:tr2bl w:val="nil"/>
                  </w:tcBorders>
                  <w:vAlign w:val="center"/>
                </w:tcPr>
                <w:p w14:paraId="4196BB75">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1套</w:t>
                  </w:r>
                </w:p>
              </w:tc>
              <w:tc>
                <w:tcPr>
                  <w:tcW w:w="829" w:type="pct"/>
                  <w:tcBorders>
                    <w:tl2br w:val="nil"/>
                    <w:tr2bl w:val="nil"/>
                  </w:tcBorders>
                  <w:vAlign w:val="center"/>
                </w:tcPr>
                <w:p w14:paraId="4EA261D4">
                  <w:pPr>
                    <w:pStyle w:val="144"/>
                    <w:autoSpaceDE/>
                    <w:autoSpaceDN/>
                    <w:rPr>
                      <w:rFonts w:hint="default"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6EE4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8" w:type="pct"/>
                  <w:vMerge w:val="continue"/>
                  <w:tcBorders>
                    <w:tl2br w:val="nil"/>
                    <w:tr2bl w:val="nil"/>
                  </w:tcBorders>
                  <w:vAlign w:val="center"/>
                </w:tcPr>
                <w:p w14:paraId="12BC7C13">
                  <w:pPr>
                    <w:pStyle w:val="144"/>
                    <w:autoSpaceDE/>
                    <w:autoSpaceDN/>
                    <w:rPr>
                      <w:rFonts w:hint="eastAsia" w:cs="宋体"/>
                      <w:color w:val="000000" w:themeColor="text1"/>
                      <w14:textFill>
                        <w14:solidFill>
                          <w14:schemeClr w14:val="tx1"/>
                        </w14:solidFill>
                      </w14:textFill>
                    </w:rPr>
                  </w:pPr>
                </w:p>
              </w:tc>
              <w:tc>
                <w:tcPr>
                  <w:tcW w:w="999" w:type="pct"/>
                  <w:vMerge w:val="restart"/>
                  <w:tcBorders>
                    <w:tl2br w:val="nil"/>
                    <w:tr2bl w:val="nil"/>
                  </w:tcBorders>
                  <w:vAlign w:val="center"/>
                </w:tcPr>
                <w:p w14:paraId="63F0A5A3">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隧道窑</w:t>
                  </w:r>
                </w:p>
              </w:tc>
              <w:tc>
                <w:tcPr>
                  <w:tcW w:w="2189" w:type="pct"/>
                  <w:tcBorders>
                    <w:tl2br w:val="nil"/>
                    <w:tr2bl w:val="nil"/>
                  </w:tcBorders>
                  <w:vAlign w:val="center"/>
                </w:tcPr>
                <w:p w14:paraId="220F5C0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湿法除尘+双碱法脱硫设置一套+28m高烟囱一根</w:t>
                  </w:r>
                </w:p>
              </w:tc>
              <w:tc>
                <w:tcPr>
                  <w:tcW w:w="552" w:type="pct"/>
                  <w:tcBorders>
                    <w:tl2br w:val="nil"/>
                    <w:tr2bl w:val="nil"/>
                  </w:tcBorders>
                  <w:vAlign w:val="center"/>
                </w:tcPr>
                <w:p w14:paraId="424A04AE">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1套</w:t>
                  </w:r>
                </w:p>
              </w:tc>
              <w:tc>
                <w:tcPr>
                  <w:tcW w:w="829" w:type="pct"/>
                  <w:tcBorders>
                    <w:tl2br w:val="nil"/>
                    <w:tr2bl w:val="nil"/>
                  </w:tcBorders>
                  <w:vAlign w:val="center"/>
                </w:tcPr>
                <w:p w14:paraId="2CA27163">
                  <w:pPr>
                    <w:pStyle w:val="144"/>
                    <w:autoSpaceDE/>
                    <w:autoSpaceDN/>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093E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8" w:type="pct"/>
                  <w:vMerge w:val="continue"/>
                  <w:tcBorders>
                    <w:tl2br w:val="nil"/>
                    <w:tr2bl w:val="nil"/>
                  </w:tcBorders>
                  <w:vAlign w:val="center"/>
                </w:tcPr>
                <w:p w14:paraId="54A2853F">
                  <w:pPr>
                    <w:pStyle w:val="144"/>
                    <w:autoSpaceDE/>
                    <w:autoSpaceDN/>
                    <w:rPr>
                      <w:rFonts w:hint="eastAsia" w:cs="宋体"/>
                      <w:color w:val="000000" w:themeColor="text1"/>
                      <w14:textFill>
                        <w14:solidFill>
                          <w14:schemeClr w14:val="tx1"/>
                        </w14:solidFill>
                      </w14:textFill>
                    </w:rPr>
                  </w:pPr>
                </w:p>
              </w:tc>
              <w:tc>
                <w:tcPr>
                  <w:tcW w:w="999" w:type="pct"/>
                  <w:vMerge w:val="continue"/>
                  <w:tcBorders>
                    <w:tl2br w:val="nil"/>
                    <w:tr2bl w:val="nil"/>
                  </w:tcBorders>
                  <w:vAlign w:val="center"/>
                </w:tcPr>
                <w:p w14:paraId="79DE9521">
                  <w:pPr>
                    <w:pStyle w:val="144"/>
                    <w:autoSpaceDE/>
                    <w:autoSpaceDN/>
                    <w:rPr>
                      <w:rFonts w:hint="eastAsia" w:cs="宋体"/>
                      <w:color w:val="000000" w:themeColor="text1"/>
                      <w14:textFill>
                        <w14:solidFill>
                          <w14:schemeClr w14:val="tx1"/>
                        </w14:solidFill>
                      </w14:textFill>
                    </w:rPr>
                  </w:pPr>
                </w:p>
              </w:tc>
              <w:tc>
                <w:tcPr>
                  <w:tcW w:w="2189" w:type="pct"/>
                  <w:tcBorders>
                    <w:tl2br w:val="nil"/>
                    <w:tr2bl w:val="nil"/>
                  </w:tcBorders>
                  <w:vAlign w:val="center"/>
                </w:tcPr>
                <w:p w14:paraId="6B0C0B9F">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湿法除尘+双碱法脱硫设置一套+28m高烟囱一根</w:t>
                  </w:r>
                </w:p>
              </w:tc>
              <w:tc>
                <w:tcPr>
                  <w:tcW w:w="552" w:type="pct"/>
                  <w:tcBorders>
                    <w:tl2br w:val="nil"/>
                    <w:tr2bl w:val="nil"/>
                  </w:tcBorders>
                  <w:vAlign w:val="center"/>
                </w:tcPr>
                <w:p w14:paraId="4826BDAF">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1套</w:t>
                  </w:r>
                </w:p>
              </w:tc>
              <w:tc>
                <w:tcPr>
                  <w:tcW w:w="829" w:type="pct"/>
                  <w:tcBorders>
                    <w:tl2br w:val="nil"/>
                    <w:tr2bl w:val="nil"/>
                  </w:tcBorders>
                  <w:vAlign w:val="center"/>
                </w:tcPr>
                <w:p w14:paraId="1147C435">
                  <w:pPr>
                    <w:pStyle w:val="144"/>
                    <w:autoSpaceDE/>
                    <w:autoSpaceDN/>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155B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trPr>
              <w:tc>
                <w:tcPr>
                  <w:tcW w:w="428" w:type="pct"/>
                  <w:vMerge w:val="continue"/>
                  <w:tcBorders>
                    <w:tl2br w:val="nil"/>
                    <w:tr2bl w:val="nil"/>
                  </w:tcBorders>
                  <w:vAlign w:val="center"/>
                </w:tcPr>
                <w:p w14:paraId="4EF2C2BB">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52254EC2">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食堂油烟</w:t>
                  </w:r>
                </w:p>
              </w:tc>
              <w:tc>
                <w:tcPr>
                  <w:tcW w:w="2189" w:type="pct"/>
                  <w:tcBorders>
                    <w:tl2br w:val="nil"/>
                    <w:tr2bl w:val="nil"/>
                  </w:tcBorders>
                  <w:vAlign w:val="center"/>
                </w:tcPr>
                <w:p w14:paraId="7C4B459C">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油烟净化器</w:t>
                  </w:r>
                </w:p>
              </w:tc>
              <w:tc>
                <w:tcPr>
                  <w:tcW w:w="552" w:type="pct"/>
                  <w:tcBorders>
                    <w:tl2br w:val="nil"/>
                    <w:tr2bl w:val="nil"/>
                  </w:tcBorders>
                  <w:vAlign w:val="center"/>
                </w:tcPr>
                <w:p w14:paraId="6EBA6968">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1套</w:t>
                  </w:r>
                </w:p>
              </w:tc>
              <w:tc>
                <w:tcPr>
                  <w:tcW w:w="829" w:type="pct"/>
                  <w:tcBorders>
                    <w:tl2br w:val="nil"/>
                    <w:tr2bl w:val="nil"/>
                  </w:tcBorders>
                  <w:vAlign w:val="center"/>
                </w:tcPr>
                <w:p w14:paraId="006A9ED1">
                  <w:pPr>
                    <w:pStyle w:val="144"/>
                    <w:autoSpaceDE/>
                    <w:autoSpaceDN/>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26D7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trPr>
              <w:tc>
                <w:tcPr>
                  <w:tcW w:w="428" w:type="pct"/>
                  <w:vMerge w:val="continue"/>
                  <w:tcBorders>
                    <w:tl2br w:val="nil"/>
                    <w:tr2bl w:val="nil"/>
                  </w:tcBorders>
                  <w:vAlign w:val="center"/>
                </w:tcPr>
                <w:p w14:paraId="6C48C1B7">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3E3C6BAD">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水泥筒仓</w:t>
                  </w:r>
                </w:p>
              </w:tc>
              <w:tc>
                <w:tcPr>
                  <w:tcW w:w="2189" w:type="pct"/>
                  <w:tcBorders>
                    <w:tl2br w:val="nil"/>
                    <w:tr2bl w:val="nil"/>
                  </w:tcBorders>
                  <w:vAlign w:val="center"/>
                </w:tcPr>
                <w:p w14:paraId="2EFB9428">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布袋除尘器处理+排气口排放。除尘效率99%</w:t>
                  </w:r>
                </w:p>
              </w:tc>
              <w:tc>
                <w:tcPr>
                  <w:tcW w:w="552" w:type="pct"/>
                  <w:tcBorders>
                    <w:tl2br w:val="nil"/>
                    <w:tr2bl w:val="nil"/>
                  </w:tcBorders>
                  <w:vAlign w:val="center"/>
                </w:tcPr>
                <w:p w14:paraId="046F80E0">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4套</w:t>
                  </w:r>
                </w:p>
              </w:tc>
              <w:tc>
                <w:tcPr>
                  <w:tcW w:w="829" w:type="pct"/>
                  <w:tcBorders>
                    <w:tl2br w:val="nil"/>
                    <w:tr2bl w:val="nil"/>
                  </w:tcBorders>
                  <w:vAlign w:val="center"/>
                </w:tcPr>
                <w:p w14:paraId="44AFC9A5">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5505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tcBorders>
                    <w:tl2br w:val="nil"/>
                    <w:tr2bl w:val="nil"/>
                  </w:tcBorders>
                  <w:vAlign w:val="center"/>
                </w:tcPr>
                <w:p w14:paraId="3A6B870A">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4A2870D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原料输送、转载</w:t>
                  </w:r>
                </w:p>
              </w:tc>
              <w:tc>
                <w:tcPr>
                  <w:tcW w:w="2189" w:type="pct"/>
                  <w:tcBorders>
                    <w:tl2br w:val="nil"/>
                    <w:tr2bl w:val="nil"/>
                  </w:tcBorders>
                  <w:vAlign w:val="center"/>
                </w:tcPr>
                <w:p w14:paraId="0C7D924B">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全封闭的皮带走廊，受煤坑和转折跌落点处设雾炮装置</w:t>
                  </w:r>
                </w:p>
              </w:tc>
              <w:tc>
                <w:tcPr>
                  <w:tcW w:w="552" w:type="pct"/>
                  <w:tcBorders>
                    <w:tl2br w:val="nil"/>
                    <w:tr2bl w:val="nil"/>
                  </w:tcBorders>
                  <w:vAlign w:val="center"/>
                </w:tcPr>
                <w:p w14:paraId="486204D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1套</w:t>
                  </w:r>
                </w:p>
              </w:tc>
              <w:tc>
                <w:tcPr>
                  <w:tcW w:w="829" w:type="pct"/>
                  <w:tcBorders>
                    <w:tl2br w:val="nil"/>
                    <w:tr2bl w:val="nil"/>
                  </w:tcBorders>
                  <w:vAlign w:val="center"/>
                </w:tcPr>
                <w:p w14:paraId="73606B6B">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0983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tcBorders>
                    <w:tl2br w:val="nil"/>
                    <w:tr2bl w:val="nil"/>
                  </w:tcBorders>
                  <w:vAlign w:val="center"/>
                </w:tcPr>
                <w:p w14:paraId="5BB0F496">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2EA4018C">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道路扬尘</w:t>
                  </w:r>
                </w:p>
              </w:tc>
              <w:tc>
                <w:tcPr>
                  <w:tcW w:w="2189" w:type="pct"/>
                  <w:tcBorders>
                    <w:tl2br w:val="nil"/>
                    <w:tr2bl w:val="nil"/>
                  </w:tcBorders>
                  <w:vAlign w:val="center"/>
                </w:tcPr>
                <w:p w14:paraId="64DC36A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路面硬化，洒水抑尘车辆篷布遮盖，限载限速</w:t>
                  </w:r>
                </w:p>
              </w:tc>
              <w:tc>
                <w:tcPr>
                  <w:tcW w:w="552" w:type="pct"/>
                  <w:tcBorders>
                    <w:tl2br w:val="nil"/>
                    <w:tr2bl w:val="nil"/>
                  </w:tcBorders>
                  <w:vAlign w:val="center"/>
                </w:tcPr>
                <w:p w14:paraId="6F292929">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1套</w:t>
                  </w:r>
                </w:p>
              </w:tc>
              <w:tc>
                <w:tcPr>
                  <w:tcW w:w="829" w:type="pct"/>
                  <w:tcBorders>
                    <w:tl2br w:val="nil"/>
                    <w:tr2bl w:val="nil"/>
                  </w:tcBorders>
                  <w:vAlign w:val="center"/>
                </w:tcPr>
                <w:p w14:paraId="191D063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2B09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27" w:type="pct"/>
                  <w:gridSpan w:val="2"/>
                  <w:tcBorders>
                    <w:tl2br w:val="nil"/>
                    <w:tr2bl w:val="nil"/>
                  </w:tcBorders>
                  <w:vAlign w:val="center"/>
                </w:tcPr>
                <w:p w14:paraId="1D724D10">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扬尘在线设备</w:t>
                  </w:r>
                </w:p>
              </w:tc>
              <w:tc>
                <w:tcPr>
                  <w:tcW w:w="2189" w:type="pct"/>
                  <w:tcBorders>
                    <w:tl2br w:val="nil"/>
                    <w:tr2bl w:val="nil"/>
                  </w:tcBorders>
                  <w:vAlign w:val="center"/>
                </w:tcPr>
                <w:p w14:paraId="4503156F">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在厂界四角建设4台扬尘在线监控设施</w:t>
                  </w:r>
                </w:p>
              </w:tc>
              <w:tc>
                <w:tcPr>
                  <w:tcW w:w="552" w:type="pct"/>
                  <w:tcBorders>
                    <w:tl2br w:val="nil"/>
                    <w:tr2bl w:val="nil"/>
                  </w:tcBorders>
                  <w:vAlign w:val="center"/>
                </w:tcPr>
                <w:p w14:paraId="225A2D20">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c>
                <w:tcPr>
                  <w:tcW w:w="829" w:type="pct"/>
                  <w:tcBorders>
                    <w:tl2br w:val="nil"/>
                    <w:tr2bl w:val="nil"/>
                  </w:tcBorders>
                  <w:vAlign w:val="center"/>
                </w:tcPr>
                <w:p w14:paraId="7881EA6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4C00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17" w:type="pct"/>
                  <w:gridSpan w:val="3"/>
                  <w:tcBorders>
                    <w:tl2br w:val="nil"/>
                    <w:tr2bl w:val="nil"/>
                  </w:tcBorders>
                  <w:vAlign w:val="center"/>
                </w:tcPr>
                <w:p w14:paraId="28D558C3">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煤棚内CO、煤尘、温度探测装置</w:t>
                  </w:r>
                </w:p>
              </w:tc>
              <w:tc>
                <w:tcPr>
                  <w:tcW w:w="552" w:type="pct"/>
                  <w:tcBorders>
                    <w:tl2br w:val="nil"/>
                    <w:tr2bl w:val="nil"/>
                  </w:tcBorders>
                  <w:vAlign w:val="center"/>
                </w:tcPr>
                <w:p w14:paraId="1BBAF55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c>
                <w:tcPr>
                  <w:tcW w:w="829" w:type="pct"/>
                  <w:tcBorders>
                    <w:tl2br w:val="nil"/>
                    <w:tr2bl w:val="nil"/>
                  </w:tcBorders>
                  <w:vAlign w:val="center"/>
                </w:tcPr>
                <w:p w14:paraId="6E624BBD">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58C1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428" w:type="pct"/>
                  <w:vMerge w:val="restart"/>
                  <w:tcBorders>
                    <w:tl2br w:val="nil"/>
                    <w:tr2bl w:val="nil"/>
                  </w:tcBorders>
                  <w:vAlign w:val="center"/>
                </w:tcPr>
                <w:p w14:paraId="4AA1173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废水</w:t>
                  </w:r>
                </w:p>
              </w:tc>
              <w:tc>
                <w:tcPr>
                  <w:tcW w:w="999" w:type="pct"/>
                  <w:tcBorders>
                    <w:tl2br w:val="nil"/>
                    <w:tr2bl w:val="nil"/>
                  </w:tcBorders>
                  <w:vAlign w:val="center"/>
                </w:tcPr>
                <w:p w14:paraId="21044497">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生产废水</w:t>
                  </w:r>
                </w:p>
              </w:tc>
              <w:tc>
                <w:tcPr>
                  <w:tcW w:w="2189" w:type="pct"/>
                  <w:tcBorders>
                    <w:tl2br w:val="nil"/>
                    <w:tr2bl w:val="nil"/>
                  </w:tcBorders>
                  <w:vAlign w:val="center"/>
                </w:tcPr>
                <w:p w14:paraId="3BC823C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一级闭路循环，设浓缩池2座</w:t>
                  </w:r>
                  <w:r>
                    <w:rPr>
                      <w:rFonts w:hint="eastAsia" w:cs="宋体"/>
                      <w:color w:val="000000" w:themeColor="text1"/>
                      <w:lang w:eastAsia="zh-CN"/>
                      <w14:textFill>
                        <w14:solidFill>
                          <w14:schemeClr w14:val="tx1"/>
                        </w14:solidFill>
                      </w14:textFill>
                    </w:rPr>
                    <w:t>，</w:t>
                  </w:r>
                  <w:r>
                    <w:rPr>
                      <w:rFonts w:hint="eastAsia" w:cs="宋体"/>
                      <w:color w:val="000000" w:themeColor="text1"/>
                      <w14:textFill>
                        <w14:solidFill>
                          <w14:schemeClr w14:val="tx1"/>
                        </w14:solidFill>
                      </w14:textFill>
                    </w:rPr>
                    <w:t>2500m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的浓缩池用作事故水池</w:t>
                  </w:r>
                </w:p>
              </w:tc>
              <w:tc>
                <w:tcPr>
                  <w:tcW w:w="552" w:type="pct"/>
                  <w:tcBorders>
                    <w:tl2br w:val="nil"/>
                    <w:tr2bl w:val="nil"/>
                  </w:tcBorders>
                  <w:vAlign w:val="center"/>
                </w:tcPr>
                <w:p w14:paraId="08108739">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c>
                <w:tcPr>
                  <w:tcW w:w="829" w:type="pct"/>
                  <w:tcBorders>
                    <w:tl2br w:val="nil"/>
                    <w:tr2bl w:val="nil"/>
                  </w:tcBorders>
                  <w:vAlign w:val="center"/>
                </w:tcPr>
                <w:p w14:paraId="7D203C97">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012E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428" w:type="pct"/>
                  <w:vMerge w:val="continue"/>
                  <w:tcBorders>
                    <w:tl2br w:val="nil"/>
                    <w:tr2bl w:val="nil"/>
                  </w:tcBorders>
                  <w:vAlign w:val="center"/>
                </w:tcPr>
                <w:p w14:paraId="1111384C">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5CA97F3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生活污水</w:t>
                  </w:r>
                </w:p>
              </w:tc>
              <w:tc>
                <w:tcPr>
                  <w:tcW w:w="2189" w:type="pct"/>
                  <w:tcBorders>
                    <w:tl2br w:val="nil"/>
                    <w:tr2bl w:val="nil"/>
                  </w:tcBorders>
                  <w:vAlign w:val="center"/>
                </w:tcPr>
                <w:p w14:paraId="6D8174DB">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生活污水，设50m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和80m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化粪池，厂区设3个旱厕，定期清掏，用作肥料。</w:t>
                  </w:r>
                </w:p>
              </w:tc>
              <w:tc>
                <w:tcPr>
                  <w:tcW w:w="552" w:type="pct"/>
                  <w:tcBorders>
                    <w:tl2br w:val="nil"/>
                    <w:tr2bl w:val="nil"/>
                  </w:tcBorders>
                  <w:vAlign w:val="center"/>
                </w:tcPr>
                <w:p w14:paraId="1A6CF1A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1座</w:t>
                  </w:r>
                </w:p>
              </w:tc>
              <w:tc>
                <w:tcPr>
                  <w:tcW w:w="829" w:type="pct"/>
                  <w:tcBorders>
                    <w:tl2br w:val="nil"/>
                    <w:tr2bl w:val="nil"/>
                  </w:tcBorders>
                  <w:vAlign w:val="center"/>
                </w:tcPr>
                <w:p w14:paraId="607EF29F">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37F2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8" w:type="pct"/>
                  <w:vMerge w:val="continue"/>
                  <w:tcBorders>
                    <w:tl2br w:val="nil"/>
                    <w:tr2bl w:val="nil"/>
                  </w:tcBorders>
                  <w:vAlign w:val="center"/>
                </w:tcPr>
                <w:p w14:paraId="78A22541">
                  <w:pPr>
                    <w:pStyle w:val="144"/>
                    <w:autoSpaceDE/>
                    <w:autoSpaceDN/>
                    <w:rPr>
                      <w:rFonts w:hint="eastAsia" w:cs="宋体"/>
                      <w:color w:val="000000" w:themeColor="text1"/>
                      <w14:textFill>
                        <w14:solidFill>
                          <w14:schemeClr w14:val="tx1"/>
                        </w14:solidFill>
                      </w14:textFill>
                    </w:rPr>
                  </w:pPr>
                </w:p>
              </w:tc>
              <w:tc>
                <w:tcPr>
                  <w:tcW w:w="999" w:type="pct"/>
                  <w:vMerge w:val="restart"/>
                  <w:tcBorders>
                    <w:tl2br w:val="nil"/>
                    <w:tr2bl w:val="nil"/>
                  </w:tcBorders>
                  <w:vAlign w:val="center"/>
                </w:tcPr>
                <w:p w14:paraId="7F7C229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初期雨水池</w:t>
                  </w:r>
                </w:p>
              </w:tc>
              <w:tc>
                <w:tcPr>
                  <w:tcW w:w="2189" w:type="pct"/>
                  <w:tcBorders>
                    <w:tl2br w:val="nil"/>
                    <w:tr2bl w:val="nil"/>
                  </w:tcBorders>
                  <w:vAlign w:val="center"/>
                </w:tcPr>
                <w:p w14:paraId="58485A37">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西区免烧砖生产线设雨水收集池1座，防渗处理，用回用生产</w:t>
                  </w:r>
                </w:p>
              </w:tc>
              <w:tc>
                <w:tcPr>
                  <w:tcW w:w="552" w:type="pct"/>
                  <w:tcBorders>
                    <w:tl2br w:val="nil"/>
                    <w:tr2bl w:val="nil"/>
                  </w:tcBorders>
                  <w:vAlign w:val="center"/>
                </w:tcPr>
                <w:p w14:paraId="6AB9DBF3">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1座</w:t>
                  </w:r>
                </w:p>
              </w:tc>
              <w:tc>
                <w:tcPr>
                  <w:tcW w:w="829" w:type="pct"/>
                  <w:tcBorders>
                    <w:tl2br w:val="nil"/>
                    <w:tr2bl w:val="nil"/>
                  </w:tcBorders>
                  <w:vAlign w:val="center"/>
                </w:tcPr>
                <w:p w14:paraId="7737EFA9">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3765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8" w:type="pct"/>
                  <w:vMerge w:val="continue"/>
                  <w:tcBorders>
                    <w:tl2br w:val="nil"/>
                    <w:tr2bl w:val="nil"/>
                  </w:tcBorders>
                  <w:vAlign w:val="center"/>
                </w:tcPr>
                <w:p w14:paraId="5FB40DD8">
                  <w:pPr>
                    <w:pStyle w:val="144"/>
                    <w:autoSpaceDE/>
                    <w:autoSpaceDN/>
                    <w:rPr>
                      <w:rFonts w:hint="eastAsia" w:cs="宋体"/>
                      <w:color w:val="000000" w:themeColor="text1"/>
                      <w14:textFill>
                        <w14:solidFill>
                          <w14:schemeClr w14:val="tx1"/>
                        </w14:solidFill>
                      </w14:textFill>
                    </w:rPr>
                  </w:pPr>
                </w:p>
              </w:tc>
              <w:tc>
                <w:tcPr>
                  <w:tcW w:w="999" w:type="pct"/>
                  <w:vMerge w:val="continue"/>
                  <w:tcBorders>
                    <w:tl2br w:val="nil"/>
                    <w:tr2bl w:val="nil"/>
                  </w:tcBorders>
                  <w:vAlign w:val="center"/>
                </w:tcPr>
                <w:p w14:paraId="19840850">
                  <w:pPr>
                    <w:pStyle w:val="144"/>
                    <w:autoSpaceDE/>
                    <w:autoSpaceDN/>
                    <w:rPr>
                      <w:rFonts w:hint="eastAsia" w:cs="宋体"/>
                      <w:color w:val="000000" w:themeColor="text1"/>
                      <w14:textFill>
                        <w14:solidFill>
                          <w14:schemeClr w14:val="tx1"/>
                        </w14:solidFill>
                      </w14:textFill>
                    </w:rPr>
                  </w:pPr>
                </w:p>
              </w:tc>
              <w:tc>
                <w:tcPr>
                  <w:tcW w:w="2189" w:type="pct"/>
                  <w:tcBorders>
                    <w:tl2br w:val="nil"/>
                    <w:tr2bl w:val="nil"/>
                  </w:tcBorders>
                  <w:vAlign w:val="center"/>
                </w:tcPr>
                <w:p w14:paraId="793FADA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东区烧结砖生产线设雨水收集池1座，防渗处理，用回用生产</w:t>
                  </w:r>
                </w:p>
              </w:tc>
              <w:tc>
                <w:tcPr>
                  <w:tcW w:w="552" w:type="pct"/>
                  <w:tcBorders>
                    <w:tl2br w:val="nil"/>
                    <w:tr2bl w:val="nil"/>
                  </w:tcBorders>
                  <w:vAlign w:val="center"/>
                </w:tcPr>
                <w:p w14:paraId="1AF6535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1座</w:t>
                  </w:r>
                </w:p>
              </w:tc>
              <w:tc>
                <w:tcPr>
                  <w:tcW w:w="829" w:type="pct"/>
                  <w:tcBorders>
                    <w:tl2br w:val="nil"/>
                    <w:tr2bl w:val="nil"/>
                  </w:tcBorders>
                  <w:vAlign w:val="center"/>
                </w:tcPr>
                <w:p w14:paraId="76E7D86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6517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trPr>
              <w:tc>
                <w:tcPr>
                  <w:tcW w:w="428" w:type="pct"/>
                  <w:vMerge w:val="continue"/>
                  <w:tcBorders>
                    <w:tl2br w:val="nil"/>
                    <w:tr2bl w:val="nil"/>
                  </w:tcBorders>
                  <w:vAlign w:val="center"/>
                </w:tcPr>
                <w:p w14:paraId="470C9B92">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49B8F81F">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车辆清洗废水</w:t>
                  </w:r>
                </w:p>
              </w:tc>
              <w:tc>
                <w:tcPr>
                  <w:tcW w:w="2189" w:type="pct"/>
                  <w:tcBorders>
                    <w:tl2br w:val="nil"/>
                    <w:tr2bl w:val="nil"/>
                  </w:tcBorders>
                  <w:vAlign w:val="center"/>
                </w:tcPr>
                <w:p w14:paraId="58138D0F">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设置厂区进出口洗车装置100m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沉淀池</w:t>
                  </w:r>
                </w:p>
              </w:tc>
              <w:tc>
                <w:tcPr>
                  <w:tcW w:w="552" w:type="pct"/>
                  <w:tcBorders>
                    <w:tl2br w:val="nil"/>
                    <w:tr2bl w:val="nil"/>
                  </w:tcBorders>
                  <w:vAlign w:val="center"/>
                </w:tcPr>
                <w:p w14:paraId="01176373">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1套</w:t>
                  </w:r>
                </w:p>
              </w:tc>
              <w:tc>
                <w:tcPr>
                  <w:tcW w:w="829" w:type="pct"/>
                  <w:tcBorders>
                    <w:tl2br w:val="nil"/>
                    <w:tr2bl w:val="nil"/>
                  </w:tcBorders>
                  <w:vAlign w:val="center"/>
                </w:tcPr>
                <w:p w14:paraId="794EF4F0">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4406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428" w:type="pct"/>
                  <w:vMerge w:val="restart"/>
                  <w:tcBorders>
                    <w:tl2br w:val="nil"/>
                    <w:tr2bl w:val="nil"/>
                  </w:tcBorders>
                  <w:vAlign w:val="center"/>
                </w:tcPr>
                <w:p w14:paraId="522D710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噪声</w:t>
                  </w:r>
                </w:p>
              </w:tc>
              <w:tc>
                <w:tcPr>
                  <w:tcW w:w="999" w:type="pct"/>
                  <w:tcBorders>
                    <w:tl2br w:val="nil"/>
                    <w:tr2bl w:val="nil"/>
                  </w:tcBorders>
                  <w:vAlign w:val="center"/>
                </w:tcPr>
                <w:p w14:paraId="345596B2">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生产及除尘设备</w:t>
                  </w:r>
                </w:p>
              </w:tc>
              <w:tc>
                <w:tcPr>
                  <w:tcW w:w="2742" w:type="pct"/>
                  <w:gridSpan w:val="2"/>
                  <w:tcBorders>
                    <w:tl2br w:val="nil"/>
                    <w:tr2bl w:val="nil"/>
                  </w:tcBorders>
                  <w:vAlign w:val="center"/>
                </w:tcPr>
                <w:p w14:paraId="52830840">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选用低噪声设备、泵类设备采用基础减振、风机加装消声器、破碎筛分环节置于室内，同时厂房隔声</w:t>
                  </w:r>
                </w:p>
              </w:tc>
              <w:tc>
                <w:tcPr>
                  <w:tcW w:w="829" w:type="pct"/>
                  <w:tcBorders>
                    <w:tl2br w:val="nil"/>
                    <w:tr2bl w:val="nil"/>
                  </w:tcBorders>
                  <w:vAlign w:val="center"/>
                </w:tcPr>
                <w:p w14:paraId="07E05413">
                  <w:pPr>
                    <w:pStyle w:val="144"/>
                    <w:autoSpaceDE/>
                    <w:autoSpaceDN/>
                    <w:rPr>
                      <w:rFonts w:hint="default"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20</w:t>
                  </w:r>
                </w:p>
              </w:tc>
            </w:tr>
            <w:tr w14:paraId="1FA3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428" w:type="pct"/>
                  <w:vMerge w:val="continue"/>
                  <w:tcBorders>
                    <w:tl2br w:val="nil"/>
                    <w:tr2bl w:val="nil"/>
                  </w:tcBorders>
                  <w:vAlign w:val="center"/>
                </w:tcPr>
                <w:p w14:paraId="357BC442">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6824F37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运输车辆</w:t>
                  </w:r>
                </w:p>
              </w:tc>
              <w:tc>
                <w:tcPr>
                  <w:tcW w:w="2742" w:type="pct"/>
                  <w:gridSpan w:val="2"/>
                  <w:tcBorders>
                    <w:tl2br w:val="nil"/>
                    <w:tr2bl w:val="nil"/>
                  </w:tcBorders>
                  <w:vAlign w:val="center"/>
                </w:tcPr>
                <w:p w14:paraId="6C9CEDC0">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加强管理、设置减速带、限鸣标识</w:t>
                  </w:r>
                </w:p>
              </w:tc>
              <w:tc>
                <w:tcPr>
                  <w:tcW w:w="829" w:type="pct"/>
                  <w:tcBorders>
                    <w:tl2br w:val="nil"/>
                    <w:tr2bl w:val="nil"/>
                  </w:tcBorders>
                  <w:vAlign w:val="center"/>
                </w:tcPr>
                <w:p w14:paraId="5B59D09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5A5A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restart"/>
                  <w:tcBorders>
                    <w:tl2br w:val="nil"/>
                    <w:tr2bl w:val="nil"/>
                  </w:tcBorders>
                  <w:vAlign w:val="center"/>
                </w:tcPr>
                <w:p w14:paraId="503E335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固废</w:t>
                  </w:r>
                </w:p>
              </w:tc>
              <w:tc>
                <w:tcPr>
                  <w:tcW w:w="999" w:type="pct"/>
                  <w:tcBorders>
                    <w:tl2br w:val="nil"/>
                    <w:tr2bl w:val="nil"/>
                  </w:tcBorders>
                  <w:vAlign w:val="center"/>
                </w:tcPr>
                <w:p w14:paraId="7D437952">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不合格砖</w:t>
                  </w:r>
                </w:p>
              </w:tc>
              <w:tc>
                <w:tcPr>
                  <w:tcW w:w="2742" w:type="pct"/>
                  <w:gridSpan w:val="2"/>
                  <w:tcBorders>
                    <w:tl2br w:val="nil"/>
                    <w:tr2bl w:val="nil"/>
                  </w:tcBorders>
                  <w:vAlign w:val="center"/>
                </w:tcPr>
                <w:p w14:paraId="20924942">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回用生产</w:t>
                  </w:r>
                </w:p>
              </w:tc>
              <w:tc>
                <w:tcPr>
                  <w:tcW w:w="829" w:type="pct"/>
                  <w:tcBorders>
                    <w:tl2br w:val="nil"/>
                    <w:tr2bl w:val="nil"/>
                  </w:tcBorders>
                  <w:vAlign w:val="center"/>
                </w:tcPr>
                <w:p w14:paraId="2711363B">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r>
            <w:tr w14:paraId="7FC3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 w:hRule="atLeast"/>
              </w:trPr>
              <w:tc>
                <w:tcPr>
                  <w:tcW w:w="428" w:type="pct"/>
                  <w:vMerge w:val="continue"/>
                  <w:tcBorders>
                    <w:tl2br w:val="nil"/>
                    <w:tr2bl w:val="nil"/>
                  </w:tcBorders>
                  <w:vAlign w:val="center"/>
                </w:tcPr>
                <w:p w14:paraId="516FD257">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49E52F9E">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生活垃圾</w:t>
                  </w:r>
                </w:p>
              </w:tc>
              <w:tc>
                <w:tcPr>
                  <w:tcW w:w="2742" w:type="pct"/>
                  <w:gridSpan w:val="2"/>
                  <w:tcBorders>
                    <w:tl2br w:val="nil"/>
                    <w:tr2bl w:val="nil"/>
                  </w:tcBorders>
                  <w:vAlign w:val="center"/>
                </w:tcPr>
                <w:p w14:paraId="78609C55">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生活垃圾定期送往当地城镇垃圾收集点</w:t>
                  </w:r>
                </w:p>
              </w:tc>
              <w:tc>
                <w:tcPr>
                  <w:tcW w:w="829" w:type="pct"/>
                  <w:tcBorders>
                    <w:tl2br w:val="nil"/>
                    <w:tr2bl w:val="nil"/>
                  </w:tcBorders>
                  <w:vAlign w:val="center"/>
                </w:tcPr>
                <w:p w14:paraId="2D5A643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3BCC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 w:hRule="atLeast"/>
              </w:trPr>
              <w:tc>
                <w:tcPr>
                  <w:tcW w:w="428" w:type="pct"/>
                  <w:vMerge w:val="continue"/>
                  <w:tcBorders>
                    <w:tl2br w:val="nil"/>
                    <w:tr2bl w:val="nil"/>
                  </w:tcBorders>
                  <w:vAlign w:val="center"/>
                </w:tcPr>
                <w:p w14:paraId="01356C37">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798527C2">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除尘灰</w:t>
                  </w:r>
                </w:p>
              </w:tc>
              <w:tc>
                <w:tcPr>
                  <w:tcW w:w="2742" w:type="pct"/>
                  <w:gridSpan w:val="2"/>
                  <w:tcBorders>
                    <w:tl2br w:val="nil"/>
                    <w:tr2bl w:val="nil"/>
                  </w:tcBorders>
                  <w:vAlign w:val="center"/>
                </w:tcPr>
                <w:p w14:paraId="04533D02">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回用生产</w:t>
                  </w:r>
                </w:p>
              </w:tc>
              <w:tc>
                <w:tcPr>
                  <w:tcW w:w="829" w:type="pct"/>
                  <w:tcBorders>
                    <w:tl2br w:val="nil"/>
                    <w:tr2bl w:val="nil"/>
                  </w:tcBorders>
                  <w:vAlign w:val="center"/>
                </w:tcPr>
                <w:p w14:paraId="08583A97">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r>
            <w:tr w14:paraId="00BB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428" w:type="pct"/>
                  <w:vMerge w:val="continue"/>
                  <w:tcBorders>
                    <w:tl2br w:val="nil"/>
                    <w:tr2bl w:val="nil"/>
                  </w:tcBorders>
                  <w:vAlign w:val="center"/>
                </w:tcPr>
                <w:p w14:paraId="2B144156">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431B58A8">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脱硫渣</w:t>
                  </w:r>
                </w:p>
              </w:tc>
              <w:tc>
                <w:tcPr>
                  <w:tcW w:w="2742" w:type="pct"/>
                  <w:gridSpan w:val="2"/>
                  <w:tcBorders>
                    <w:tl2br w:val="nil"/>
                    <w:tr2bl w:val="nil"/>
                  </w:tcBorders>
                  <w:vAlign w:val="center"/>
                </w:tcPr>
                <w:p w14:paraId="0B250BC3">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回用生产</w:t>
                  </w:r>
                </w:p>
              </w:tc>
              <w:tc>
                <w:tcPr>
                  <w:tcW w:w="829" w:type="pct"/>
                  <w:tcBorders>
                    <w:tl2br w:val="nil"/>
                    <w:tr2bl w:val="nil"/>
                  </w:tcBorders>
                  <w:vAlign w:val="center"/>
                </w:tcPr>
                <w:p w14:paraId="2740EC7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r>
            <w:tr w14:paraId="62DF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8" w:type="pct"/>
                  <w:vMerge w:val="continue"/>
                  <w:tcBorders>
                    <w:tl2br w:val="nil"/>
                    <w:tr2bl w:val="nil"/>
                  </w:tcBorders>
                  <w:vAlign w:val="center"/>
                </w:tcPr>
                <w:p w14:paraId="321750D5">
                  <w:pPr>
                    <w:pStyle w:val="144"/>
                    <w:autoSpaceDE/>
                    <w:autoSpaceDN/>
                    <w:rPr>
                      <w:rFonts w:hint="eastAsia" w:cs="宋体"/>
                      <w:color w:val="000000" w:themeColor="text1"/>
                      <w14:textFill>
                        <w14:solidFill>
                          <w14:schemeClr w14:val="tx1"/>
                        </w14:solidFill>
                      </w14:textFill>
                    </w:rPr>
                  </w:pPr>
                </w:p>
              </w:tc>
              <w:tc>
                <w:tcPr>
                  <w:tcW w:w="999" w:type="pct"/>
                  <w:tcBorders>
                    <w:tl2br w:val="nil"/>
                    <w:tr2bl w:val="nil"/>
                  </w:tcBorders>
                  <w:vAlign w:val="center"/>
                </w:tcPr>
                <w:p w14:paraId="4384CF3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废机油</w:t>
                  </w:r>
                </w:p>
              </w:tc>
              <w:tc>
                <w:tcPr>
                  <w:tcW w:w="2742" w:type="pct"/>
                  <w:gridSpan w:val="2"/>
                  <w:tcBorders>
                    <w:tl2br w:val="nil"/>
                    <w:tr2bl w:val="nil"/>
                  </w:tcBorders>
                  <w:vAlign w:val="center"/>
                </w:tcPr>
                <w:p w14:paraId="590EACDD">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暂存危废间，交给有资质单位处置</w:t>
                  </w:r>
                </w:p>
              </w:tc>
              <w:tc>
                <w:tcPr>
                  <w:tcW w:w="829" w:type="pct"/>
                  <w:tcBorders>
                    <w:tl2br w:val="nil"/>
                    <w:tr2bl w:val="nil"/>
                  </w:tcBorders>
                  <w:vAlign w:val="center"/>
                </w:tcPr>
                <w:p w14:paraId="230A72B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依托</w:t>
                  </w:r>
                </w:p>
              </w:tc>
            </w:tr>
            <w:tr w14:paraId="06A6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170" w:type="pct"/>
                  <w:gridSpan w:val="4"/>
                  <w:tcBorders>
                    <w:tl2br w:val="nil"/>
                    <w:tr2bl w:val="nil"/>
                  </w:tcBorders>
                  <w:vAlign w:val="center"/>
                </w:tcPr>
                <w:p w14:paraId="256B7E1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合计</w:t>
                  </w:r>
                </w:p>
              </w:tc>
              <w:tc>
                <w:tcPr>
                  <w:tcW w:w="829" w:type="pct"/>
                  <w:tcBorders>
                    <w:tl2br w:val="nil"/>
                    <w:tr2bl w:val="nil"/>
                  </w:tcBorders>
                  <w:vAlign w:val="center"/>
                </w:tcPr>
                <w:p w14:paraId="27D08C60">
                  <w:pPr>
                    <w:pStyle w:val="144"/>
                    <w:autoSpaceDE/>
                    <w:autoSpaceDN/>
                    <w:rPr>
                      <w:rFonts w:hint="default"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20</w:t>
                  </w:r>
                </w:p>
              </w:tc>
            </w:tr>
          </w:tbl>
          <w:p w14:paraId="5E765062">
            <w:pPr>
              <w:pStyle w:val="312"/>
              <w:widowControl w:val="0"/>
              <w:spacing w:line="240" w:lineRule="auto"/>
              <w:ind w:firstLine="0" w:firstLineChars="0"/>
              <w:textAlignment w:val="baseline"/>
              <w:rPr>
                <w:rFonts w:hint="eastAsia" w:ascii="宋体" w:hAnsi="宋体" w:cs="宋体"/>
                <w:b/>
                <w:color w:val="000000" w:themeColor="text1"/>
                <w14:textFill>
                  <w14:solidFill>
                    <w14:schemeClr w14:val="tx1"/>
                  </w14:solidFill>
                </w14:textFill>
              </w:rPr>
            </w:pPr>
          </w:p>
          <w:p w14:paraId="264A0990">
            <w:pPr>
              <w:widowControl w:val="0"/>
              <w:tabs>
                <w:tab w:val="left" w:pos="7200"/>
              </w:tabs>
              <w:ind w:firstLine="480"/>
              <w:textAlignment w:val="baseline"/>
              <w:rPr>
                <w:rFonts w:hint="eastAsia" w:cs="Times New Roman"/>
                <w:b/>
                <w:bCs/>
                <w:color w:val="000000" w:themeColor="text1"/>
                <w:szCs w:val="24"/>
                <w:lang w:val="en-US" w:eastAsia="zh-CN"/>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8.环境风险评价</w:t>
            </w:r>
          </w:p>
          <w:p w14:paraId="015D9961">
            <w:pPr>
              <w:ind w:firstLine="482"/>
              <w:rPr>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1</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风险调查</w:t>
            </w:r>
          </w:p>
          <w:p w14:paraId="7ED1DD53">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根据《建设项目环境风险评价技术导则》（HJ169-2018），确定本项目工艺环节涉及的危险物质主要为设备检修过程产生的废机油</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项目建设前后废机油最大储存量无变化</w:t>
            </w:r>
            <w:r>
              <w:rPr>
                <w:rFonts w:hint="eastAsia"/>
                <w:color w:val="000000" w:themeColor="text1"/>
                <w14:textFill>
                  <w14:solidFill>
                    <w14:schemeClr w14:val="tx1"/>
                  </w14:solidFill>
                </w14:textFill>
              </w:rPr>
              <w:t>，主要风险源详见表</w:t>
            </w:r>
            <w:r>
              <w:rPr>
                <w:rFonts w:hint="eastAsia"/>
                <w:color w:val="000000" w:themeColor="text1"/>
                <w:lang w:val="en-US" w:eastAsia="zh-CN"/>
                <w14:textFill>
                  <w14:solidFill>
                    <w14:schemeClr w14:val="tx1"/>
                  </w14:solidFill>
                </w14:textFill>
              </w:rPr>
              <w:t>42</w:t>
            </w:r>
            <w:r>
              <w:rPr>
                <w:rFonts w:hint="eastAsia"/>
                <w:color w:val="000000" w:themeColor="text1"/>
                <w14:textFill>
                  <w14:solidFill>
                    <w14:schemeClr w14:val="tx1"/>
                  </w14:solidFill>
                </w14:textFill>
              </w:rPr>
              <w:t>。</w:t>
            </w:r>
          </w:p>
          <w:p w14:paraId="5424B71B">
            <w:pPr>
              <w:pStyle w:val="312"/>
              <w:widowControl w:val="0"/>
              <w:numPr>
                <w:ilvl w:val="0"/>
                <w:numId w:val="14"/>
              </w:numPr>
              <w:spacing w:line="240" w:lineRule="auto"/>
              <w:ind w:left="-2" w:firstLine="482" w:firstLineChars="0"/>
              <w:textAlignment w:val="baseline"/>
              <w:rPr>
                <w:rFonts w:hint="eastAsia" w:ascii="宋体" w:hAnsi="宋体" w:cs="宋体"/>
                <w:b/>
                <w:color w:val="000000" w:themeColor="text1"/>
                <w:lang w:val="en-US" w:eastAsia="zh-CN"/>
                <w14:textFill>
                  <w14:solidFill>
                    <w14:schemeClr w14:val="tx1"/>
                  </w14:solidFill>
                </w14:textFill>
              </w:rPr>
            </w:pPr>
            <w:r>
              <w:rPr>
                <w:rFonts w:hint="eastAsia" w:ascii="宋体" w:hAnsi="宋体" w:cs="宋体"/>
                <w:b/>
                <w:color w:val="000000" w:themeColor="text1"/>
                <w:lang w:val="en-US" w:eastAsia="zh-CN"/>
                <w14:textFill>
                  <w14:solidFill>
                    <w14:schemeClr w14:val="tx1"/>
                  </w14:solidFill>
                </w14:textFill>
              </w:rPr>
              <w:t xml:space="preserve">               本项目主要风险源情况分布一览表</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125"/>
              <w:gridCol w:w="1544"/>
              <w:gridCol w:w="1666"/>
              <w:gridCol w:w="1666"/>
              <w:gridCol w:w="1666"/>
            </w:tblGrid>
            <w:tr w14:paraId="1060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tcBorders>
                    <w:top w:val="single" w:color="auto" w:sz="4" w:space="0"/>
                    <w:left w:val="single" w:color="auto" w:sz="4" w:space="0"/>
                    <w:bottom w:val="single" w:color="auto" w:sz="4" w:space="0"/>
                    <w:right w:val="single" w:color="auto" w:sz="4" w:space="0"/>
                  </w:tcBorders>
                  <w:vAlign w:val="center"/>
                </w:tcPr>
                <w:p w14:paraId="1F91793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风险物质</w:t>
                  </w:r>
                </w:p>
              </w:tc>
              <w:tc>
                <w:tcPr>
                  <w:tcW w:w="627" w:type="pct"/>
                  <w:tcBorders>
                    <w:top w:val="single" w:color="auto" w:sz="4" w:space="0"/>
                    <w:left w:val="single" w:color="auto" w:sz="4" w:space="0"/>
                    <w:bottom w:val="single" w:color="auto" w:sz="4" w:space="0"/>
                    <w:right w:val="single" w:color="auto" w:sz="4" w:space="0"/>
                  </w:tcBorders>
                  <w:vAlign w:val="center"/>
                </w:tcPr>
                <w:p w14:paraId="2AE4678F">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风险源</w:t>
                  </w:r>
                </w:p>
              </w:tc>
              <w:tc>
                <w:tcPr>
                  <w:tcW w:w="860" w:type="pct"/>
                  <w:tcBorders>
                    <w:top w:val="single" w:color="auto" w:sz="4" w:space="0"/>
                    <w:left w:val="single" w:color="auto" w:sz="4" w:space="0"/>
                    <w:bottom w:val="single" w:color="auto" w:sz="4" w:space="0"/>
                    <w:right w:val="single" w:color="auto" w:sz="4" w:space="0"/>
                  </w:tcBorders>
                  <w:vAlign w:val="center"/>
                </w:tcPr>
                <w:p w14:paraId="1765A95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最大储存量</w:t>
                  </w:r>
                </w:p>
              </w:tc>
              <w:tc>
                <w:tcPr>
                  <w:tcW w:w="928" w:type="pct"/>
                  <w:tcBorders>
                    <w:top w:val="single" w:color="auto" w:sz="4" w:space="0"/>
                    <w:left w:val="single" w:color="auto" w:sz="4" w:space="0"/>
                    <w:bottom w:val="single" w:color="auto" w:sz="4" w:space="0"/>
                    <w:right w:val="single" w:color="auto" w:sz="4" w:space="0"/>
                  </w:tcBorders>
                  <w:vAlign w:val="center"/>
                </w:tcPr>
                <w:p w14:paraId="321E915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临界量</w:t>
                  </w:r>
                </w:p>
              </w:tc>
              <w:tc>
                <w:tcPr>
                  <w:tcW w:w="928" w:type="pct"/>
                  <w:tcBorders>
                    <w:top w:val="single" w:color="auto" w:sz="4" w:space="0"/>
                    <w:left w:val="single" w:color="auto" w:sz="4" w:space="0"/>
                    <w:bottom w:val="single" w:color="auto" w:sz="4" w:space="0"/>
                    <w:right w:val="single" w:color="auto" w:sz="4" w:space="0"/>
                  </w:tcBorders>
                  <w:vAlign w:val="center"/>
                </w:tcPr>
                <w:p w14:paraId="59BAF140">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比值</w:t>
                  </w:r>
                </w:p>
              </w:tc>
              <w:tc>
                <w:tcPr>
                  <w:tcW w:w="928" w:type="pct"/>
                  <w:tcBorders>
                    <w:top w:val="single" w:color="auto" w:sz="4" w:space="0"/>
                    <w:left w:val="single" w:color="auto" w:sz="4" w:space="0"/>
                    <w:bottom w:val="single" w:color="auto" w:sz="4" w:space="0"/>
                    <w:right w:val="single" w:color="auto" w:sz="4" w:space="0"/>
                  </w:tcBorders>
                  <w:vAlign w:val="center"/>
                </w:tcPr>
                <w:p w14:paraId="73C60FFE">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危险特性</w:t>
                  </w:r>
                </w:p>
              </w:tc>
            </w:tr>
            <w:tr w14:paraId="24C1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tcBorders>
                    <w:top w:val="single" w:color="auto" w:sz="4" w:space="0"/>
                    <w:left w:val="single" w:color="auto" w:sz="4" w:space="0"/>
                    <w:bottom w:val="single" w:color="auto" w:sz="4" w:space="0"/>
                    <w:right w:val="single" w:color="auto" w:sz="4" w:space="0"/>
                  </w:tcBorders>
                  <w:vAlign w:val="center"/>
                </w:tcPr>
                <w:p w14:paraId="62C5E3E0">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废机油</w:t>
                  </w:r>
                </w:p>
              </w:tc>
              <w:tc>
                <w:tcPr>
                  <w:tcW w:w="627" w:type="pct"/>
                  <w:tcBorders>
                    <w:top w:val="single" w:color="auto" w:sz="4" w:space="0"/>
                    <w:left w:val="single" w:color="auto" w:sz="4" w:space="0"/>
                    <w:bottom w:val="single" w:color="auto" w:sz="4" w:space="0"/>
                    <w:right w:val="single" w:color="auto" w:sz="4" w:space="0"/>
                  </w:tcBorders>
                  <w:vAlign w:val="center"/>
                </w:tcPr>
                <w:p w14:paraId="5CC3EA6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危废间</w:t>
                  </w:r>
                </w:p>
              </w:tc>
              <w:tc>
                <w:tcPr>
                  <w:tcW w:w="860" w:type="pct"/>
                  <w:tcBorders>
                    <w:top w:val="single" w:color="auto" w:sz="4" w:space="0"/>
                    <w:left w:val="single" w:color="auto" w:sz="4" w:space="0"/>
                    <w:bottom w:val="single" w:color="auto" w:sz="4" w:space="0"/>
                    <w:right w:val="single" w:color="auto" w:sz="4" w:space="0"/>
                  </w:tcBorders>
                  <w:vAlign w:val="center"/>
                </w:tcPr>
                <w:p w14:paraId="63037B8E">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1.5</w:t>
                  </w:r>
                </w:p>
              </w:tc>
              <w:tc>
                <w:tcPr>
                  <w:tcW w:w="928" w:type="pct"/>
                  <w:tcBorders>
                    <w:top w:val="single" w:color="auto" w:sz="4" w:space="0"/>
                    <w:left w:val="single" w:color="auto" w:sz="4" w:space="0"/>
                    <w:bottom w:val="single" w:color="auto" w:sz="4" w:space="0"/>
                    <w:right w:val="single" w:color="auto" w:sz="4" w:space="0"/>
                  </w:tcBorders>
                  <w:vAlign w:val="center"/>
                </w:tcPr>
                <w:p w14:paraId="17A7DB2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2500</w:t>
                  </w:r>
                </w:p>
              </w:tc>
              <w:tc>
                <w:tcPr>
                  <w:tcW w:w="928" w:type="pct"/>
                  <w:tcBorders>
                    <w:top w:val="single" w:color="auto" w:sz="4" w:space="0"/>
                    <w:left w:val="single" w:color="auto" w:sz="4" w:space="0"/>
                    <w:bottom w:val="single" w:color="auto" w:sz="4" w:space="0"/>
                    <w:right w:val="single" w:color="auto" w:sz="4" w:space="0"/>
                  </w:tcBorders>
                  <w:vAlign w:val="center"/>
                </w:tcPr>
                <w:p w14:paraId="1D8EC4C7">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0.00006</w:t>
                  </w:r>
                </w:p>
              </w:tc>
              <w:tc>
                <w:tcPr>
                  <w:tcW w:w="928" w:type="pct"/>
                  <w:tcBorders>
                    <w:top w:val="single" w:color="auto" w:sz="4" w:space="0"/>
                    <w:left w:val="single" w:color="auto" w:sz="4" w:space="0"/>
                    <w:bottom w:val="single" w:color="auto" w:sz="4" w:space="0"/>
                    <w:right w:val="single" w:color="auto" w:sz="4" w:space="0"/>
                  </w:tcBorders>
                  <w:vAlign w:val="center"/>
                </w:tcPr>
                <w:p w14:paraId="091FD1D3">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易燃</w:t>
                  </w:r>
                </w:p>
              </w:tc>
            </w:tr>
            <w:tr w14:paraId="6CB5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 w:type="pct"/>
                  <w:tcBorders>
                    <w:top w:val="single" w:color="auto" w:sz="4" w:space="0"/>
                    <w:left w:val="single" w:color="auto" w:sz="4" w:space="0"/>
                    <w:bottom w:val="single" w:color="auto" w:sz="4" w:space="0"/>
                    <w:right w:val="single" w:color="auto" w:sz="4" w:space="0"/>
                  </w:tcBorders>
                  <w:vAlign w:val="center"/>
                </w:tcPr>
                <w:p w14:paraId="2529A07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柴油</w:t>
                  </w:r>
                </w:p>
              </w:tc>
              <w:tc>
                <w:tcPr>
                  <w:tcW w:w="627" w:type="pct"/>
                  <w:tcBorders>
                    <w:top w:val="single" w:color="auto" w:sz="4" w:space="0"/>
                    <w:left w:val="single" w:color="auto" w:sz="4" w:space="0"/>
                    <w:bottom w:val="single" w:color="auto" w:sz="4" w:space="0"/>
                    <w:right w:val="single" w:color="auto" w:sz="4" w:space="0"/>
                  </w:tcBorders>
                  <w:vAlign w:val="center"/>
                </w:tcPr>
                <w:p w14:paraId="48FD5589">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库房</w:t>
                  </w:r>
                </w:p>
              </w:tc>
              <w:tc>
                <w:tcPr>
                  <w:tcW w:w="860" w:type="pct"/>
                  <w:tcBorders>
                    <w:top w:val="single" w:color="auto" w:sz="4" w:space="0"/>
                    <w:left w:val="single" w:color="auto" w:sz="4" w:space="0"/>
                    <w:bottom w:val="single" w:color="auto" w:sz="4" w:space="0"/>
                    <w:right w:val="single" w:color="auto" w:sz="4" w:space="0"/>
                  </w:tcBorders>
                  <w:vAlign w:val="center"/>
                </w:tcPr>
                <w:p w14:paraId="39C748F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0.1</w:t>
                  </w:r>
                </w:p>
              </w:tc>
              <w:tc>
                <w:tcPr>
                  <w:tcW w:w="928" w:type="pct"/>
                  <w:tcBorders>
                    <w:top w:val="single" w:color="auto" w:sz="4" w:space="0"/>
                    <w:left w:val="single" w:color="auto" w:sz="4" w:space="0"/>
                    <w:bottom w:val="single" w:color="auto" w:sz="4" w:space="0"/>
                    <w:right w:val="single" w:color="auto" w:sz="4" w:space="0"/>
                  </w:tcBorders>
                  <w:vAlign w:val="center"/>
                </w:tcPr>
                <w:p w14:paraId="2D47815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2500</w:t>
                  </w:r>
                </w:p>
              </w:tc>
              <w:tc>
                <w:tcPr>
                  <w:tcW w:w="928" w:type="pct"/>
                  <w:tcBorders>
                    <w:top w:val="single" w:color="auto" w:sz="4" w:space="0"/>
                    <w:left w:val="single" w:color="auto" w:sz="4" w:space="0"/>
                    <w:bottom w:val="single" w:color="auto" w:sz="4" w:space="0"/>
                    <w:right w:val="single" w:color="auto" w:sz="4" w:space="0"/>
                  </w:tcBorders>
                  <w:vAlign w:val="center"/>
                </w:tcPr>
                <w:p w14:paraId="2B3A2E1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0.00004</w:t>
                  </w:r>
                </w:p>
              </w:tc>
              <w:tc>
                <w:tcPr>
                  <w:tcW w:w="928" w:type="pct"/>
                  <w:tcBorders>
                    <w:top w:val="single" w:color="auto" w:sz="4" w:space="0"/>
                    <w:left w:val="single" w:color="auto" w:sz="4" w:space="0"/>
                    <w:bottom w:val="single" w:color="auto" w:sz="4" w:space="0"/>
                    <w:right w:val="single" w:color="auto" w:sz="4" w:space="0"/>
                  </w:tcBorders>
                  <w:vAlign w:val="center"/>
                </w:tcPr>
                <w:p w14:paraId="720609E1">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易燃</w:t>
                  </w:r>
                </w:p>
              </w:tc>
            </w:tr>
          </w:tbl>
          <w:p w14:paraId="1BBB667A">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根据项目特点，项目主要风险来源及危害见表</w:t>
            </w:r>
            <w:r>
              <w:rPr>
                <w:rFonts w:hint="eastAsia"/>
                <w:bCs/>
                <w:color w:val="000000" w:themeColor="text1"/>
                <w:lang w:val="en-US" w:eastAsia="zh-CN"/>
                <w14:textFill>
                  <w14:solidFill>
                    <w14:schemeClr w14:val="tx1"/>
                  </w14:solidFill>
                </w14:textFill>
              </w:rPr>
              <w:t>43</w:t>
            </w:r>
            <w:r>
              <w:rPr>
                <w:rFonts w:hint="eastAsia"/>
                <w:bCs/>
                <w:color w:val="000000" w:themeColor="text1"/>
                <w14:textFill>
                  <w14:solidFill>
                    <w14:schemeClr w14:val="tx1"/>
                  </w14:solidFill>
                </w14:textFill>
              </w:rPr>
              <w:t>。</w:t>
            </w:r>
          </w:p>
          <w:p w14:paraId="7F5716AE">
            <w:pPr>
              <w:pStyle w:val="312"/>
              <w:widowControl w:val="0"/>
              <w:numPr>
                <w:ilvl w:val="0"/>
                <w:numId w:val="14"/>
              </w:numPr>
              <w:spacing w:line="240" w:lineRule="auto"/>
              <w:ind w:left="-2" w:firstLine="482" w:firstLineChars="0"/>
              <w:textAlignment w:val="baseline"/>
              <w:rPr>
                <w:rFonts w:hint="eastAsia" w:ascii="宋体" w:hAnsi="宋体" w:cs="宋体"/>
                <w:b/>
                <w:color w:val="000000" w:themeColor="text1"/>
                <w:lang w:val="en-US" w:eastAsia="zh-CN"/>
                <w14:textFill>
                  <w14:solidFill>
                    <w14:schemeClr w14:val="tx1"/>
                  </w14:solidFill>
                </w14:textFill>
              </w:rPr>
            </w:pPr>
            <w:r>
              <w:rPr>
                <w:rFonts w:hint="eastAsia" w:ascii="宋体" w:hAnsi="宋体" w:cs="宋体"/>
                <w:b/>
                <w:color w:val="000000" w:themeColor="text1"/>
                <w:lang w:val="en-US" w:eastAsia="zh-CN"/>
                <w14:textFill>
                  <w14:solidFill>
                    <w14:schemeClr w14:val="tx1"/>
                  </w14:solidFill>
                </w14:textFill>
              </w:rPr>
              <w:t xml:space="preserve">          工程主要风险类型、来源及危害</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705"/>
              <w:gridCol w:w="1531"/>
              <w:gridCol w:w="1464"/>
              <w:gridCol w:w="2994"/>
            </w:tblGrid>
            <w:tr w14:paraId="1604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10" w:type="pct"/>
                  <w:tcBorders>
                    <w:top w:val="single" w:color="auto" w:sz="4" w:space="0"/>
                    <w:left w:val="single" w:color="auto" w:sz="4" w:space="0"/>
                    <w:bottom w:val="single" w:color="auto" w:sz="4" w:space="0"/>
                    <w:right w:val="single" w:color="auto" w:sz="4" w:space="0"/>
                  </w:tcBorders>
                  <w:vAlign w:val="center"/>
                </w:tcPr>
                <w:p w14:paraId="4B0E1289">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类型</w:t>
                  </w:r>
                </w:p>
              </w:tc>
              <w:tc>
                <w:tcPr>
                  <w:tcW w:w="950" w:type="pct"/>
                  <w:tcBorders>
                    <w:top w:val="single" w:color="auto" w:sz="4" w:space="0"/>
                    <w:left w:val="single" w:color="auto" w:sz="4" w:space="0"/>
                    <w:bottom w:val="single" w:color="auto" w:sz="4" w:space="0"/>
                    <w:right w:val="single" w:color="auto" w:sz="4" w:space="0"/>
                  </w:tcBorders>
                  <w:vAlign w:val="center"/>
                </w:tcPr>
                <w:p w14:paraId="75E9FF63">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风险单元</w:t>
                  </w:r>
                </w:p>
              </w:tc>
              <w:tc>
                <w:tcPr>
                  <w:tcW w:w="853" w:type="pct"/>
                  <w:tcBorders>
                    <w:top w:val="single" w:color="auto" w:sz="4" w:space="0"/>
                    <w:left w:val="single" w:color="auto" w:sz="4" w:space="0"/>
                    <w:bottom w:val="single" w:color="auto" w:sz="4" w:space="0"/>
                    <w:right w:val="single" w:color="auto" w:sz="4" w:space="0"/>
                  </w:tcBorders>
                  <w:vAlign w:val="center"/>
                </w:tcPr>
                <w:p w14:paraId="2CF76F34">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主要危害</w:t>
                  </w:r>
                </w:p>
              </w:tc>
              <w:tc>
                <w:tcPr>
                  <w:tcW w:w="816" w:type="pct"/>
                  <w:tcBorders>
                    <w:top w:val="single" w:color="auto" w:sz="4" w:space="0"/>
                    <w:left w:val="single" w:color="auto" w:sz="4" w:space="0"/>
                    <w:bottom w:val="single" w:color="auto" w:sz="4" w:space="0"/>
                    <w:right w:val="single" w:color="auto" w:sz="4" w:space="0"/>
                  </w:tcBorders>
                  <w:vAlign w:val="center"/>
                </w:tcPr>
                <w:p w14:paraId="2B71E9A5">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主要污染物</w:t>
                  </w:r>
                </w:p>
              </w:tc>
              <w:tc>
                <w:tcPr>
                  <w:tcW w:w="1668" w:type="pct"/>
                  <w:tcBorders>
                    <w:top w:val="single" w:color="auto" w:sz="4" w:space="0"/>
                    <w:left w:val="single" w:color="auto" w:sz="4" w:space="0"/>
                    <w:bottom w:val="single" w:color="auto" w:sz="4" w:space="0"/>
                    <w:right w:val="single" w:color="auto" w:sz="4" w:space="0"/>
                  </w:tcBorders>
                  <w:vAlign w:val="center"/>
                </w:tcPr>
                <w:p w14:paraId="4C1D2AEB">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环境影响</w:t>
                  </w:r>
                </w:p>
              </w:tc>
            </w:tr>
            <w:tr w14:paraId="2717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op w:val="single" w:color="auto" w:sz="4" w:space="0"/>
                    <w:left w:val="single" w:color="auto" w:sz="4" w:space="0"/>
                    <w:bottom w:val="single" w:color="auto" w:sz="4" w:space="0"/>
                    <w:right w:val="single" w:color="auto" w:sz="4" w:space="0"/>
                  </w:tcBorders>
                  <w:vAlign w:val="center"/>
                </w:tcPr>
                <w:p w14:paraId="40074422">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泄漏</w:t>
                  </w:r>
                </w:p>
              </w:tc>
              <w:tc>
                <w:tcPr>
                  <w:tcW w:w="950" w:type="pct"/>
                  <w:tcBorders>
                    <w:top w:val="single" w:color="auto" w:sz="4" w:space="0"/>
                    <w:left w:val="single" w:color="auto" w:sz="4" w:space="0"/>
                    <w:bottom w:val="single" w:color="auto" w:sz="4" w:space="0"/>
                    <w:right w:val="single" w:color="auto" w:sz="4" w:space="0"/>
                  </w:tcBorders>
                  <w:vAlign w:val="center"/>
                </w:tcPr>
                <w:p w14:paraId="71CDA1FE">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危废间、库房</w:t>
                  </w:r>
                </w:p>
              </w:tc>
              <w:tc>
                <w:tcPr>
                  <w:tcW w:w="853" w:type="pct"/>
                  <w:tcBorders>
                    <w:top w:val="single" w:color="auto" w:sz="4" w:space="0"/>
                    <w:left w:val="single" w:color="auto" w:sz="4" w:space="0"/>
                    <w:bottom w:val="single" w:color="auto" w:sz="4" w:space="0"/>
                    <w:right w:val="single" w:color="auto" w:sz="4" w:space="0"/>
                  </w:tcBorders>
                  <w:vAlign w:val="center"/>
                </w:tcPr>
                <w:p w14:paraId="78CC7EB6">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对周围地下水及土壤造成影响</w:t>
                  </w:r>
                </w:p>
              </w:tc>
              <w:tc>
                <w:tcPr>
                  <w:tcW w:w="816" w:type="pct"/>
                  <w:tcBorders>
                    <w:top w:val="single" w:color="auto" w:sz="4" w:space="0"/>
                    <w:left w:val="single" w:color="auto" w:sz="4" w:space="0"/>
                    <w:bottom w:val="single" w:color="auto" w:sz="4" w:space="0"/>
                    <w:right w:val="single" w:color="auto" w:sz="4" w:space="0"/>
                  </w:tcBorders>
                  <w:vAlign w:val="center"/>
                </w:tcPr>
                <w:p w14:paraId="58260C9E">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石油类</w:t>
                  </w:r>
                </w:p>
              </w:tc>
              <w:tc>
                <w:tcPr>
                  <w:tcW w:w="1668" w:type="pct"/>
                  <w:tcBorders>
                    <w:top w:val="single" w:color="auto" w:sz="4" w:space="0"/>
                    <w:left w:val="single" w:color="auto" w:sz="4" w:space="0"/>
                    <w:bottom w:val="single" w:color="auto" w:sz="4" w:space="0"/>
                    <w:right w:val="single" w:color="auto" w:sz="4" w:space="0"/>
                  </w:tcBorders>
                  <w:vAlign w:val="center"/>
                </w:tcPr>
                <w:p w14:paraId="46BEF705">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大量泄漏覆盖地表和渗入地下后，有害成分进入地表土壤和地下水，造成污染</w:t>
                  </w:r>
                </w:p>
              </w:tc>
            </w:tr>
            <w:tr w14:paraId="5B62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op w:val="single" w:color="auto" w:sz="4" w:space="0"/>
                    <w:left w:val="single" w:color="auto" w:sz="4" w:space="0"/>
                    <w:bottom w:val="single" w:color="auto" w:sz="4" w:space="0"/>
                    <w:right w:val="single" w:color="auto" w:sz="4" w:space="0"/>
                  </w:tcBorders>
                  <w:vAlign w:val="center"/>
                </w:tcPr>
                <w:p w14:paraId="439933E7">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火灾爆炸</w:t>
                  </w:r>
                </w:p>
              </w:tc>
              <w:tc>
                <w:tcPr>
                  <w:tcW w:w="950" w:type="pct"/>
                  <w:tcBorders>
                    <w:top w:val="single" w:color="auto" w:sz="4" w:space="0"/>
                    <w:left w:val="single" w:color="auto" w:sz="4" w:space="0"/>
                    <w:bottom w:val="single" w:color="auto" w:sz="4" w:space="0"/>
                    <w:right w:val="single" w:color="auto" w:sz="4" w:space="0"/>
                  </w:tcBorders>
                  <w:vAlign w:val="center"/>
                </w:tcPr>
                <w:p w14:paraId="67690952">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危废间、库房</w:t>
                  </w:r>
                </w:p>
              </w:tc>
              <w:tc>
                <w:tcPr>
                  <w:tcW w:w="853" w:type="pct"/>
                  <w:tcBorders>
                    <w:top w:val="single" w:color="auto" w:sz="4" w:space="0"/>
                    <w:left w:val="single" w:color="auto" w:sz="4" w:space="0"/>
                    <w:bottom w:val="single" w:color="auto" w:sz="4" w:space="0"/>
                    <w:right w:val="single" w:color="auto" w:sz="4" w:space="0"/>
                  </w:tcBorders>
                  <w:vAlign w:val="center"/>
                </w:tcPr>
                <w:p w14:paraId="439777EA">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有害气体、热辐射等环境污染</w:t>
                  </w:r>
                </w:p>
              </w:tc>
              <w:tc>
                <w:tcPr>
                  <w:tcW w:w="816" w:type="pct"/>
                  <w:tcBorders>
                    <w:top w:val="single" w:color="auto" w:sz="4" w:space="0"/>
                    <w:left w:val="single" w:color="auto" w:sz="4" w:space="0"/>
                    <w:bottom w:val="single" w:color="auto" w:sz="4" w:space="0"/>
                    <w:right w:val="single" w:color="auto" w:sz="4" w:space="0"/>
                  </w:tcBorders>
                  <w:vAlign w:val="center"/>
                </w:tcPr>
                <w:p w14:paraId="24E01FC8">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有害气体</w:t>
                  </w:r>
                </w:p>
              </w:tc>
              <w:tc>
                <w:tcPr>
                  <w:tcW w:w="1668" w:type="pct"/>
                  <w:tcBorders>
                    <w:top w:val="single" w:color="auto" w:sz="4" w:space="0"/>
                    <w:left w:val="single" w:color="auto" w:sz="4" w:space="0"/>
                    <w:bottom w:val="single" w:color="auto" w:sz="4" w:space="0"/>
                    <w:right w:val="single" w:color="auto" w:sz="4" w:space="0"/>
                  </w:tcBorders>
                  <w:vAlign w:val="center"/>
                </w:tcPr>
                <w:p w14:paraId="452FF1FB">
                  <w:pPr>
                    <w:pStyle w:val="144"/>
                    <w:autoSpaceDE/>
                    <w:autoSpaceDN/>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污染大气及地下水</w:t>
                  </w:r>
                </w:p>
              </w:tc>
            </w:tr>
          </w:tbl>
          <w:p w14:paraId="7ED52069">
            <w:pPr>
              <w:ind w:firstLine="482"/>
              <w:rPr>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2</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风险防范措施</w:t>
            </w:r>
          </w:p>
          <w:p w14:paraId="51495EF8">
            <w:pPr>
              <w:ind w:firstLine="482"/>
              <w:rPr>
                <w:rFonts w:hint="eastAsia"/>
                <w:b/>
                <w:bCs/>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①</w:t>
            </w:r>
            <w:r>
              <w:rPr>
                <w:rFonts w:hint="eastAsia"/>
                <w:b/>
                <w:bCs/>
                <w:color w:val="000000" w:themeColor="text1"/>
                <w14:textFill>
                  <w14:solidFill>
                    <w14:schemeClr w14:val="tx1"/>
                  </w14:solidFill>
                </w14:textFill>
              </w:rPr>
              <w:t>环境风险管理措施</w:t>
            </w:r>
          </w:p>
          <w:p w14:paraId="06CD2FA2">
            <w:pPr>
              <w:ind w:firstLine="480"/>
              <w:rPr>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A、</w:t>
            </w:r>
            <w:r>
              <w:rPr>
                <w:rFonts w:hint="eastAsia"/>
                <w:color w:val="000000" w:themeColor="text1"/>
                <w14:textFill>
                  <w14:solidFill>
                    <w14:schemeClr w14:val="tx1"/>
                  </w14:solidFill>
                </w14:textFill>
              </w:rPr>
              <w:t>严格执行国家的安全卫生标准规范及相关的法律法规，对安全、防火、防爆、劳动保护等方面综合考虑；</w:t>
            </w:r>
          </w:p>
          <w:p w14:paraId="08A8FDAC">
            <w:pPr>
              <w:ind w:firstLine="480"/>
              <w:rPr>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B、</w:t>
            </w:r>
            <w:r>
              <w:rPr>
                <w:rFonts w:hint="eastAsia"/>
                <w:color w:val="000000" w:themeColor="text1"/>
                <w14:textFill>
                  <w14:solidFill>
                    <w14:schemeClr w14:val="tx1"/>
                  </w14:solidFill>
                </w14:textFill>
              </w:rPr>
              <w:t>制定安全生产方针、政策、计划和各种规范，完善安全管理制度和安全操作规程，建立健全环境管理体系和监测体系，完善各种规章制度标准</w:t>
            </w:r>
            <w:r>
              <w:rPr>
                <w:color w:val="000000" w:themeColor="text1"/>
                <w14:textFill>
                  <w14:solidFill>
                    <w14:schemeClr w14:val="tx1"/>
                  </w14:solidFill>
                </w14:textFill>
              </w:rPr>
              <w:t>；</w:t>
            </w:r>
          </w:p>
          <w:p w14:paraId="56185C37">
            <w:pPr>
              <w:ind w:firstLine="480"/>
              <w:rPr>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C、</w:t>
            </w:r>
            <w:r>
              <w:rPr>
                <w:rFonts w:hint="eastAsia"/>
                <w:color w:val="000000" w:themeColor="text1"/>
                <w14:textFill>
                  <w14:solidFill>
                    <w14:schemeClr w14:val="tx1"/>
                  </w14:solidFill>
                </w14:textFill>
              </w:rPr>
              <w:t>对工作人员定期进行环保安全教育，增强职工的环保意识和安全意识</w:t>
            </w:r>
            <w:r>
              <w:rPr>
                <w:color w:val="000000" w:themeColor="text1"/>
                <w14:textFill>
                  <w14:solidFill>
                    <w14:schemeClr w14:val="tx1"/>
                  </w14:solidFill>
                </w14:textFill>
              </w:rPr>
              <w:t>；</w:t>
            </w:r>
          </w:p>
          <w:p w14:paraId="7F9694AD">
            <w:pPr>
              <w:ind w:firstLine="480"/>
              <w:rPr>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D、</w:t>
            </w:r>
            <w:r>
              <w:rPr>
                <w:rFonts w:hint="eastAsia"/>
                <w:color w:val="000000" w:themeColor="text1"/>
                <w14:textFill>
                  <w14:solidFill>
                    <w14:schemeClr w14:val="tx1"/>
                  </w14:solidFill>
                </w14:textFill>
              </w:rPr>
              <w:t>在选材等环节严守质量关，加强技术工人的培训，提高操作水平；</w:t>
            </w:r>
          </w:p>
          <w:p w14:paraId="4ED2A3DD">
            <w:pPr>
              <w:ind w:firstLine="480"/>
              <w:rPr>
                <w:rFonts w:hint="eastAsia"/>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E、</w:t>
            </w:r>
            <w:r>
              <w:rPr>
                <w:rFonts w:hint="eastAsia"/>
                <w:color w:val="000000" w:themeColor="text1"/>
                <w14:textFill>
                  <w14:solidFill>
                    <w14:schemeClr w14:val="tx1"/>
                  </w14:solidFill>
                </w14:textFill>
              </w:rPr>
              <w:t>风险管理是一个动态的、循环的过程，应对不断变化的风险进行评价，并对相应安全维护措施做出调整</w:t>
            </w:r>
            <w:r>
              <w:rPr>
                <w:color w:val="000000" w:themeColor="text1"/>
                <w14:textFill>
                  <w14:solidFill>
                    <w14:schemeClr w14:val="tx1"/>
                  </w14:solidFill>
                </w14:textFill>
              </w:rPr>
              <w:t>。</w:t>
            </w:r>
          </w:p>
          <w:p w14:paraId="01E5283C">
            <w:pPr>
              <w:ind w:firstLine="482"/>
              <w:rPr>
                <w:b/>
                <w:bCs/>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rFonts w:hint="eastAsia"/>
                <w:b/>
                <w:bCs/>
                <w:color w:val="000000" w:themeColor="text1"/>
                <w14:textFill>
                  <w14:solidFill>
                    <w14:schemeClr w14:val="tx1"/>
                  </w14:solidFill>
                </w14:textFill>
              </w:rPr>
              <w:t>危险废物贮存过程的风险防范措施</w:t>
            </w:r>
          </w:p>
          <w:p w14:paraId="4F453C32">
            <w:pPr>
              <w:ind w:firstLine="480"/>
              <w:rPr>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A、</w:t>
            </w:r>
            <w:r>
              <w:rPr>
                <w:rFonts w:hint="eastAsia"/>
                <w:color w:val="000000" w:themeColor="text1"/>
                <w14:textFill>
                  <w14:solidFill>
                    <w14:schemeClr w14:val="tx1"/>
                  </w14:solidFill>
                </w14:textFill>
              </w:rPr>
              <w:t>危险废物贮存设施应配备消防设施等；</w:t>
            </w:r>
          </w:p>
          <w:p w14:paraId="2E231F10">
            <w:pPr>
              <w:ind w:firstLine="480"/>
              <w:rPr>
                <w:rFonts w:hint="eastAsia"/>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B、</w:t>
            </w:r>
            <w:r>
              <w:rPr>
                <w:rFonts w:hint="eastAsia"/>
                <w:color w:val="000000" w:themeColor="text1"/>
                <w14:textFill>
                  <w14:solidFill>
                    <w14:schemeClr w14:val="tx1"/>
                  </w14:solidFill>
                </w14:textFill>
              </w:rPr>
              <w:t>危废间应阴凉、干燥、通风，避免阳光直射、暴晒，远离热源、电源、火源等；</w:t>
            </w:r>
          </w:p>
          <w:p w14:paraId="146B6B94">
            <w:pPr>
              <w:ind w:firstLine="480"/>
              <w:rPr>
                <w:rFonts w:hint="eastAsia"/>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C、</w:t>
            </w:r>
            <w:r>
              <w:rPr>
                <w:rFonts w:hint="eastAsia"/>
                <w:color w:val="000000" w:themeColor="text1"/>
                <w14:textFill>
                  <w14:solidFill>
                    <w14:schemeClr w14:val="tx1"/>
                  </w14:solidFill>
                </w14:textFill>
              </w:rPr>
              <w:t>贮存易燃易爆危险废物应配置火灾报警装置。</w:t>
            </w:r>
          </w:p>
          <w:p w14:paraId="780ABA2B">
            <w:pPr>
              <w:ind w:firstLine="482"/>
              <w:rPr>
                <w:rFonts w:hint="eastAsia"/>
                <w:b/>
                <w:bCs/>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rFonts w:hint="eastAsia"/>
                <w:b/>
                <w:bCs/>
                <w:color w:val="000000" w:themeColor="text1"/>
                <w14:textFill>
                  <w14:solidFill>
                    <w14:schemeClr w14:val="tx1"/>
                  </w14:solidFill>
                </w14:textFill>
              </w:rPr>
              <w:t>生产风险防范措施</w:t>
            </w:r>
          </w:p>
          <w:p w14:paraId="4E9506AC">
            <w:pPr>
              <w:ind w:firstLine="480"/>
              <w:rPr>
                <w:rFonts w:hint="eastAsia"/>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A、</w:t>
            </w:r>
            <w:r>
              <w:rPr>
                <w:rFonts w:hint="eastAsia"/>
                <w:color w:val="000000" w:themeColor="text1"/>
                <w14:textFill>
                  <w14:solidFill>
                    <w14:schemeClr w14:val="tx1"/>
                  </w14:solidFill>
                </w14:textFill>
              </w:rPr>
              <w:t>各类物料按要求进行分区、分类存放，并在各类存放区设置标识，车间地面进行硬化，防渗处理；</w:t>
            </w:r>
          </w:p>
          <w:p w14:paraId="462DC27C">
            <w:pPr>
              <w:ind w:firstLine="480"/>
              <w:rPr>
                <w:rFonts w:hint="eastAsia"/>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B、</w:t>
            </w:r>
            <w:r>
              <w:rPr>
                <w:rFonts w:hint="eastAsia"/>
                <w:color w:val="000000" w:themeColor="text1"/>
                <w14:textFill>
                  <w14:solidFill>
                    <w14:schemeClr w14:val="tx1"/>
                  </w14:solidFill>
                </w14:textFill>
              </w:rPr>
              <w:t>物料在运输前应进行包装，不得裸露运输，在运输过程中轻装轻卸，避免日晒雨淋，保持包装完整，避免在装载和运输过程中泄漏污染环境；</w:t>
            </w:r>
          </w:p>
          <w:p w14:paraId="648AEC41">
            <w:pPr>
              <w:ind w:firstLine="480"/>
              <w:rPr>
                <w:rFonts w:hint="eastAsia"/>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C、</w:t>
            </w:r>
            <w:r>
              <w:rPr>
                <w:rFonts w:hint="eastAsia"/>
                <w:color w:val="000000" w:themeColor="text1"/>
                <w14:textFill>
                  <w14:solidFill>
                    <w14:schemeClr w14:val="tx1"/>
                  </w14:solidFill>
                </w14:textFill>
              </w:rPr>
              <w:t>项目严格按《危险废物鉴别标准》进行鉴别，分拣出的一般工业固体废物与危险废物的收集、储存、处置过程中严格按照《中华人民共和国固体废物污染环境防治法》中的有关规定执行一般工业固体废物与危险废物的申报、收集、储存、运输、处置等规定；</w:t>
            </w:r>
          </w:p>
          <w:p w14:paraId="40967851">
            <w:pPr>
              <w:ind w:firstLine="480"/>
              <w:rPr>
                <w:rFonts w:hint="eastAsia"/>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D、</w:t>
            </w:r>
            <w:r>
              <w:rPr>
                <w:rFonts w:hint="eastAsia"/>
                <w:color w:val="000000" w:themeColor="text1"/>
                <w14:textFill>
                  <w14:solidFill>
                    <w14:schemeClr w14:val="tx1"/>
                  </w14:solidFill>
                </w14:textFill>
              </w:rPr>
              <w:t>在原料输送环节上尽可能的减少人为的不安全行为，如不遵守交通规则，误操作等，最大程度减少交通事故导致物料散落的可能；</w:t>
            </w:r>
          </w:p>
          <w:p w14:paraId="5DEB8445">
            <w:pPr>
              <w:ind w:firstLine="480"/>
              <w:rPr>
                <w:color w:val="000000" w:themeColor="text1"/>
                <w14:textFill>
                  <w14:solidFill>
                    <w14:schemeClr w14:val="tx1"/>
                  </w14:solidFill>
                </w14:textFill>
              </w:rPr>
            </w:pPr>
            <w:r>
              <w:rPr>
                <w:rFonts w:hint="eastAsia" w:ascii="Cambria Math" w:hAnsi="Cambria Math" w:cs="Cambria Math"/>
                <w:color w:val="000000" w:themeColor="text1"/>
                <w:lang w:val="en-US" w:eastAsia="zh-CN"/>
                <w14:textFill>
                  <w14:solidFill>
                    <w14:schemeClr w14:val="tx1"/>
                  </w14:solidFill>
                </w14:textFill>
              </w:rPr>
              <w:t>E、</w:t>
            </w:r>
            <w:r>
              <w:rPr>
                <w:rFonts w:hint="eastAsia"/>
                <w:color w:val="000000" w:themeColor="text1"/>
                <w14:textFill>
                  <w14:solidFill>
                    <w14:schemeClr w14:val="tx1"/>
                  </w14:solidFill>
                </w14:textFill>
              </w:rPr>
              <w:t>在储存过程的环境风险采取的管理措施具体包括：原料、产品及产生的工业固废贮存区设置明显标志；对各类物料按计划购入、分期分批入库，严格控制贮存量；对作业活动以及可燃物品、易泄露物质的控制和管理；制定各种操作规范，加强监督管理，严格看管检查制度，避免事故的发生；落实事故风险应急预案和环境监测计划。</w:t>
            </w:r>
          </w:p>
        </w:tc>
      </w:tr>
    </w:tbl>
    <w:p w14:paraId="52D48685">
      <w:pPr>
        <w:pStyle w:val="312"/>
        <w:keepNext/>
        <w:keepLines/>
        <w:pageBreakBefore/>
        <w:numPr>
          <w:ilvl w:val="0"/>
          <w:numId w:val="13"/>
        </w:numPr>
        <w:ind w:firstLineChars="0"/>
        <w:jc w:val="center"/>
        <w:outlineLvl w:val="0"/>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环境保护措施监督检查清单</w:t>
      </w:r>
    </w:p>
    <w:tbl>
      <w:tblPr>
        <w:tblStyle w:val="8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934"/>
        <w:gridCol w:w="1366"/>
        <w:gridCol w:w="1125"/>
        <w:gridCol w:w="2825"/>
        <w:gridCol w:w="1317"/>
      </w:tblGrid>
      <w:tr w14:paraId="41758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3" w:type="dxa"/>
            <w:tcBorders>
              <w:tl2br w:val="single" w:color="auto" w:sz="4" w:space="0"/>
            </w:tcBorders>
            <w:noWrap w:val="0"/>
            <w:vAlign w:val="top"/>
          </w:tcPr>
          <w:p w14:paraId="6102C19E">
            <w:pPr>
              <w:widowControl w:val="0"/>
              <w:adjustRightInd w:val="0"/>
              <w:snapToGrid w:val="0"/>
              <w:spacing w:line="240" w:lineRule="auto"/>
              <w:ind w:firstLine="0" w:firstLineChars="0"/>
              <w:jc w:val="right"/>
              <w:rPr>
                <w:rFonts w:hint="eastAsia"/>
                <w:color w:val="000000" w:themeColor="text1"/>
                <w:sz w:val="24"/>
                <w:szCs w:val="24"/>
                <w14:textFill>
                  <w14:solidFill>
                    <w14:schemeClr w14:val="tx1"/>
                  </w14:solidFill>
                </w14:textFill>
              </w:rPr>
            </w:pPr>
            <w:bookmarkStart w:id="29" w:name="OLE_LINK5" w:colFirst="0" w:colLast="65"/>
            <w:bookmarkStart w:id="30" w:name="_Hlk213319519"/>
            <w:bookmarkStart w:id="31" w:name="OLE_LINK4" w:colFirst="0" w:colLast="65"/>
            <w:r>
              <w:rPr>
                <w:rFonts w:hint="eastAsia"/>
                <w:color w:val="000000" w:themeColor="text1"/>
                <w:sz w:val="24"/>
                <w:szCs w:val="24"/>
                <w14:textFill>
                  <w14:solidFill>
                    <w14:schemeClr w14:val="tx1"/>
                  </w14:solidFill>
                </w14:textFill>
              </w:rPr>
              <w:t>内容</w:t>
            </w:r>
          </w:p>
          <w:p w14:paraId="206D9C3F">
            <w:pPr>
              <w:widowControl w:val="0"/>
              <w:adjustRightInd w:val="0"/>
              <w:snapToGrid w:val="0"/>
              <w:spacing w:line="240" w:lineRule="auto"/>
              <w:ind w:firstLine="0" w:firstLineChars="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要素</w:t>
            </w:r>
          </w:p>
        </w:tc>
        <w:tc>
          <w:tcPr>
            <w:tcW w:w="2300" w:type="dxa"/>
            <w:gridSpan w:val="2"/>
            <w:noWrap w:val="0"/>
            <w:vAlign w:val="center"/>
          </w:tcPr>
          <w:p w14:paraId="3EABCF17">
            <w:pPr>
              <w:widowControl w:val="0"/>
              <w:adjustRightInd w:val="0"/>
              <w:snapToGrid w:val="0"/>
              <w:spacing w:line="240" w:lineRule="auto"/>
              <w:ind w:firstLine="0" w:firstLineChars="0"/>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排放口(编号、名称)/污染源</w:t>
            </w:r>
          </w:p>
        </w:tc>
        <w:tc>
          <w:tcPr>
            <w:tcW w:w="1125" w:type="dxa"/>
            <w:noWrap w:val="0"/>
            <w:vAlign w:val="center"/>
          </w:tcPr>
          <w:p w14:paraId="2934AE70">
            <w:pPr>
              <w:widowControl w:val="0"/>
              <w:adjustRightInd w:val="0"/>
              <w:snapToGrid w:val="0"/>
              <w:spacing w:line="240" w:lineRule="auto"/>
              <w:ind w:firstLine="0" w:firstLineChars="0"/>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污染物项目</w:t>
            </w:r>
          </w:p>
        </w:tc>
        <w:tc>
          <w:tcPr>
            <w:tcW w:w="2825" w:type="dxa"/>
            <w:noWrap w:val="0"/>
            <w:vAlign w:val="center"/>
          </w:tcPr>
          <w:p w14:paraId="2A4F8247">
            <w:pPr>
              <w:widowControl w:val="0"/>
              <w:adjustRightInd w:val="0"/>
              <w:snapToGrid w:val="0"/>
              <w:spacing w:line="240" w:lineRule="auto"/>
              <w:ind w:firstLine="0" w:firstLineChars="0"/>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环境保护措施</w:t>
            </w:r>
          </w:p>
        </w:tc>
        <w:tc>
          <w:tcPr>
            <w:tcW w:w="1317" w:type="dxa"/>
            <w:noWrap w:val="0"/>
            <w:vAlign w:val="center"/>
          </w:tcPr>
          <w:p w14:paraId="6A85D890">
            <w:pPr>
              <w:widowControl w:val="0"/>
              <w:adjustRightInd w:val="0"/>
              <w:snapToGrid w:val="0"/>
              <w:spacing w:line="240" w:lineRule="auto"/>
              <w:ind w:firstLine="0" w:firstLineChars="0"/>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执行标准</w:t>
            </w:r>
          </w:p>
        </w:tc>
      </w:tr>
      <w:tr w14:paraId="7E842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33" w:type="dxa"/>
            <w:vMerge w:val="restart"/>
            <w:noWrap w:val="0"/>
            <w:vAlign w:val="center"/>
          </w:tcPr>
          <w:p w14:paraId="50D11AC5">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大气环境</w:t>
            </w:r>
          </w:p>
        </w:tc>
        <w:tc>
          <w:tcPr>
            <w:tcW w:w="934" w:type="dxa"/>
            <w:vMerge w:val="restart"/>
            <w:noWrap w:val="0"/>
            <w:vAlign w:val="center"/>
          </w:tcPr>
          <w:p w14:paraId="5463390B">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有组织</w:t>
            </w:r>
          </w:p>
        </w:tc>
        <w:tc>
          <w:tcPr>
            <w:tcW w:w="1366" w:type="dxa"/>
            <w:noWrap w:val="0"/>
            <w:vAlign w:val="center"/>
          </w:tcPr>
          <w:p w14:paraId="7E58AF33">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隧道窑烟气</w:t>
            </w:r>
          </w:p>
          <w:p w14:paraId="3AB29C89">
            <w:pPr>
              <w:widowControl w:val="0"/>
              <w:adjustRightInd w:val="0"/>
              <w:snapToGrid w:val="0"/>
              <w:spacing w:line="240" w:lineRule="auto"/>
              <w:ind w:firstLine="0" w:firstLineChars="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排气筒DA00</w:t>
            </w:r>
            <w:r>
              <w:rPr>
                <w:rFonts w:hint="eastAsia"/>
                <w:color w:val="000000" w:themeColor="text1"/>
                <w:sz w:val="21"/>
                <w:szCs w:val="21"/>
                <w:lang w:val="en-US" w:eastAsia="zh-CN"/>
                <w14:textFill>
                  <w14:solidFill>
                    <w14:schemeClr w14:val="tx1"/>
                  </w14:solidFill>
                </w14:textFill>
              </w:rPr>
              <w:t>1</w:t>
            </w:r>
          </w:p>
        </w:tc>
        <w:tc>
          <w:tcPr>
            <w:tcW w:w="1125" w:type="dxa"/>
            <w:noWrap w:val="0"/>
            <w:vAlign w:val="center"/>
          </w:tcPr>
          <w:p w14:paraId="7368BCB0">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颗粒物、氟化物SO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、NO</w:t>
            </w:r>
            <w:r>
              <w:rPr>
                <w:rFonts w:hint="eastAsia"/>
                <w:color w:val="000000" w:themeColor="text1"/>
                <w:sz w:val="21"/>
                <w:szCs w:val="21"/>
                <w:vertAlign w:val="subscript"/>
                <w14:textFill>
                  <w14:solidFill>
                    <w14:schemeClr w14:val="tx1"/>
                  </w14:solidFill>
                </w14:textFill>
              </w:rPr>
              <w:t>X</w:t>
            </w:r>
          </w:p>
        </w:tc>
        <w:tc>
          <w:tcPr>
            <w:tcW w:w="2825" w:type="dxa"/>
            <w:noWrap w:val="0"/>
            <w:vAlign w:val="center"/>
          </w:tcPr>
          <w:p w14:paraId="4A56F2AE">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湿法除尘+双碱法脱硫系统+28m高烟囱</w:t>
            </w:r>
          </w:p>
        </w:tc>
        <w:tc>
          <w:tcPr>
            <w:tcW w:w="1317" w:type="dxa"/>
            <w:vMerge w:val="restart"/>
            <w:noWrap w:val="0"/>
            <w:vAlign w:val="center"/>
          </w:tcPr>
          <w:p w14:paraId="364997F9">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《砖瓦工业大气污染物排放标准》（GB29620-2013）表2及修改单标准限值</w:t>
            </w:r>
          </w:p>
        </w:tc>
      </w:tr>
      <w:tr w14:paraId="67B99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33" w:type="dxa"/>
            <w:vMerge w:val="continue"/>
            <w:noWrap w:val="0"/>
            <w:vAlign w:val="center"/>
          </w:tcPr>
          <w:p w14:paraId="4145C6A4">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934" w:type="dxa"/>
            <w:vMerge w:val="continue"/>
            <w:noWrap w:val="0"/>
            <w:vAlign w:val="center"/>
          </w:tcPr>
          <w:p w14:paraId="0E0C0BDC">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c>
          <w:tcPr>
            <w:tcW w:w="1366" w:type="dxa"/>
            <w:noWrap w:val="0"/>
            <w:vAlign w:val="center"/>
          </w:tcPr>
          <w:p w14:paraId="2AE9895C">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隧道窑烟气</w:t>
            </w:r>
          </w:p>
          <w:p w14:paraId="1AC9D567">
            <w:pPr>
              <w:widowControl w:val="0"/>
              <w:adjustRightInd w:val="0"/>
              <w:snapToGrid w:val="0"/>
              <w:spacing w:line="240" w:lineRule="auto"/>
              <w:ind w:firstLine="0" w:firstLineChars="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排气筒DA00</w:t>
            </w:r>
            <w:r>
              <w:rPr>
                <w:rFonts w:hint="eastAsia"/>
                <w:color w:val="000000" w:themeColor="text1"/>
                <w:sz w:val="21"/>
                <w:szCs w:val="21"/>
                <w:lang w:val="en-US" w:eastAsia="zh-CN"/>
                <w14:textFill>
                  <w14:solidFill>
                    <w14:schemeClr w14:val="tx1"/>
                  </w14:solidFill>
                </w14:textFill>
              </w:rPr>
              <w:t>2</w:t>
            </w:r>
          </w:p>
        </w:tc>
        <w:tc>
          <w:tcPr>
            <w:tcW w:w="1125" w:type="dxa"/>
            <w:noWrap w:val="0"/>
            <w:vAlign w:val="center"/>
          </w:tcPr>
          <w:p w14:paraId="094C4B43">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颗粒物、氟化物SO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、NO</w:t>
            </w:r>
            <w:r>
              <w:rPr>
                <w:rFonts w:hint="eastAsia"/>
                <w:color w:val="000000" w:themeColor="text1"/>
                <w:sz w:val="21"/>
                <w:szCs w:val="21"/>
                <w:vertAlign w:val="subscript"/>
                <w14:textFill>
                  <w14:solidFill>
                    <w14:schemeClr w14:val="tx1"/>
                  </w14:solidFill>
                </w14:textFill>
              </w:rPr>
              <w:t>X</w:t>
            </w:r>
          </w:p>
        </w:tc>
        <w:tc>
          <w:tcPr>
            <w:tcW w:w="2825" w:type="dxa"/>
            <w:noWrap w:val="0"/>
            <w:vAlign w:val="center"/>
          </w:tcPr>
          <w:p w14:paraId="32DA496D">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湿法除尘+双碱法脱硫系统+28m高烟囱</w:t>
            </w:r>
          </w:p>
        </w:tc>
        <w:tc>
          <w:tcPr>
            <w:tcW w:w="1317" w:type="dxa"/>
            <w:vMerge w:val="continue"/>
            <w:noWrap w:val="0"/>
            <w:vAlign w:val="center"/>
          </w:tcPr>
          <w:p w14:paraId="555AD79A">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r>
      <w:tr w14:paraId="1357B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233" w:type="dxa"/>
            <w:vMerge w:val="continue"/>
            <w:noWrap w:val="0"/>
            <w:vAlign w:val="center"/>
          </w:tcPr>
          <w:p w14:paraId="660E48ED">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934" w:type="dxa"/>
            <w:vMerge w:val="restart"/>
            <w:noWrap w:val="0"/>
            <w:vAlign w:val="center"/>
          </w:tcPr>
          <w:p w14:paraId="52D19536">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w:t>
            </w:r>
          </w:p>
        </w:tc>
        <w:tc>
          <w:tcPr>
            <w:tcW w:w="1366" w:type="dxa"/>
            <w:noWrap w:val="0"/>
            <w:vAlign w:val="center"/>
          </w:tcPr>
          <w:p w14:paraId="49B0F502">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破碎、筛分</w:t>
            </w:r>
          </w:p>
        </w:tc>
        <w:tc>
          <w:tcPr>
            <w:tcW w:w="1125" w:type="dxa"/>
            <w:noWrap w:val="0"/>
            <w:vAlign w:val="center"/>
          </w:tcPr>
          <w:p w14:paraId="1DD29BA8">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2825" w:type="dxa"/>
            <w:noWrap w:val="0"/>
            <w:vAlign w:val="center"/>
          </w:tcPr>
          <w:p w14:paraId="752C40BE">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在产尘点设置洒水喷雾装置、密闭廊道，原料入口和转载点喷雾抑尘</w:t>
            </w:r>
          </w:p>
        </w:tc>
        <w:tc>
          <w:tcPr>
            <w:tcW w:w="1317" w:type="dxa"/>
            <w:vMerge w:val="restart"/>
            <w:noWrap w:val="0"/>
            <w:vAlign w:val="center"/>
          </w:tcPr>
          <w:p w14:paraId="1D1C6C83">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《砖瓦工业大气污染物排放标准》（GB29620-2013）表3及修改单标准限值</w:t>
            </w:r>
          </w:p>
        </w:tc>
      </w:tr>
      <w:tr w14:paraId="2ECDA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233" w:type="dxa"/>
            <w:vMerge w:val="continue"/>
            <w:noWrap w:val="0"/>
            <w:vAlign w:val="center"/>
          </w:tcPr>
          <w:p w14:paraId="640D48D9">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934" w:type="dxa"/>
            <w:vMerge w:val="continue"/>
            <w:noWrap w:val="0"/>
            <w:vAlign w:val="center"/>
          </w:tcPr>
          <w:p w14:paraId="4F21D819">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c>
          <w:tcPr>
            <w:tcW w:w="1366" w:type="dxa"/>
            <w:noWrap w:val="0"/>
            <w:vAlign w:val="center"/>
          </w:tcPr>
          <w:p w14:paraId="1EE31B17">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物料储存，转运</w:t>
            </w:r>
          </w:p>
        </w:tc>
        <w:tc>
          <w:tcPr>
            <w:tcW w:w="1125" w:type="dxa"/>
            <w:noWrap w:val="0"/>
            <w:vAlign w:val="center"/>
          </w:tcPr>
          <w:p w14:paraId="409D8A1E">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2825" w:type="dxa"/>
            <w:noWrap w:val="0"/>
            <w:vAlign w:val="center"/>
          </w:tcPr>
          <w:p w14:paraId="45EFA087">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全封闭储棚，并设雾炮装置，定期洒水，全封闭皮带走廊，转折跌落点处设水雾炮机除尘，抑尘效率90%</w:t>
            </w:r>
          </w:p>
        </w:tc>
        <w:tc>
          <w:tcPr>
            <w:tcW w:w="1317" w:type="dxa"/>
            <w:vMerge w:val="continue"/>
            <w:noWrap w:val="0"/>
            <w:vAlign w:val="center"/>
          </w:tcPr>
          <w:p w14:paraId="40E872F1">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r>
      <w:tr w14:paraId="18FA5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233" w:type="dxa"/>
            <w:vMerge w:val="continue"/>
            <w:noWrap w:val="0"/>
            <w:vAlign w:val="center"/>
          </w:tcPr>
          <w:p w14:paraId="696A9DB0">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934" w:type="dxa"/>
            <w:vMerge w:val="continue"/>
            <w:noWrap w:val="0"/>
            <w:vAlign w:val="center"/>
          </w:tcPr>
          <w:p w14:paraId="66211B4C">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c>
          <w:tcPr>
            <w:tcW w:w="1366" w:type="dxa"/>
            <w:noWrap w:val="0"/>
            <w:vAlign w:val="center"/>
          </w:tcPr>
          <w:p w14:paraId="5542EC33">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道路运输</w:t>
            </w:r>
          </w:p>
        </w:tc>
        <w:tc>
          <w:tcPr>
            <w:tcW w:w="1125" w:type="dxa"/>
            <w:noWrap w:val="0"/>
            <w:vAlign w:val="center"/>
          </w:tcPr>
          <w:p w14:paraId="6A663577">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2825" w:type="dxa"/>
            <w:noWrap w:val="0"/>
            <w:vAlign w:val="center"/>
          </w:tcPr>
          <w:p w14:paraId="16E04E0E">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厂区道路硬化洒水；进出口处设洗车台</w:t>
            </w:r>
          </w:p>
        </w:tc>
        <w:tc>
          <w:tcPr>
            <w:tcW w:w="1317" w:type="dxa"/>
            <w:vMerge w:val="continue"/>
            <w:noWrap w:val="0"/>
            <w:vAlign w:val="center"/>
          </w:tcPr>
          <w:p w14:paraId="0308E485">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r>
      <w:tr w14:paraId="3B68D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33" w:type="dxa"/>
            <w:vMerge w:val="continue"/>
            <w:noWrap w:val="0"/>
            <w:vAlign w:val="center"/>
          </w:tcPr>
          <w:p w14:paraId="6386D0D9">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3425" w:type="dxa"/>
            <w:gridSpan w:val="3"/>
            <w:noWrap w:val="0"/>
            <w:vAlign w:val="center"/>
          </w:tcPr>
          <w:p w14:paraId="68389182">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扬尘在线设备</w:t>
            </w:r>
          </w:p>
        </w:tc>
        <w:tc>
          <w:tcPr>
            <w:tcW w:w="2825" w:type="dxa"/>
            <w:noWrap w:val="0"/>
            <w:vAlign w:val="center"/>
          </w:tcPr>
          <w:p w14:paraId="693E3FAB">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在厂界四角建设4台扬尘在线监控设施</w:t>
            </w:r>
          </w:p>
        </w:tc>
        <w:tc>
          <w:tcPr>
            <w:tcW w:w="1317" w:type="dxa"/>
            <w:vMerge w:val="continue"/>
            <w:noWrap w:val="0"/>
            <w:vAlign w:val="center"/>
          </w:tcPr>
          <w:p w14:paraId="113062A3">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r>
      <w:tr w14:paraId="2AE75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33" w:type="dxa"/>
            <w:vMerge w:val="continue"/>
            <w:noWrap w:val="0"/>
            <w:vAlign w:val="center"/>
          </w:tcPr>
          <w:p w14:paraId="7086A6D7">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6250" w:type="dxa"/>
            <w:gridSpan w:val="4"/>
            <w:noWrap w:val="0"/>
            <w:vAlign w:val="center"/>
          </w:tcPr>
          <w:p w14:paraId="49FEF236">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煤棚内CO、煤尘、温度探测装置</w:t>
            </w:r>
          </w:p>
        </w:tc>
        <w:tc>
          <w:tcPr>
            <w:tcW w:w="1317" w:type="dxa"/>
            <w:vMerge w:val="continue"/>
            <w:noWrap w:val="0"/>
            <w:vAlign w:val="center"/>
          </w:tcPr>
          <w:p w14:paraId="1185502C">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r>
      <w:tr w14:paraId="4157B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dxa"/>
            <w:vMerge w:val="restart"/>
            <w:noWrap w:val="0"/>
            <w:vAlign w:val="center"/>
          </w:tcPr>
          <w:p w14:paraId="5409894F">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地表水环境</w:t>
            </w:r>
          </w:p>
        </w:tc>
        <w:tc>
          <w:tcPr>
            <w:tcW w:w="2300" w:type="dxa"/>
            <w:gridSpan w:val="2"/>
            <w:noWrap w:val="0"/>
            <w:vAlign w:val="center"/>
          </w:tcPr>
          <w:p w14:paraId="36D79802">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生活污水</w:t>
            </w:r>
          </w:p>
        </w:tc>
        <w:tc>
          <w:tcPr>
            <w:tcW w:w="1125" w:type="dxa"/>
            <w:vMerge w:val="restart"/>
            <w:noWrap w:val="0"/>
            <w:vAlign w:val="center"/>
          </w:tcPr>
          <w:p w14:paraId="49D66F5F">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COD</w:t>
            </w:r>
            <w:r>
              <w:rPr>
                <w:rFonts w:hint="eastAsia"/>
                <w:color w:val="000000" w:themeColor="text1"/>
                <w:sz w:val="21"/>
                <w:szCs w:val="21"/>
                <w:vertAlign w:val="subscript"/>
                <w:lang w:val="en-US" w:eastAsia="zh-CN"/>
                <w14:textFill>
                  <w14:solidFill>
                    <w14:schemeClr w14:val="tx1"/>
                  </w14:solidFill>
                </w14:textFill>
              </w:rPr>
              <w:t>C</w:t>
            </w:r>
            <w:r>
              <w:rPr>
                <w:rFonts w:hint="eastAsia"/>
                <w:color w:val="000000" w:themeColor="text1"/>
                <w:sz w:val="21"/>
                <w:szCs w:val="21"/>
                <w:vertAlign w:val="subscript"/>
                <w14:textFill>
                  <w14:solidFill>
                    <w14:schemeClr w14:val="tx1"/>
                  </w14:solidFill>
                </w14:textFill>
              </w:rPr>
              <w:t>r</w:t>
            </w:r>
            <w:r>
              <w:rPr>
                <w:rFonts w:hint="eastAsia"/>
                <w:color w:val="000000" w:themeColor="text1"/>
                <w:sz w:val="21"/>
                <w:szCs w:val="21"/>
                <w14:textFill>
                  <w14:solidFill>
                    <w14:schemeClr w14:val="tx1"/>
                  </w14:solidFill>
                </w14:textFill>
              </w:rPr>
              <w:t>, BOD</w:t>
            </w:r>
            <w:r>
              <w:rPr>
                <w:rFonts w:hint="eastAsia"/>
                <w:color w:val="000000" w:themeColor="text1"/>
                <w:sz w:val="21"/>
                <w:szCs w:val="21"/>
                <w:vertAlign w:val="subscript"/>
                <w14:textFill>
                  <w14:solidFill>
                    <w14:schemeClr w14:val="tx1"/>
                  </w14:solidFill>
                </w14:textFill>
              </w:rPr>
              <w:t>5</w:t>
            </w:r>
            <w:r>
              <w:rPr>
                <w:rFonts w:hint="eastAsia"/>
                <w:color w:val="000000" w:themeColor="text1"/>
                <w:sz w:val="21"/>
                <w:szCs w:val="21"/>
                <w14:textFill>
                  <w14:solidFill>
                    <w14:schemeClr w14:val="tx1"/>
                  </w14:solidFill>
                </w14:textFill>
              </w:rPr>
              <w:t>,SS</w:t>
            </w:r>
          </w:p>
        </w:tc>
        <w:tc>
          <w:tcPr>
            <w:tcW w:w="2825" w:type="dxa"/>
            <w:noWrap w:val="0"/>
            <w:vAlign w:val="center"/>
          </w:tcPr>
          <w:p w14:paraId="2B5D3365">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生活废水设50m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和80m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化粪池，厂区设3个旱厕，定期清掏，用作肥料。</w:t>
            </w:r>
          </w:p>
        </w:tc>
        <w:tc>
          <w:tcPr>
            <w:tcW w:w="1317" w:type="dxa"/>
            <w:noWrap w:val="0"/>
            <w:vAlign w:val="center"/>
          </w:tcPr>
          <w:p w14:paraId="257B7E90">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合理处置</w:t>
            </w:r>
          </w:p>
        </w:tc>
      </w:tr>
      <w:tr w14:paraId="37EA4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33" w:type="dxa"/>
            <w:vMerge w:val="continue"/>
            <w:noWrap w:val="0"/>
            <w:vAlign w:val="center"/>
          </w:tcPr>
          <w:p w14:paraId="28352F45">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2300" w:type="dxa"/>
            <w:gridSpan w:val="2"/>
            <w:vMerge w:val="restart"/>
            <w:noWrap w:val="0"/>
            <w:vAlign w:val="center"/>
          </w:tcPr>
          <w:p w14:paraId="6DD1F4BE">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初期雨水</w:t>
            </w:r>
          </w:p>
        </w:tc>
        <w:tc>
          <w:tcPr>
            <w:tcW w:w="1125" w:type="dxa"/>
            <w:vMerge w:val="continue"/>
            <w:noWrap w:val="0"/>
            <w:vAlign w:val="center"/>
          </w:tcPr>
          <w:p w14:paraId="2598E4A8">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c>
          <w:tcPr>
            <w:tcW w:w="2825" w:type="dxa"/>
            <w:noWrap w:val="0"/>
            <w:vAlign w:val="center"/>
          </w:tcPr>
          <w:p w14:paraId="36056117">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西区免烧砖生产线设雨水收集池1座，防渗处理，用回用生产</w:t>
            </w:r>
          </w:p>
        </w:tc>
        <w:tc>
          <w:tcPr>
            <w:tcW w:w="1317" w:type="dxa"/>
            <w:vMerge w:val="restart"/>
            <w:noWrap w:val="0"/>
            <w:vAlign w:val="center"/>
          </w:tcPr>
          <w:p w14:paraId="3342CBF3">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合理处置</w:t>
            </w:r>
          </w:p>
        </w:tc>
      </w:tr>
      <w:tr w14:paraId="0A8E1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33" w:type="dxa"/>
            <w:vMerge w:val="continue"/>
            <w:noWrap w:val="0"/>
            <w:vAlign w:val="center"/>
          </w:tcPr>
          <w:p w14:paraId="1DA8B3A3">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2300" w:type="dxa"/>
            <w:gridSpan w:val="2"/>
            <w:vMerge w:val="continue"/>
            <w:noWrap w:val="0"/>
            <w:vAlign w:val="center"/>
          </w:tcPr>
          <w:p w14:paraId="40CAB832">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125" w:type="dxa"/>
            <w:vMerge w:val="continue"/>
            <w:noWrap w:val="0"/>
            <w:vAlign w:val="center"/>
          </w:tcPr>
          <w:p w14:paraId="16C612E4">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c>
          <w:tcPr>
            <w:tcW w:w="2825" w:type="dxa"/>
            <w:noWrap w:val="0"/>
            <w:vAlign w:val="center"/>
          </w:tcPr>
          <w:p w14:paraId="286EEDFC">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东区烧结砖生产线设雨水收集池1座，防渗处理，用回用生产</w:t>
            </w:r>
          </w:p>
        </w:tc>
        <w:tc>
          <w:tcPr>
            <w:tcW w:w="1317" w:type="dxa"/>
            <w:vMerge w:val="continue"/>
            <w:noWrap w:val="0"/>
            <w:vAlign w:val="center"/>
          </w:tcPr>
          <w:p w14:paraId="68A36F14">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r>
      <w:tr w14:paraId="23A64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233" w:type="dxa"/>
            <w:vMerge w:val="continue"/>
            <w:noWrap w:val="0"/>
            <w:vAlign w:val="center"/>
          </w:tcPr>
          <w:p w14:paraId="5527F3F7">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2300" w:type="dxa"/>
            <w:gridSpan w:val="2"/>
            <w:noWrap w:val="0"/>
            <w:vAlign w:val="center"/>
          </w:tcPr>
          <w:p w14:paraId="607B61A4">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车辆冲洗废水</w:t>
            </w:r>
          </w:p>
        </w:tc>
        <w:tc>
          <w:tcPr>
            <w:tcW w:w="1125" w:type="dxa"/>
            <w:vMerge w:val="continue"/>
            <w:noWrap w:val="0"/>
            <w:vAlign w:val="center"/>
          </w:tcPr>
          <w:p w14:paraId="4B5A2A2D">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c>
          <w:tcPr>
            <w:tcW w:w="2825" w:type="dxa"/>
            <w:noWrap w:val="0"/>
            <w:vAlign w:val="center"/>
          </w:tcPr>
          <w:p w14:paraId="414F3D9A">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设置厂区进出口洗车装置100m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沉淀池</w:t>
            </w:r>
          </w:p>
        </w:tc>
        <w:tc>
          <w:tcPr>
            <w:tcW w:w="1317" w:type="dxa"/>
            <w:vMerge w:val="continue"/>
            <w:noWrap w:val="0"/>
            <w:vAlign w:val="center"/>
          </w:tcPr>
          <w:p w14:paraId="0676C330">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p>
        </w:tc>
      </w:tr>
      <w:tr w14:paraId="04FB2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233" w:type="dxa"/>
            <w:vMerge w:val="continue"/>
            <w:noWrap w:val="0"/>
            <w:vAlign w:val="center"/>
          </w:tcPr>
          <w:p w14:paraId="5CECD8FF">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p>
        </w:tc>
        <w:tc>
          <w:tcPr>
            <w:tcW w:w="2300" w:type="dxa"/>
            <w:gridSpan w:val="2"/>
            <w:noWrap w:val="0"/>
            <w:vAlign w:val="center"/>
          </w:tcPr>
          <w:p w14:paraId="47E7C86F">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生产废水</w:t>
            </w:r>
          </w:p>
        </w:tc>
        <w:tc>
          <w:tcPr>
            <w:tcW w:w="1125" w:type="dxa"/>
            <w:noWrap w:val="0"/>
            <w:vAlign w:val="center"/>
          </w:tcPr>
          <w:p w14:paraId="75846AB0">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SS</w:t>
            </w:r>
          </w:p>
        </w:tc>
        <w:tc>
          <w:tcPr>
            <w:tcW w:w="2825" w:type="dxa"/>
            <w:noWrap w:val="0"/>
            <w:vAlign w:val="center"/>
          </w:tcPr>
          <w:p w14:paraId="393C2D79">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一级闭路循环，设浓缩池2座</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2500m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的浓缩池用作事故水池</w:t>
            </w:r>
          </w:p>
        </w:tc>
        <w:tc>
          <w:tcPr>
            <w:tcW w:w="1317" w:type="dxa"/>
            <w:noWrap w:val="0"/>
            <w:vAlign w:val="center"/>
          </w:tcPr>
          <w:p w14:paraId="30ECCECF">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循环利用不外排</w:t>
            </w:r>
          </w:p>
        </w:tc>
      </w:tr>
      <w:tr w14:paraId="4317D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1233" w:type="dxa"/>
            <w:noWrap w:val="0"/>
            <w:vAlign w:val="center"/>
          </w:tcPr>
          <w:p w14:paraId="4541A871">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声环境</w:t>
            </w:r>
          </w:p>
        </w:tc>
        <w:tc>
          <w:tcPr>
            <w:tcW w:w="2300" w:type="dxa"/>
            <w:gridSpan w:val="2"/>
            <w:noWrap w:val="0"/>
            <w:vAlign w:val="center"/>
          </w:tcPr>
          <w:p w14:paraId="4B2893EF">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破碎机、筛分机、分级筛、浓缩机、压滤机、水泵等</w:t>
            </w:r>
          </w:p>
        </w:tc>
        <w:tc>
          <w:tcPr>
            <w:tcW w:w="1125" w:type="dxa"/>
            <w:noWrap w:val="0"/>
            <w:vAlign w:val="center"/>
          </w:tcPr>
          <w:p w14:paraId="0934DD82">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Leq(A)</w:t>
            </w:r>
          </w:p>
        </w:tc>
        <w:tc>
          <w:tcPr>
            <w:tcW w:w="2825" w:type="dxa"/>
            <w:noWrap w:val="0"/>
            <w:vAlign w:val="center"/>
          </w:tcPr>
          <w:p w14:paraId="25BE9C63">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选用低噪声设备、厂房隔声、基础减振等</w:t>
            </w:r>
          </w:p>
        </w:tc>
        <w:tc>
          <w:tcPr>
            <w:tcW w:w="1317" w:type="dxa"/>
            <w:noWrap w:val="0"/>
            <w:vAlign w:val="center"/>
          </w:tcPr>
          <w:p w14:paraId="7D280AEB">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符合GB12348-2008《工业企业厂界环境噪声排放标准》2类标准要求</w:t>
            </w:r>
          </w:p>
        </w:tc>
      </w:tr>
      <w:tr w14:paraId="20EC1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dxa"/>
            <w:noWrap w:val="0"/>
            <w:vAlign w:val="center"/>
          </w:tcPr>
          <w:p w14:paraId="538BFD7E">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电磁辐射</w:t>
            </w:r>
          </w:p>
        </w:tc>
        <w:tc>
          <w:tcPr>
            <w:tcW w:w="2300" w:type="dxa"/>
            <w:gridSpan w:val="2"/>
            <w:noWrap w:val="0"/>
            <w:vAlign w:val="center"/>
          </w:tcPr>
          <w:p w14:paraId="7F9F19C3">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125" w:type="dxa"/>
            <w:noWrap w:val="0"/>
            <w:vAlign w:val="center"/>
          </w:tcPr>
          <w:p w14:paraId="365C2BE0">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825" w:type="dxa"/>
            <w:noWrap w:val="0"/>
            <w:vAlign w:val="center"/>
          </w:tcPr>
          <w:p w14:paraId="211DA100">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317" w:type="dxa"/>
            <w:noWrap w:val="0"/>
            <w:vAlign w:val="center"/>
          </w:tcPr>
          <w:p w14:paraId="422E7528">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7D200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233" w:type="dxa"/>
            <w:noWrap w:val="0"/>
            <w:vAlign w:val="center"/>
          </w:tcPr>
          <w:p w14:paraId="6042A004">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固体废物</w:t>
            </w:r>
          </w:p>
        </w:tc>
        <w:tc>
          <w:tcPr>
            <w:tcW w:w="7567" w:type="dxa"/>
            <w:gridSpan w:val="5"/>
            <w:noWrap w:val="0"/>
            <w:vAlign w:val="center"/>
          </w:tcPr>
          <w:p w14:paraId="612FD89B">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不合格砖回用生产；脱硫渣回用生产；生活垃圾</w:t>
            </w:r>
            <w:r>
              <w:rPr>
                <w:rFonts w:hint="eastAsia"/>
                <w:color w:val="000000" w:themeColor="text1"/>
                <w:sz w:val="21"/>
                <w:szCs w:val="21"/>
                <w:lang w:val="zh-CN"/>
                <w14:textFill>
                  <w14:solidFill>
                    <w14:schemeClr w14:val="tx1"/>
                  </w14:solidFill>
                </w14:textFill>
              </w:rPr>
              <w:t>集中收集后，生活垃圾定期送往当地城镇垃圾收集点</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尾泥回用于免烧生产</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除尘灰回用生产；废机油暂存危废间，交由资质单位处置</w:t>
            </w:r>
          </w:p>
        </w:tc>
      </w:tr>
      <w:tr w14:paraId="52A41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6" w:hRule="atLeast"/>
          <w:jc w:val="center"/>
        </w:trPr>
        <w:tc>
          <w:tcPr>
            <w:tcW w:w="1233" w:type="dxa"/>
            <w:noWrap w:val="0"/>
            <w:vAlign w:val="center"/>
          </w:tcPr>
          <w:p w14:paraId="08E755C6">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土壤及地下水</w:t>
            </w:r>
          </w:p>
          <w:p w14:paraId="7BCD086A">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污染防治措施</w:t>
            </w:r>
          </w:p>
        </w:tc>
        <w:tc>
          <w:tcPr>
            <w:tcW w:w="7567" w:type="dxa"/>
            <w:gridSpan w:val="5"/>
            <w:noWrap w:val="0"/>
            <w:vAlign w:val="center"/>
          </w:tcPr>
          <w:p w14:paraId="111E0809">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1.重点防渗区</w:t>
            </w:r>
          </w:p>
          <w:p w14:paraId="2476FE6E">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重点防渗区主要为危废间放置区、浓缩池，脱硫系统（沉淀池、石灰池等）渗透系数≤10</w:t>
            </w:r>
            <w:r>
              <w:rPr>
                <w:rFonts w:hint="eastAsia"/>
                <w:color w:val="000000" w:themeColor="text1"/>
                <w:sz w:val="21"/>
                <w:szCs w:val="21"/>
                <w:vertAlign w:val="superscript"/>
                <w14:textFill>
                  <w14:solidFill>
                    <w14:schemeClr w14:val="tx1"/>
                  </w14:solidFill>
                </w14:textFill>
              </w:rPr>
              <w:t>-7</w:t>
            </w:r>
            <w:r>
              <w:rPr>
                <w:rFonts w:hint="eastAsia"/>
                <w:color w:val="000000" w:themeColor="text1"/>
                <w:sz w:val="21"/>
                <w:szCs w:val="21"/>
                <w14:textFill>
                  <w14:solidFill>
                    <w14:schemeClr w14:val="tx1"/>
                  </w14:solidFill>
                </w14:textFill>
              </w:rPr>
              <w:t>cm/s。</w:t>
            </w:r>
          </w:p>
          <w:p w14:paraId="59050BCB">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2.一般防渗区</w:t>
            </w:r>
          </w:p>
          <w:p w14:paraId="5EFB8F21">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防渗区指生产区中除了上述重点防渗区以外的其他建筑区，指裸露于地面的生产功能单元，污染地下水及土壤环境的物料污染物泄漏后，可及时发现和处理的区域或部位，主要为生产车间、成品棚、沉淀池及雨水池等，本项目一般防渗区参照《一般工业固体废物贮存和填埋污染物控制标准》（GB18599-2020）</w:t>
            </w:r>
            <w:r>
              <w:rPr>
                <w:rFonts w:hint="eastAsia"/>
                <w:color w:val="000000" w:themeColor="text1"/>
                <w:sz w:val="21"/>
                <w:szCs w:val="21"/>
                <w14:textFill>
                  <w14:solidFill>
                    <w14:schemeClr w14:val="tx1"/>
                  </w14:solidFill>
                </w14:textFill>
              </w:rPr>
              <w:fldChar w:fldCharType="begin"/>
            </w:r>
            <w:r>
              <w:rPr>
                <w:rFonts w:hint="eastAsia"/>
                <w:color w:val="000000" w:themeColor="text1"/>
                <w:sz w:val="21"/>
                <w:szCs w:val="21"/>
                <w14:textFill>
                  <w14:solidFill>
                    <w14:schemeClr w14:val="tx1"/>
                  </w14:solidFill>
                </w14:textFill>
              </w:rPr>
              <w:instrText xml:space="preserve"> = 2 \* ROMAN \* MERGEFORMAT </w:instrText>
            </w:r>
            <w:r>
              <w:rPr>
                <w:rFonts w:hint="eastAsia"/>
                <w:color w:val="000000" w:themeColor="text1"/>
                <w:sz w:val="21"/>
                <w:szCs w:val="21"/>
                <w14:textFill>
                  <w14:solidFill>
                    <w14:schemeClr w14:val="tx1"/>
                  </w14:solidFill>
                </w14:textFill>
              </w:rPr>
              <w:fldChar w:fldCharType="separate"/>
            </w:r>
            <w:r>
              <w:rPr>
                <w:rFonts w:hint="eastAsia"/>
                <w:color w:val="000000" w:themeColor="text1"/>
                <w:sz w:val="21"/>
                <w:szCs w:val="21"/>
                <w14:textFill>
                  <w14:solidFill>
                    <w14:schemeClr w14:val="tx1"/>
                  </w14:solidFill>
                </w14:textFill>
              </w:rPr>
              <w:t>II</w:t>
            </w:r>
            <w:r>
              <w:rPr>
                <w:rFonts w:hint="eastAsia"/>
                <w:color w:val="000000" w:themeColor="text1"/>
                <w:sz w:val="21"/>
                <w:szCs w:val="21"/>
                <w14:textFill>
                  <w14:solidFill>
                    <w14:schemeClr w14:val="tx1"/>
                  </w14:solidFill>
                </w14:textFill>
              </w:rPr>
              <w:fldChar w:fldCharType="end"/>
            </w:r>
            <w:r>
              <w:rPr>
                <w:rFonts w:hint="eastAsia"/>
                <w:color w:val="000000" w:themeColor="text1"/>
                <w:sz w:val="21"/>
                <w:szCs w:val="21"/>
                <w14:textFill>
                  <w14:solidFill>
                    <w14:schemeClr w14:val="tx1"/>
                  </w14:solidFill>
                </w14:textFill>
              </w:rPr>
              <w:t>类场地进行地面防渗设计。</w:t>
            </w:r>
          </w:p>
          <w:p w14:paraId="16CA18CA">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3.简单防渗区</w:t>
            </w:r>
          </w:p>
          <w:p w14:paraId="112032EE">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除重点防渗、一般防渗外，采用一般地面硬化。</w:t>
            </w:r>
          </w:p>
        </w:tc>
      </w:tr>
      <w:tr w14:paraId="0913E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33" w:type="dxa"/>
            <w:noWrap w:val="0"/>
            <w:vAlign w:val="center"/>
          </w:tcPr>
          <w:p w14:paraId="4472DB6D">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生态保护措施</w:t>
            </w:r>
          </w:p>
        </w:tc>
        <w:tc>
          <w:tcPr>
            <w:tcW w:w="7567" w:type="dxa"/>
            <w:gridSpan w:val="5"/>
            <w:noWrap w:val="0"/>
            <w:vAlign w:val="center"/>
          </w:tcPr>
          <w:p w14:paraId="2EEC7354">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53939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233" w:type="dxa"/>
            <w:noWrap w:val="0"/>
            <w:vAlign w:val="center"/>
          </w:tcPr>
          <w:p w14:paraId="5B5B35F1">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环境风险</w:t>
            </w:r>
          </w:p>
          <w:p w14:paraId="11D3AE85">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防范措施</w:t>
            </w:r>
          </w:p>
        </w:tc>
        <w:tc>
          <w:tcPr>
            <w:tcW w:w="7567" w:type="dxa"/>
            <w:gridSpan w:val="5"/>
            <w:noWrap w:val="0"/>
            <w:vAlign w:val="center"/>
          </w:tcPr>
          <w:p w14:paraId="39DF3AEF">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（1）环境风险管理措施</w:t>
            </w:r>
          </w:p>
          <w:p w14:paraId="4BD93AEA">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fldChar w:fldCharType="begin"/>
            </w:r>
            <w:r>
              <w:rPr>
                <w:rFonts w:hint="eastAsia"/>
                <w:color w:val="000000" w:themeColor="text1"/>
                <w:sz w:val="21"/>
                <w:szCs w:val="21"/>
                <w14:textFill>
                  <w14:solidFill>
                    <w14:schemeClr w14:val="tx1"/>
                  </w14:solidFill>
                </w14:textFill>
              </w:rPr>
              <w:instrText xml:space="preserve"> = 1 \* GB3 </w:instrText>
            </w:r>
            <w:r>
              <w:rPr>
                <w:rFonts w:hint="eastAsia"/>
                <w:color w:val="000000" w:themeColor="text1"/>
                <w:sz w:val="21"/>
                <w:szCs w:val="21"/>
                <w14:textFill>
                  <w14:solidFill>
                    <w14:schemeClr w14:val="tx1"/>
                  </w14:solidFill>
                </w14:textFill>
              </w:rPr>
              <w:fldChar w:fldCharType="separate"/>
            </w:r>
            <w:r>
              <w:rPr>
                <w:rFonts w:hint="eastAsia"/>
                <w:color w:val="000000" w:themeColor="text1"/>
                <w:sz w:val="21"/>
                <w:szCs w:val="21"/>
                <w14:textFill>
                  <w14:solidFill>
                    <w14:schemeClr w14:val="tx1"/>
                  </w14:solidFill>
                </w14:textFill>
              </w:rPr>
              <w:t>①</w:t>
            </w:r>
            <w:r>
              <w:rPr>
                <w:rFonts w:hint="eastAsia"/>
                <w:color w:val="000000" w:themeColor="text1"/>
                <w:sz w:val="21"/>
                <w:szCs w:val="21"/>
                <w14:textFill>
                  <w14:solidFill>
                    <w14:schemeClr w14:val="tx1"/>
                  </w14:solidFill>
                </w14:textFill>
              </w:rPr>
              <w:fldChar w:fldCharType="end"/>
            </w:r>
            <w:r>
              <w:rPr>
                <w:rFonts w:hint="eastAsia"/>
                <w:color w:val="000000" w:themeColor="text1"/>
                <w:sz w:val="21"/>
                <w:szCs w:val="21"/>
                <w14:textFill>
                  <w14:solidFill>
                    <w14:schemeClr w14:val="tx1"/>
                  </w14:solidFill>
                </w14:textFill>
              </w:rPr>
              <w:t>严格执行国家的安全卫生标准规范及相关的法律法规，对安全、防火、防爆、劳动保护等方面综合考虑；</w:t>
            </w:r>
          </w:p>
          <w:p w14:paraId="17465CA5">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fldChar w:fldCharType="begin"/>
            </w:r>
            <w:r>
              <w:rPr>
                <w:rFonts w:hint="eastAsia"/>
                <w:color w:val="000000" w:themeColor="text1"/>
                <w:sz w:val="21"/>
                <w:szCs w:val="21"/>
                <w14:textFill>
                  <w14:solidFill>
                    <w14:schemeClr w14:val="tx1"/>
                  </w14:solidFill>
                </w14:textFill>
              </w:rPr>
              <w:instrText xml:space="preserve"> = 2 \* GB3 </w:instrText>
            </w:r>
            <w:r>
              <w:rPr>
                <w:rFonts w:hint="eastAsia"/>
                <w:color w:val="000000" w:themeColor="text1"/>
                <w:sz w:val="21"/>
                <w:szCs w:val="21"/>
                <w14:textFill>
                  <w14:solidFill>
                    <w14:schemeClr w14:val="tx1"/>
                  </w14:solidFill>
                </w14:textFill>
              </w:rPr>
              <w:fldChar w:fldCharType="separate"/>
            </w:r>
            <w:r>
              <w:rPr>
                <w:rFonts w:hint="eastAsia"/>
                <w:color w:val="000000" w:themeColor="text1"/>
                <w:sz w:val="21"/>
                <w:szCs w:val="21"/>
                <w14:textFill>
                  <w14:solidFill>
                    <w14:schemeClr w14:val="tx1"/>
                  </w14:solidFill>
                </w14:textFill>
              </w:rPr>
              <w:t>②</w:t>
            </w:r>
            <w:r>
              <w:rPr>
                <w:rFonts w:hint="eastAsia"/>
                <w:color w:val="000000" w:themeColor="text1"/>
                <w:sz w:val="21"/>
                <w:szCs w:val="21"/>
                <w14:textFill>
                  <w14:solidFill>
                    <w14:schemeClr w14:val="tx1"/>
                  </w14:solidFill>
                </w14:textFill>
              </w:rPr>
              <w:fldChar w:fldCharType="end"/>
            </w:r>
            <w:r>
              <w:rPr>
                <w:rFonts w:hint="eastAsia"/>
                <w:color w:val="000000" w:themeColor="text1"/>
                <w:sz w:val="21"/>
                <w:szCs w:val="21"/>
                <w14:textFill>
                  <w14:solidFill>
                    <w14:schemeClr w14:val="tx1"/>
                  </w14:solidFill>
                </w14:textFill>
              </w:rPr>
              <w:t>制定安全生产方针、政策、计划和各种规范，完善安全管理制度和安全操作规程，建立健全环境管理体系和监测体系，完善各种规章制度标准；</w:t>
            </w:r>
          </w:p>
          <w:p w14:paraId="5C619BC4">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fldChar w:fldCharType="begin"/>
            </w:r>
            <w:r>
              <w:rPr>
                <w:rFonts w:hint="eastAsia"/>
                <w:color w:val="000000" w:themeColor="text1"/>
                <w:sz w:val="21"/>
                <w:szCs w:val="21"/>
                <w14:textFill>
                  <w14:solidFill>
                    <w14:schemeClr w14:val="tx1"/>
                  </w14:solidFill>
                </w14:textFill>
              </w:rPr>
              <w:instrText xml:space="preserve"> = 3 \* GB3 </w:instrText>
            </w:r>
            <w:r>
              <w:rPr>
                <w:rFonts w:hint="eastAsia"/>
                <w:color w:val="000000" w:themeColor="text1"/>
                <w:sz w:val="21"/>
                <w:szCs w:val="21"/>
                <w14:textFill>
                  <w14:solidFill>
                    <w14:schemeClr w14:val="tx1"/>
                  </w14:solidFill>
                </w14:textFill>
              </w:rPr>
              <w:fldChar w:fldCharType="separate"/>
            </w:r>
            <w:r>
              <w:rPr>
                <w:rFonts w:hint="eastAsia"/>
                <w:color w:val="000000" w:themeColor="text1"/>
                <w:sz w:val="21"/>
                <w:szCs w:val="21"/>
                <w14:textFill>
                  <w14:solidFill>
                    <w14:schemeClr w14:val="tx1"/>
                  </w14:solidFill>
                </w14:textFill>
              </w:rPr>
              <w:t>③</w:t>
            </w:r>
            <w:r>
              <w:rPr>
                <w:rFonts w:hint="eastAsia"/>
                <w:color w:val="000000" w:themeColor="text1"/>
                <w:sz w:val="21"/>
                <w:szCs w:val="21"/>
                <w14:textFill>
                  <w14:solidFill>
                    <w14:schemeClr w14:val="tx1"/>
                  </w14:solidFill>
                </w14:textFill>
              </w:rPr>
              <w:fldChar w:fldCharType="end"/>
            </w:r>
            <w:r>
              <w:rPr>
                <w:rFonts w:hint="eastAsia"/>
                <w:color w:val="000000" w:themeColor="text1"/>
                <w:sz w:val="21"/>
                <w:szCs w:val="21"/>
                <w14:textFill>
                  <w14:solidFill>
                    <w14:schemeClr w14:val="tx1"/>
                  </w14:solidFill>
                </w14:textFill>
              </w:rPr>
              <w:t>对工作人员定期进行环保安全教育，增强职工的环保意识和安全意识；</w:t>
            </w:r>
          </w:p>
          <w:p w14:paraId="23D4BCB5">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fldChar w:fldCharType="begin"/>
            </w:r>
            <w:r>
              <w:rPr>
                <w:rFonts w:hint="eastAsia"/>
                <w:color w:val="000000" w:themeColor="text1"/>
                <w:sz w:val="21"/>
                <w:szCs w:val="21"/>
                <w14:textFill>
                  <w14:solidFill>
                    <w14:schemeClr w14:val="tx1"/>
                  </w14:solidFill>
                </w14:textFill>
              </w:rPr>
              <w:instrText xml:space="preserve"> = 4 \* GB3 </w:instrText>
            </w:r>
            <w:r>
              <w:rPr>
                <w:rFonts w:hint="eastAsia"/>
                <w:color w:val="000000" w:themeColor="text1"/>
                <w:sz w:val="21"/>
                <w:szCs w:val="21"/>
                <w14:textFill>
                  <w14:solidFill>
                    <w14:schemeClr w14:val="tx1"/>
                  </w14:solidFill>
                </w14:textFill>
              </w:rPr>
              <w:fldChar w:fldCharType="separate"/>
            </w:r>
            <w:r>
              <w:rPr>
                <w:rFonts w:hint="eastAsia"/>
                <w:color w:val="000000" w:themeColor="text1"/>
                <w:sz w:val="21"/>
                <w:szCs w:val="21"/>
                <w14:textFill>
                  <w14:solidFill>
                    <w14:schemeClr w14:val="tx1"/>
                  </w14:solidFill>
                </w14:textFill>
              </w:rPr>
              <w:t>④</w:t>
            </w:r>
            <w:r>
              <w:rPr>
                <w:rFonts w:hint="eastAsia"/>
                <w:color w:val="000000" w:themeColor="text1"/>
                <w:sz w:val="21"/>
                <w:szCs w:val="21"/>
                <w14:textFill>
                  <w14:solidFill>
                    <w14:schemeClr w14:val="tx1"/>
                  </w14:solidFill>
                </w14:textFill>
              </w:rPr>
              <w:fldChar w:fldCharType="end"/>
            </w:r>
            <w:r>
              <w:rPr>
                <w:rFonts w:hint="eastAsia"/>
                <w:color w:val="000000" w:themeColor="text1"/>
                <w:sz w:val="21"/>
                <w:szCs w:val="21"/>
                <w14:textFill>
                  <w14:solidFill>
                    <w14:schemeClr w14:val="tx1"/>
                  </w14:solidFill>
                </w14:textFill>
              </w:rPr>
              <w:t>在选材等环节严守质量关，加强技术工人的培训，提高操作水平；</w:t>
            </w:r>
          </w:p>
          <w:p w14:paraId="39ACCC04">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⑤风险管理是一个动态的、循环的过程，应对不断变化的风险进行评价，并对相应安全维护措施做出调整。</w:t>
            </w:r>
          </w:p>
          <w:p w14:paraId="56FF4023">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（2）危险废物贮存过程的风险防范措施</w:t>
            </w:r>
          </w:p>
          <w:p w14:paraId="7718E906">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①危险废物贮存设施应配备消防设施等；</w:t>
            </w:r>
          </w:p>
          <w:p w14:paraId="2ABB6CE0">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②危废间应阴凉、干燥、通风，避免阳光直射、暴晒，远离热源、电源、火源等；</w:t>
            </w:r>
          </w:p>
          <w:p w14:paraId="4A72DC85">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③贮存易燃易爆危险废物应配置火灾报警装置。</w:t>
            </w:r>
          </w:p>
          <w:p w14:paraId="351707EA">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（3）生产风险防范措施</w:t>
            </w:r>
          </w:p>
          <w:p w14:paraId="72CDD239">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①各类物料按要求进行分区、分类存放，并在各类存放区设置标识，车间地面进行硬化，防渗处理；</w:t>
            </w:r>
          </w:p>
          <w:p w14:paraId="74CB07E5">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②物料在运输前应进行包装，不得裸露运输，在运输过程中轻装轻卸，避免日晒雨淋，保持包装完整，避免在装载和运输过程中泄漏污染环境；</w:t>
            </w:r>
          </w:p>
          <w:p w14:paraId="2CBB3A15">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项目严格按《危险废物鉴别标准》进行鉴别，分拣出的一般工业固体废物与危险废物的收集、储存、处置过程中严格按照《中华人民共和国固体废物污染环境防治法》中的有关规定执行一般工业固体废物与危险废物的申报、收集、储存、运输、处置等规定；</w:t>
            </w:r>
          </w:p>
          <w:p w14:paraId="07F9F65C">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④在原料输送环节上尽可能的减少人为的不安全行为，如不遵守交通规则，误操作等，最大程度减少交通事故导致物料散落的可能；</w:t>
            </w:r>
          </w:p>
          <w:p w14:paraId="04A59DD4">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⑤在储存过程的环境风险采取的管理措施具体包括：原料、产品及产生的工业固废贮存区设置明显标志；对各类物料按计划购入、分期分批入库，严格控制贮存量；对作业活动，以及可燃物品、易泄露物质的控制和管理；制定各种操作规范，加强监督管理，严格看管检查制度，避免事故的发生；落实事故风险应急预案和环境监测计划。</w:t>
            </w:r>
          </w:p>
        </w:tc>
      </w:tr>
      <w:tr w14:paraId="5AE8E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33" w:type="dxa"/>
            <w:noWrap w:val="0"/>
            <w:vAlign w:val="center"/>
          </w:tcPr>
          <w:p w14:paraId="458BB047">
            <w:pPr>
              <w:widowControl w:val="0"/>
              <w:adjustRightInd w:val="0"/>
              <w:snapToGrid w:val="0"/>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其他环境</w:t>
            </w:r>
          </w:p>
          <w:p w14:paraId="21AD07A0">
            <w:pPr>
              <w:widowControl w:val="0"/>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b/>
                <w:bCs/>
                <w:color w:val="000000" w:themeColor="text1"/>
                <w:sz w:val="24"/>
                <w:szCs w:val="24"/>
                <w14:textFill>
                  <w14:solidFill>
                    <w14:schemeClr w14:val="tx1"/>
                  </w14:solidFill>
                </w14:textFill>
              </w:rPr>
              <w:t>管理要求</w:t>
            </w:r>
          </w:p>
        </w:tc>
        <w:tc>
          <w:tcPr>
            <w:tcW w:w="7567" w:type="dxa"/>
            <w:gridSpan w:val="5"/>
            <w:noWrap w:val="0"/>
            <w:vAlign w:val="center"/>
          </w:tcPr>
          <w:p w14:paraId="25FFF402">
            <w:pPr>
              <w:widowControl w:val="0"/>
              <w:adjustRightInd w:val="0"/>
              <w:snapToGrid w:val="0"/>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bookmarkEnd w:id="29"/>
      <w:bookmarkEnd w:id="30"/>
      <w:bookmarkEnd w:id="31"/>
    </w:tbl>
    <w:p w14:paraId="4BB09CBF">
      <w:pPr>
        <w:pStyle w:val="312"/>
        <w:keepNext/>
        <w:keepLines/>
        <w:pageBreakBefore/>
        <w:numPr>
          <w:ilvl w:val="0"/>
          <w:numId w:val="13"/>
        </w:numPr>
        <w:ind w:firstLineChars="0"/>
        <w:jc w:val="center"/>
        <w:outlineLvl w:val="0"/>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结论</w:t>
      </w:r>
    </w:p>
    <w:tbl>
      <w:tblPr>
        <w:tblStyle w:val="82"/>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14:paraId="2CCE61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51" w:hRule="atLeast"/>
          <w:jc w:val="center"/>
        </w:trPr>
        <w:tc>
          <w:tcPr>
            <w:tcW w:w="9286" w:type="dxa"/>
          </w:tcPr>
          <w:p w14:paraId="517A3B1B">
            <w:pPr>
              <w:ind w:firstLine="482"/>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本项目建设符合国家产业政策、选址合理、污染物的防治措施在技术上和经济上可行，能实现达标排放。项目在建设过程中应严格认真执行环境保护“三同时”制度，切实落实本报告的各项污染防治措施和环境管理措施，确保污染物稳定达标排放。从环境保护角度分析，项目环境影响可行。</w:t>
            </w:r>
          </w:p>
          <w:p w14:paraId="593A4DFA">
            <w:pPr>
              <w:pStyle w:val="312"/>
              <w:widowControl w:val="0"/>
              <w:ind w:left="660" w:firstLine="0" w:firstLineChars="0"/>
              <w:rPr>
                <w:rFonts w:hint="eastAsia" w:ascii="宋体" w:hAnsi="宋体" w:cs="宋体"/>
                <w:color w:val="000000" w:themeColor="text1"/>
                <w:szCs w:val="24"/>
                <w14:textFill>
                  <w14:solidFill>
                    <w14:schemeClr w14:val="tx1"/>
                  </w14:solidFill>
                </w14:textFill>
              </w:rPr>
            </w:pPr>
          </w:p>
        </w:tc>
      </w:tr>
    </w:tbl>
    <w:p w14:paraId="047EC0F2">
      <w:pPr>
        <w:widowControl w:val="0"/>
        <w:ind w:firstLine="643"/>
        <w:rPr>
          <w:rFonts w:hint="eastAsia" w:ascii="宋体" w:hAnsi="宋体" w:cs="宋体"/>
          <w:b/>
          <w:bCs/>
          <w:color w:val="000000" w:themeColor="text1"/>
          <w:sz w:val="32"/>
          <w:szCs w:val="32"/>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pgNumType w:fmt="numberInDash"/>
          <w:cols w:space="720" w:num="1"/>
          <w:docGrid w:type="lines" w:linePitch="342" w:charSpace="0"/>
        </w:sectPr>
      </w:pPr>
    </w:p>
    <w:p w14:paraId="0DBCB0CD">
      <w:pPr>
        <w:keepNext/>
        <w:keepLines/>
        <w:pageBreakBefore/>
        <w:ind w:firstLine="0" w:firstLineChars="0"/>
        <w:outlineLvl w:val="0"/>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附表                          建设项目污染物排放量汇总表</w:t>
      </w:r>
    </w:p>
    <w:tbl>
      <w:tblPr>
        <w:tblStyle w:val="82"/>
        <w:tblW w:w="140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4"/>
        <w:gridCol w:w="1830"/>
        <w:gridCol w:w="1450"/>
        <w:gridCol w:w="1300"/>
        <w:gridCol w:w="1650"/>
        <w:gridCol w:w="1652"/>
        <w:gridCol w:w="1652"/>
        <w:gridCol w:w="1875"/>
        <w:gridCol w:w="1565"/>
      </w:tblGrid>
      <w:tr w14:paraId="08F01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4" w:type="dxa"/>
            <w:tcBorders>
              <w:top w:val="single" w:color="auto" w:sz="12" w:space="0"/>
              <w:bottom w:val="single" w:color="auto" w:sz="6" w:space="0"/>
              <w:tl2br w:val="single" w:color="auto" w:sz="4" w:space="0"/>
            </w:tcBorders>
            <w:tcMar>
              <w:left w:w="28" w:type="dxa"/>
              <w:right w:w="28" w:type="dxa"/>
            </w:tcMar>
            <w:vAlign w:val="center"/>
          </w:tcPr>
          <w:p w14:paraId="1AD75462">
            <w:pPr>
              <w:widowControl w:val="0"/>
              <w:spacing w:line="240" w:lineRule="auto"/>
              <w:ind w:firstLine="0" w:firstLineChars="0"/>
              <w:jc w:val="right"/>
              <w:rPr>
                <w:rFonts w:hint="eastAsia" w:ascii="宋体" w:hAnsi="宋体" w:cs="宋体"/>
                <w:b/>
                <w:bCs/>
                <w:snapToGrid w:val="0"/>
                <w:color w:val="000000" w:themeColor="text1"/>
                <w:spacing w:val="-6"/>
                <w:kern w:val="21"/>
                <w:sz w:val="21"/>
                <w:szCs w:val="21"/>
                <w14:textFill>
                  <w14:solidFill>
                    <w14:schemeClr w14:val="tx1"/>
                  </w14:solidFill>
                </w14:textFill>
              </w:rPr>
            </w:pPr>
            <w:r>
              <w:rPr>
                <w:rFonts w:hint="eastAsia" w:ascii="宋体" w:hAnsi="宋体" w:cs="宋体"/>
                <w:b/>
                <w:bCs/>
                <w:snapToGrid w:val="0"/>
                <w:color w:val="000000" w:themeColor="text1"/>
                <w:spacing w:val="-6"/>
                <w:kern w:val="21"/>
                <w:sz w:val="21"/>
                <w:szCs w:val="21"/>
                <w14:textFill>
                  <w14:solidFill>
                    <w14:schemeClr w14:val="tx1"/>
                  </w14:solidFill>
                </w14:textFill>
              </w:rPr>
              <w:t>项目</w:t>
            </w:r>
          </w:p>
          <w:p w14:paraId="51CCF803">
            <w:pPr>
              <w:widowControl w:val="0"/>
              <w:spacing w:line="240" w:lineRule="auto"/>
              <w:ind w:firstLine="0" w:firstLineChars="0"/>
              <w:rPr>
                <w:rFonts w:hint="eastAsia" w:ascii="宋体" w:hAnsi="宋体" w:cs="宋体"/>
                <w:b/>
                <w:bCs/>
                <w:snapToGrid w:val="0"/>
                <w:color w:val="000000" w:themeColor="text1"/>
                <w:spacing w:val="-6"/>
                <w:kern w:val="21"/>
                <w:sz w:val="21"/>
                <w:szCs w:val="21"/>
                <w14:textFill>
                  <w14:solidFill>
                    <w14:schemeClr w14:val="tx1"/>
                  </w14:solidFill>
                </w14:textFill>
              </w:rPr>
            </w:pPr>
            <w:r>
              <w:rPr>
                <w:rFonts w:hint="eastAsia" w:ascii="宋体" w:hAnsi="宋体" w:cs="宋体"/>
                <w:b/>
                <w:bCs/>
                <w:snapToGrid w:val="0"/>
                <w:color w:val="000000" w:themeColor="text1"/>
                <w:spacing w:val="-6"/>
                <w:kern w:val="21"/>
                <w:sz w:val="21"/>
                <w:szCs w:val="21"/>
                <w14:textFill>
                  <w14:solidFill>
                    <w14:schemeClr w14:val="tx1"/>
                  </w14:solidFill>
                </w14:textFill>
              </w:rPr>
              <w:t>分类</w:t>
            </w:r>
          </w:p>
        </w:tc>
        <w:tc>
          <w:tcPr>
            <w:tcW w:w="1830" w:type="dxa"/>
            <w:tcMar>
              <w:left w:w="28" w:type="dxa"/>
              <w:right w:w="28" w:type="dxa"/>
            </w:tcMar>
            <w:vAlign w:val="center"/>
          </w:tcPr>
          <w:p w14:paraId="3F535EB6">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污染物名称</w:t>
            </w:r>
          </w:p>
        </w:tc>
        <w:tc>
          <w:tcPr>
            <w:tcW w:w="1450" w:type="dxa"/>
            <w:tcMar>
              <w:left w:w="28" w:type="dxa"/>
              <w:right w:w="28" w:type="dxa"/>
            </w:tcMar>
            <w:vAlign w:val="center"/>
          </w:tcPr>
          <w:p w14:paraId="7C653ADD">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现有工程</w:t>
            </w:r>
          </w:p>
          <w:p w14:paraId="52902CD1">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排放量(固体废物产生量)</w:t>
            </w:r>
            <w:r>
              <w:rPr>
                <w:rFonts w:hint="eastAsia" w:ascii="宋体" w:hAnsi="宋体" w:cs="宋体"/>
                <w:b/>
                <w:bCs/>
                <w:color w:val="000000" w:themeColor="text1"/>
                <w:kern w:val="21"/>
                <w:sz w:val="21"/>
                <w:szCs w:val="21"/>
                <w14:textFill>
                  <w14:solidFill>
                    <w14:schemeClr w14:val="tx1"/>
                  </w14:solidFill>
                </w14:textFill>
              </w:rPr>
              <w:fldChar w:fldCharType="begin"/>
            </w:r>
            <w:r>
              <w:rPr>
                <w:rFonts w:hint="eastAsia" w:ascii="宋体" w:hAnsi="宋体" w:cs="宋体"/>
                <w:b/>
                <w:bCs/>
                <w:color w:val="000000" w:themeColor="text1"/>
                <w:kern w:val="21"/>
                <w:sz w:val="21"/>
                <w:szCs w:val="21"/>
                <w14:textFill>
                  <w14:solidFill>
                    <w14:schemeClr w14:val="tx1"/>
                  </w14:solidFill>
                </w14:textFill>
              </w:rPr>
              <w:instrText xml:space="preserve"> = 1 \* GB3 \* MERGEFORMAT </w:instrText>
            </w:r>
            <w:r>
              <w:rPr>
                <w:rFonts w:hint="eastAsia" w:ascii="宋体" w:hAnsi="宋体" w:cs="宋体"/>
                <w:b/>
                <w:bCs/>
                <w:color w:val="000000" w:themeColor="text1"/>
                <w:kern w:val="21"/>
                <w:sz w:val="21"/>
                <w:szCs w:val="21"/>
                <w14:textFill>
                  <w14:solidFill>
                    <w14:schemeClr w14:val="tx1"/>
                  </w14:solidFill>
                </w14:textFill>
              </w:rPr>
              <w:fldChar w:fldCharType="separate"/>
            </w:r>
            <w:r>
              <w:rPr>
                <w:rFonts w:hint="eastAsia" w:ascii="宋体" w:hAnsi="宋体" w:cs="宋体"/>
                <w:b/>
                <w:bCs/>
                <w:color w:val="000000" w:themeColor="text1"/>
                <w:kern w:val="21"/>
                <w:sz w:val="21"/>
                <w:szCs w:val="21"/>
                <w14:textFill>
                  <w14:solidFill>
                    <w14:schemeClr w14:val="tx1"/>
                  </w14:solidFill>
                </w14:textFill>
              </w:rPr>
              <w:t>①</w:t>
            </w:r>
            <w:r>
              <w:rPr>
                <w:rFonts w:hint="eastAsia" w:ascii="宋体" w:hAnsi="宋体" w:cs="宋体"/>
                <w:b/>
                <w:bCs/>
                <w:color w:val="000000" w:themeColor="text1"/>
                <w:kern w:val="21"/>
                <w:sz w:val="21"/>
                <w:szCs w:val="21"/>
                <w14:textFill>
                  <w14:solidFill>
                    <w14:schemeClr w14:val="tx1"/>
                  </w14:solidFill>
                </w14:textFill>
              </w:rPr>
              <w:fldChar w:fldCharType="end"/>
            </w:r>
          </w:p>
        </w:tc>
        <w:tc>
          <w:tcPr>
            <w:tcW w:w="1300" w:type="dxa"/>
            <w:tcMar>
              <w:left w:w="28" w:type="dxa"/>
              <w:right w:w="28" w:type="dxa"/>
            </w:tcMar>
            <w:vAlign w:val="center"/>
          </w:tcPr>
          <w:p w14:paraId="00142393">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现有工程</w:t>
            </w:r>
          </w:p>
          <w:p w14:paraId="1FA5631F">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许可排放量</w:t>
            </w:r>
            <w:r>
              <w:rPr>
                <w:rFonts w:hint="eastAsia" w:ascii="宋体" w:hAnsi="宋体" w:cs="宋体"/>
                <w:b/>
                <w:bCs/>
                <w:color w:val="000000" w:themeColor="text1"/>
                <w:kern w:val="21"/>
                <w:sz w:val="21"/>
                <w:szCs w:val="21"/>
                <w14:textFill>
                  <w14:solidFill>
                    <w14:schemeClr w14:val="tx1"/>
                  </w14:solidFill>
                </w14:textFill>
              </w:rPr>
              <w:fldChar w:fldCharType="begin"/>
            </w:r>
            <w:r>
              <w:rPr>
                <w:rFonts w:hint="eastAsia" w:ascii="宋体" w:hAnsi="宋体" w:cs="宋体"/>
                <w:b/>
                <w:bCs/>
                <w:color w:val="000000" w:themeColor="text1"/>
                <w:kern w:val="21"/>
                <w:sz w:val="21"/>
                <w:szCs w:val="21"/>
                <w14:textFill>
                  <w14:solidFill>
                    <w14:schemeClr w14:val="tx1"/>
                  </w14:solidFill>
                </w14:textFill>
              </w:rPr>
              <w:instrText xml:space="preserve"> = 2 \* GB3 \* MERGEFORMAT </w:instrText>
            </w:r>
            <w:r>
              <w:rPr>
                <w:rFonts w:hint="eastAsia" w:ascii="宋体" w:hAnsi="宋体" w:cs="宋体"/>
                <w:b/>
                <w:bCs/>
                <w:color w:val="000000" w:themeColor="text1"/>
                <w:kern w:val="21"/>
                <w:sz w:val="21"/>
                <w:szCs w:val="21"/>
                <w14:textFill>
                  <w14:solidFill>
                    <w14:schemeClr w14:val="tx1"/>
                  </w14:solidFill>
                </w14:textFill>
              </w:rPr>
              <w:fldChar w:fldCharType="separate"/>
            </w:r>
            <w:r>
              <w:rPr>
                <w:rFonts w:hint="eastAsia" w:ascii="宋体" w:hAnsi="宋体" w:cs="宋体"/>
                <w:b/>
                <w:bCs/>
                <w:color w:val="000000" w:themeColor="text1"/>
                <w:kern w:val="21"/>
                <w:sz w:val="21"/>
                <w:szCs w:val="21"/>
                <w14:textFill>
                  <w14:solidFill>
                    <w14:schemeClr w14:val="tx1"/>
                  </w14:solidFill>
                </w14:textFill>
              </w:rPr>
              <w:t>②</w:t>
            </w:r>
            <w:r>
              <w:rPr>
                <w:rFonts w:hint="eastAsia" w:ascii="宋体" w:hAnsi="宋体" w:cs="宋体"/>
                <w:b/>
                <w:bCs/>
                <w:color w:val="000000" w:themeColor="text1"/>
                <w:kern w:val="21"/>
                <w:sz w:val="21"/>
                <w:szCs w:val="21"/>
                <w14:textFill>
                  <w14:solidFill>
                    <w14:schemeClr w14:val="tx1"/>
                  </w14:solidFill>
                </w14:textFill>
              </w:rPr>
              <w:fldChar w:fldCharType="end"/>
            </w:r>
          </w:p>
        </w:tc>
        <w:tc>
          <w:tcPr>
            <w:tcW w:w="1650" w:type="dxa"/>
            <w:tcMar>
              <w:left w:w="28" w:type="dxa"/>
              <w:right w:w="28" w:type="dxa"/>
            </w:tcMar>
            <w:vAlign w:val="center"/>
          </w:tcPr>
          <w:p w14:paraId="26D84FE4">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在建工程</w:t>
            </w:r>
          </w:p>
          <w:p w14:paraId="537DA4B6">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排放量(固体废物产生量)</w:t>
            </w:r>
            <w:r>
              <w:rPr>
                <w:rFonts w:hint="eastAsia" w:ascii="宋体" w:hAnsi="宋体" w:cs="宋体"/>
                <w:b/>
                <w:bCs/>
                <w:color w:val="000000" w:themeColor="text1"/>
                <w:kern w:val="21"/>
                <w:sz w:val="21"/>
                <w:szCs w:val="21"/>
                <w14:textFill>
                  <w14:solidFill>
                    <w14:schemeClr w14:val="tx1"/>
                  </w14:solidFill>
                </w14:textFill>
              </w:rPr>
              <w:fldChar w:fldCharType="begin"/>
            </w:r>
            <w:r>
              <w:rPr>
                <w:rFonts w:hint="eastAsia" w:ascii="宋体" w:hAnsi="宋体" w:cs="宋体"/>
                <w:b/>
                <w:bCs/>
                <w:color w:val="000000" w:themeColor="text1"/>
                <w:kern w:val="21"/>
                <w:sz w:val="21"/>
                <w:szCs w:val="21"/>
                <w14:textFill>
                  <w14:solidFill>
                    <w14:schemeClr w14:val="tx1"/>
                  </w14:solidFill>
                </w14:textFill>
              </w:rPr>
              <w:instrText xml:space="preserve"> = 3 \* GB3 \* MERGEFORMAT </w:instrText>
            </w:r>
            <w:r>
              <w:rPr>
                <w:rFonts w:hint="eastAsia" w:ascii="宋体" w:hAnsi="宋体" w:cs="宋体"/>
                <w:b/>
                <w:bCs/>
                <w:color w:val="000000" w:themeColor="text1"/>
                <w:kern w:val="21"/>
                <w:sz w:val="21"/>
                <w:szCs w:val="21"/>
                <w14:textFill>
                  <w14:solidFill>
                    <w14:schemeClr w14:val="tx1"/>
                  </w14:solidFill>
                </w14:textFill>
              </w:rPr>
              <w:fldChar w:fldCharType="separate"/>
            </w:r>
            <w:r>
              <w:rPr>
                <w:rFonts w:hint="eastAsia" w:ascii="宋体" w:hAnsi="宋体" w:cs="宋体"/>
                <w:b/>
                <w:bCs/>
                <w:color w:val="000000" w:themeColor="text1"/>
                <w:kern w:val="21"/>
                <w:sz w:val="21"/>
                <w:szCs w:val="21"/>
                <w14:textFill>
                  <w14:solidFill>
                    <w14:schemeClr w14:val="tx1"/>
                  </w14:solidFill>
                </w14:textFill>
              </w:rPr>
              <w:t>③</w:t>
            </w:r>
            <w:r>
              <w:rPr>
                <w:rFonts w:hint="eastAsia" w:ascii="宋体" w:hAnsi="宋体" w:cs="宋体"/>
                <w:b/>
                <w:bCs/>
                <w:color w:val="000000" w:themeColor="text1"/>
                <w:kern w:val="21"/>
                <w:sz w:val="21"/>
                <w:szCs w:val="21"/>
                <w14:textFill>
                  <w14:solidFill>
                    <w14:schemeClr w14:val="tx1"/>
                  </w14:solidFill>
                </w14:textFill>
              </w:rPr>
              <w:fldChar w:fldCharType="end"/>
            </w:r>
          </w:p>
        </w:tc>
        <w:tc>
          <w:tcPr>
            <w:tcW w:w="1652" w:type="dxa"/>
            <w:tcMar>
              <w:left w:w="28" w:type="dxa"/>
              <w:right w:w="28" w:type="dxa"/>
            </w:tcMar>
            <w:vAlign w:val="center"/>
          </w:tcPr>
          <w:p w14:paraId="1624AD84">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本项目</w:t>
            </w:r>
          </w:p>
          <w:p w14:paraId="18215ACD">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排放量(固体废物产生量)</w:t>
            </w:r>
            <w:r>
              <w:rPr>
                <w:rFonts w:hint="eastAsia" w:ascii="宋体" w:hAnsi="宋体" w:cs="宋体"/>
                <w:b/>
                <w:bCs/>
                <w:color w:val="000000" w:themeColor="text1"/>
                <w:kern w:val="21"/>
                <w:sz w:val="21"/>
                <w:szCs w:val="21"/>
                <w14:textFill>
                  <w14:solidFill>
                    <w14:schemeClr w14:val="tx1"/>
                  </w14:solidFill>
                </w14:textFill>
              </w:rPr>
              <w:fldChar w:fldCharType="begin"/>
            </w:r>
            <w:r>
              <w:rPr>
                <w:rFonts w:hint="eastAsia" w:ascii="宋体" w:hAnsi="宋体" w:cs="宋体"/>
                <w:b/>
                <w:bCs/>
                <w:color w:val="000000" w:themeColor="text1"/>
                <w:kern w:val="21"/>
                <w:sz w:val="21"/>
                <w:szCs w:val="21"/>
                <w14:textFill>
                  <w14:solidFill>
                    <w14:schemeClr w14:val="tx1"/>
                  </w14:solidFill>
                </w14:textFill>
              </w:rPr>
              <w:instrText xml:space="preserve"> = 4 \* GB3 \* MERGEFORMAT </w:instrText>
            </w:r>
            <w:r>
              <w:rPr>
                <w:rFonts w:hint="eastAsia" w:ascii="宋体" w:hAnsi="宋体" w:cs="宋体"/>
                <w:b/>
                <w:bCs/>
                <w:color w:val="000000" w:themeColor="text1"/>
                <w:kern w:val="21"/>
                <w:sz w:val="21"/>
                <w:szCs w:val="21"/>
                <w14:textFill>
                  <w14:solidFill>
                    <w14:schemeClr w14:val="tx1"/>
                  </w14:solidFill>
                </w14:textFill>
              </w:rPr>
              <w:fldChar w:fldCharType="separate"/>
            </w:r>
            <w:r>
              <w:rPr>
                <w:rFonts w:hint="eastAsia" w:ascii="宋体" w:hAnsi="宋体" w:cs="宋体"/>
                <w:b/>
                <w:bCs/>
                <w:color w:val="000000" w:themeColor="text1"/>
                <w:kern w:val="21"/>
                <w:sz w:val="21"/>
                <w:szCs w:val="21"/>
                <w14:textFill>
                  <w14:solidFill>
                    <w14:schemeClr w14:val="tx1"/>
                  </w14:solidFill>
                </w14:textFill>
              </w:rPr>
              <w:t>④</w:t>
            </w:r>
            <w:r>
              <w:rPr>
                <w:rFonts w:hint="eastAsia" w:ascii="宋体" w:hAnsi="宋体" w:cs="宋体"/>
                <w:b/>
                <w:bCs/>
                <w:color w:val="000000" w:themeColor="text1"/>
                <w:kern w:val="21"/>
                <w:sz w:val="21"/>
                <w:szCs w:val="21"/>
                <w14:textFill>
                  <w14:solidFill>
                    <w14:schemeClr w14:val="tx1"/>
                  </w14:solidFill>
                </w14:textFill>
              </w:rPr>
              <w:fldChar w:fldCharType="end"/>
            </w:r>
          </w:p>
        </w:tc>
        <w:tc>
          <w:tcPr>
            <w:tcW w:w="1652" w:type="dxa"/>
            <w:tcMar>
              <w:left w:w="28" w:type="dxa"/>
              <w:right w:w="28" w:type="dxa"/>
            </w:tcMar>
            <w:vAlign w:val="center"/>
          </w:tcPr>
          <w:p w14:paraId="52A526A4">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以新带老削减量(新建项目不填)</w:t>
            </w:r>
            <w:r>
              <w:rPr>
                <w:rFonts w:hint="eastAsia" w:ascii="宋体" w:hAnsi="宋体" w:cs="宋体"/>
                <w:b/>
                <w:bCs/>
                <w:color w:val="000000" w:themeColor="text1"/>
                <w:kern w:val="21"/>
                <w:sz w:val="21"/>
                <w:szCs w:val="21"/>
                <w14:textFill>
                  <w14:solidFill>
                    <w14:schemeClr w14:val="tx1"/>
                  </w14:solidFill>
                </w14:textFill>
              </w:rPr>
              <w:fldChar w:fldCharType="begin"/>
            </w:r>
            <w:r>
              <w:rPr>
                <w:rFonts w:hint="eastAsia" w:ascii="宋体" w:hAnsi="宋体" w:cs="宋体"/>
                <w:b/>
                <w:bCs/>
                <w:color w:val="000000" w:themeColor="text1"/>
                <w:kern w:val="21"/>
                <w:sz w:val="21"/>
                <w:szCs w:val="21"/>
                <w14:textFill>
                  <w14:solidFill>
                    <w14:schemeClr w14:val="tx1"/>
                  </w14:solidFill>
                </w14:textFill>
              </w:rPr>
              <w:instrText xml:space="preserve"> = 5 \* GB3 \* MERGEFORMAT </w:instrText>
            </w:r>
            <w:r>
              <w:rPr>
                <w:rFonts w:hint="eastAsia" w:ascii="宋体" w:hAnsi="宋体" w:cs="宋体"/>
                <w:b/>
                <w:bCs/>
                <w:color w:val="000000" w:themeColor="text1"/>
                <w:kern w:val="21"/>
                <w:sz w:val="21"/>
                <w:szCs w:val="21"/>
                <w14:textFill>
                  <w14:solidFill>
                    <w14:schemeClr w14:val="tx1"/>
                  </w14:solidFill>
                </w14:textFill>
              </w:rPr>
              <w:fldChar w:fldCharType="separate"/>
            </w:r>
            <w:r>
              <w:rPr>
                <w:rFonts w:hint="eastAsia" w:ascii="宋体" w:hAnsi="宋体" w:cs="宋体"/>
                <w:b/>
                <w:bCs/>
                <w:color w:val="000000" w:themeColor="text1"/>
                <w:kern w:val="21"/>
                <w:sz w:val="21"/>
                <w:szCs w:val="21"/>
                <w14:textFill>
                  <w14:solidFill>
                    <w14:schemeClr w14:val="tx1"/>
                  </w14:solidFill>
                </w14:textFill>
              </w:rPr>
              <w:t>⑤</w:t>
            </w:r>
            <w:r>
              <w:rPr>
                <w:rFonts w:hint="eastAsia" w:ascii="宋体" w:hAnsi="宋体" w:cs="宋体"/>
                <w:b/>
                <w:bCs/>
                <w:color w:val="000000" w:themeColor="text1"/>
                <w:kern w:val="21"/>
                <w:sz w:val="21"/>
                <w:szCs w:val="21"/>
                <w14:textFill>
                  <w14:solidFill>
                    <w14:schemeClr w14:val="tx1"/>
                  </w14:solidFill>
                </w14:textFill>
              </w:rPr>
              <w:fldChar w:fldCharType="end"/>
            </w:r>
          </w:p>
        </w:tc>
        <w:tc>
          <w:tcPr>
            <w:tcW w:w="1875" w:type="dxa"/>
            <w:tcMar>
              <w:left w:w="28" w:type="dxa"/>
              <w:right w:w="28" w:type="dxa"/>
            </w:tcMar>
            <w:vAlign w:val="center"/>
          </w:tcPr>
          <w:p w14:paraId="24C835F3">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本项目建成后</w:t>
            </w:r>
          </w:p>
          <w:p w14:paraId="2FCA72FC">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全厂排放量(固体废物产生量)</w:t>
            </w:r>
            <w:r>
              <w:rPr>
                <w:rFonts w:hint="eastAsia" w:ascii="宋体" w:hAnsi="宋体" w:cs="宋体"/>
                <w:b/>
                <w:bCs/>
                <w:color w:val="000000" w:themeColor="text1"/>
                <w:kern w:val="21"/>
                <w:sz w:val="21"/>
                <w:szCs w:val="21"/>
                <w14:textFill>
                  <w14:solidFill>
                    <w14:schemeClr w14:val="tx1"/>
                  </w14:solidFill>
                </w14:textFill>
              </w:rPr>
              <w:fldChar w:fldCharType="begin"/>
            </w:r>
            <w:r>
              <w:rPr>
                <w:rFonts w:hint="eastAsia" w:ascii="宋体" w:hAnsi="宋体" w:cs="宋体"/>
                <w:b/>
                <w:bCs/>
                <w:color w:val="000000" w:themeColor="text1"/>
                <w:kern w:val="21"/>
                <w:sz w:val="21"/>
                <w:szCs w:val="21"/>
                <w14:textFill>
                  <w14:solidFill>
                    <w14:schemeClr w14:val="tx1"/>
                  </w14:solidFill>
                </w14:textFill>
              </w:rPr>
              <w:instrText xml:space="preserve"> = 6 \* GB3 \* MERGEFORMAT </w:instrText>
            </w:r>
            <w:r>
              <w:rPr>
                <w:rFonts w:hint="eastAsia" w:ascii="宋体" w:hAnsi="宋体" w:cs="宋体"/>
                <w:b/>
                <w:bCs/>
                <w:color w:val="000000" w:themeColor="text1"/>
                <w:kern w:val="21"/>
                <w:sz w:val="21"/>
                <w:szCs w:val="21"/>
                <w14:textFill>
                  <w14:solidFill>
                    <w14:schemeClr w14:val="tx1"/>
                  </w14:solidFill>
                </w14:textFill>
              </w:rPr>
              <w:fldChar w:fldCharType="separate"/>
            </w:r>
            <w:r>
              <w:rPr>
                <w:rFonts w:hint="eastAsia" w:ascii="宋体" w:hAnsi="宋体" w:cs="宋体"/>
                <w:b/>
                <w:bCs/>
                <w:color w:val="000000" w:themeColor="text1"/>
                <w:kern w:val="21"/>
                <w:sz w:val="21"/>
                <w:szCs w:val="21"/>
                <w14:textFill>
                  <w14:solidFill>
                    <w14:schemeClr w14:val="tx1"/>
                  </w14:solidFill>
                </w14:textFill>
              </w:rPr>
              <w:t>⑥</w:t>
            </w:r>
            <w:r>
              <w:rPr>
                <w:rFonts w:hint="eastAsia" w:ascii="宋体" w:hAnsi="宋体" w:cs="宋体"/>
                <w:b/>
                <w:bCs/>
                <w:color w:val="000000" w:themeColor="text1"/>
                <w:kern w:val="21"/>
                <w:sz w:val="21"/>
                <w:szCs w:val="21"/>
                <w14:textFill>
                  <w14:solidFill>
                    <w14:schemeClr w14:val="tx1"/>
                  </w14:solidFill>
                </w14:textFill>
              </w:rPr>
              <w:fldChar w:fldCharType="end"/>
            </w:r>
          </w:p>
        </w:tc>
        <w:tc>
          <w:tcPr>
            <w:tcW w:w="1565" w:type="dxa"/>
            <w:tcMar>
              <w:left w:w="28" w:type="dxa"/>
              <w:right w:w="28" w:type="dxa"/>
            </w:tcMar>
            <w:vAlign w:val="center"/>
          </w:tcPr>
          <w:p w14:paraId="04AA00DF">
            <w:pPr>
              <w:widowControl w:val="0"/>
              <w:spacing w:line="240" w:lineRule="auto"/>
              <w:ind w:firstLine="0" w:firstLineChars="0"/>
              <w:jc w:val="center"/>
              <w:rPr>
                <w:rFonts w:hint="eastAsia" w:ascii="宋体" w:hAnsi="宋体" w:cs="宋体"/>
                <w:b/>
                <w:bCs/>
                <w:color w:val="000000" w:themeColor="text1"/>
                <w:kern w:val="21"/>
                <w:sz w:val="21"/>
                <w:szCs w:val="21"/>
                <w14:textFill>
                  <w14:solidFill>
                    <w14:schemeClr w14:val="tx1"/>
                  </w14:solidFill>
                </w14:textFill>
              </w:rPr>
            </w:pPr>
            <w:r>
              <w:rPr>
                <w:rFonts w:hint="eastAsia" w:ascii="宋体" w:hAnsi="宋体" w:cs="宋体"/>
                <w:b/>
                <w:bCs/>
                <w:color w:val="000000" w:themeColor="text1"/>
                <w:kern w:val="21"/>
                <w:sz w:val="21"/>
                <w:szCs w:val="21"/>
                <w14:textFill>
                  <w14:solidFill>
                    <w14:schemeClr w14:val="tx1"/>
                  </w14:solidFill>
                </w14:textFill>
              </w:rPr>
              <w:t>变化量</w:t>
            </w:r>
            <w:r>
              <w:rPr>
                <w:rFonts w:hint="eastAsia" w:ascii="宋体" w:hAnsi="宋体" w:cs="宋体"/>
                <w:b/>
                <w:bCs/>
                <w:color w:val="000000" w:themeColor="text1"/>
                <w:kern w:val="21"/>
                <w:sz w:val="21"/>
                <w:szCs w:val="21"/>
                <w14:textFill>
                  <w14:solidFill>
                    <w14:schemeClr w14:val="tx1"/>
                  </w14:solidFill>
                </w14:textFill>
              </w:rPr>
              <w:fldChar w:fldCharType="begin"/>
            </w:r>
            <w:r>
              <w:rPr>
                <w:rFonts w:hint="eastAsia" w:ascii="宋体" w:hAnsi="宋体" w:cs="宋体"/>
                <w:b/>
                <w:bCs/>
                <w:color w:val="000000" w:themeColor="text1"/>
                <w:kern w:val="21"/>
                <w:sz w:val="21"/>
                <w:szCs w:val="21"/>
                <w14:textFill>
                  <w14:solidFill>
                    <w14:schemeClr w14:val="tx1"/>
                  </w14:solidFill>
                </w14:textFill>
              </w:rPr>
              <w:instrText xml:space="preserve"> = 7 \* GB3 \* MERGEFORMAT </w:instrText>
            </w:r>
            <w:r>
              <w:rPr>
                <w:rFonts w:hint="eastAsia" w:ascii="宋体" w:hAnsi="宋体" w:cs="宋体"/>
                <w:b/>
                <w:bCs/>
                <w:color w:val="000000" w:themeColor="text1"/>
                <w:kern w:val="21"/>
                <w:sz w:val="21"/>
                <w:szCs w:val="21"/>
                <w14:textFill>
                  <w14:solidFill>
                    <w14:schemeClr w14:val="tx1"/>
                  </w14:solidFill>
                </w14:textFill>
              </w:rPr>
              <w:fldChar w:fldCharType="separate"/>
            </w:r>
            <w:r>
              <w:rPr>
                <w:rFonts w:hint="eastAsia" w:ascii="宋体" w:hAnsi="宋体" w:cs="宋体"/>
                <w:b/>
                <w:bCs/>
                <w:color w:val="000000" w:themeColor="text1"/>
                <w:kern w:val="21"/>
                <w:sz w:val="21"/>
                <w:szCs w:val="21"/>
                <w14:textFill>
                  <w14:solidFill>
                    <w14:schemeClr w14:val="tx1"/>
                  </w14:solidFill>
                </w14:textFill>
              </w:rPr>
              <w:t>⑦</w:t>
            </w:r>
            <w:r>
              <w:rPr>
                <w:rFonts w:hint="eastAsia" w:ascii="宋体" w:hAnsi="宋体" w:cs="宋体"/>
                <w:b/>
                <w:bCs/>
                <w:color w:val="000000" w:themeColor="text1"/>
                <w:kern w:val="21"/>
                <w:sz w:val="21"/>
                <w:szCs w:val="21"/>
                <w14:textFill>
                  <w14:solidFill>
                    <w14:schemeClr w14:val="tx1"/>
                  </w14:solidFill>
                </w14:textFill>
              </w:rPr>
              <w:fldChar w:fldCharType="end"/>
            </w:r>
          </w:p>
        </w:tc>
      </w:tr>
      <w:tr w14:paraId="7ABD57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4" w:type="dxa"/>
            <w:vMerge w:val="restart"/>
            <w:tcBorders>
              <w:top w:val="single" w:color="auto" w:sz="6" w:space="0"/>
            </w:tcBorders>
            <w:vAlign w:val="center"/>
          </w:tcPr>
          <w:p w14:paraId="7EB7741D">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废气</w:t>
            </w:r>
          </w:p>
        </w:tc>
        <w:tc>
          <w:tcPr>
            <w:tcW w:w="1830" w:type="dxa"/>
            <w:vAlign w:val="center"/>
          </w:tcPr>
          <w:p w14:paraId="5EEE76E4">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颗粒物</w:t>
            </w:r>
          </w:p>
        </w:tc>
        <w:tc>
          <w:tcPr>
            <w:tcW w:w="1450" w:type="dxa"/>
            <w:vAlign w:val="center"/>
          </w:tcPr>
          <w:p w14:paraId="7D53FA7E">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22.55t/a</w:t>
            </w:r>
          </w:p>
        </w:tc>
        <w:tc>
          <w:tcPr>
            <w:tcW w:w="1300" w:type="dxa"/>
            <w:vAlign w:val="center"/>
          </w:tcPr>
          <w:p w14:paraId="19BDA2AC">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650" w:type="dxa"/>
            <w:vAlign w:val="center"/>
          </w:tcPr>
          <w:p w14:paraId="1B164D5E">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652" w:type="dxa"/>
            <w:vAlign w:val="center"/>
          </w:tcPr>
          <w:p w14:paraId="41A2E16C">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9.445</w:t>
            </w:r>
            <w:r>
              <w:rPr>
                <w:rFonts w:hint="eastAsia" w:ascii="宋体" w:hAnsi="宋体" w:cs="宋体"/>
                <w:snapToGrid w:val="0"/>
                <w:color w:val="000000" w:themeColor="text1"/>
                <w:kern w:val="21"/>
                <w:sz w:val="21"/>
                <w:szCs w:val="21"/>
                <w14:textFill>
                  <w14:solidFill>
                    <w14:schemeClr w14:val="tx1"/>
                  </w14:solidFill>
                </w14:textFill>
              </w:rPr>
              <w:t>t/</w:t>
            </w:r>
            <w:bookmarkStart w:id="32" w:name="_GoBack"/>
            <w:bookmarkEnd w:id="32"/>
            <w:r>
              <w:rPr>
                <w:rFonts w:hint="eastAsia" w:ascii="宋体" w:hAnsi="宋体" w:cs="宋体"/>
                <w:snapToGrid w:val="0"/>
                <w:color w:val="000000" w:themeColor="text1"/>
                <w:kern w:val="21"/>
                <w:sz w:val="21"/>
                <w:szCs w:val="21"/>
                <w14:textFill>
                  <w14:solidFill>
                    <w14:schemeClr w14:val="tx1"/>
                  </w14:solidFill>
                </w14:textFill>
              </w:rPr>
              <w:t>a</w:t>
            </w:r>
          </w:p>
        </w:tc>
        <w:tc>
          <w:tcPr>
            <w:tcW w:w="1652" w:type="dxa"/>
            <w:vAlign w:val="center"/>
          </w:tcPr>
          <w:p w14:paraId="20AEB0A5">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875" w:type="dxa"/>
            <w:vAlign w:val="center"/>
          </w:tcPr>
          <w:p w14:paraId="68BB7D8F">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31.995</w:t>
            </w:r>
            <w:r>
              <w:rPr>
                <w:rFonts w:hint="eastAsia" w:ascii="宋体" w:hAnsi="宋体" w:cs="宋体"/>
                <w:snapToGrid w:val="0"/>
                <w:color w:val="000000" w:themeColor="text1"/>
                <w:kern w:val="21"/>
                <w:sz w:val="21"/>
                <w:szCs w:val="21"/>
                <w14:textFill>
                  <w14:solidFill>
                    <w14:schemeClr w14:val="tx1"/>
                  </w14:solidFill>
                </w14:textFill>
              </w:rPr>
              <w:t>t/a</w:t>
            </w:r>
          </w:p>
        </w:tc>
        <w:tc>
          <w:tcPr>
            <w:tcW w:w="1565" w:type="dxa"/>
            <w:vAlign w:val="center"/>
          </w:tcPr>
          <w:p w14:paraId="7BCCCC0F">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+9.445</w:t>
            </w:r>
            <w:r>
              <w:rPr>
                <w:rFonts w:hint="eastAsia" w:ascii="宋体" w:hAnsi="宋体" w:cs="宋体"/>
                <w:snapToGrid w:val="0"/>
                <w:color w:val="000000" w:themeColor="text1"/>
                <w:kern w:val="21"/>
                <w:sz w:val="21"/>
                <w:szCs w:val="21"/>
                <w14:textFill>
                  <w14:solidFill>
                    <w14:schemeClr w14:val="tx1"/>
                  </w14:solidFill>
                </w14:textFill>
              </w:rPr>
              <w:t>t/a</w:t>
            </w:r>
          </w:p>
        </w:tc>
      </w:tr>
      <w:tr w14:paraId="21022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4" w:type="dxa"/>
            <w:vMerge w:val="continue"/>
            <w:vAlign w:val="center"/>
          </w:tcPr>
          <w:p w14:paraId="4CE50DD4">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830" w:type="dxa"/>
            <w:vAlign w:val="center"/>
          </w:tcPr>
          <w:p w14:paraId="0A50492C">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二氧化硫</w:t>
            </w:r>
          </w:p>
        </w:tc>
        <w:tc>
          <w:tcPr>
            <w:tcW w:w="1450" w:type="dxa"/>
            <w:vAlign w:val="center"/>
          </w:tcPr>
          <w:p w14:paraId="4513D794">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20.15t/a</w:t>
            </w:r>
          </w:p>
        </w:tc>
        <w:tc>
          <w:tcPr>
            <w:tcW w:w="1300" w:type="dxa"/>
            <w:vAlign w:val="center"/>
          </w:tcPr>
          <w:p w14:paraId="25422441">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28.64t/a</w:t>
            </w:r>
          </w:p>
        </w:tc>
        <w:tc>
          <w:tcPr>
            <w:tcW w:w="1650" w:type="dxa"/>
            <w:vAlign w:val="center"/>
          </w:tcPr>
          <w:p w14:paraId="7575A322">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652" w:type="dxa"/>
            <w:vAlign w:val="center"/>
          </w:tcPr>
          <w:p w14:paraId="3D00412B">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123.05</w:t>
            </w:r>
            <w:r>
              <w:rPr>
                <w:rFonts w:hint="eastAsia" w:ascii="宋体" w:hAnsi="宋体" w:cs="宋体"/>
                <w:snapToGrid w:val="0"/>
                <w:color w:val="000000" w:themeColor="text1"/>
                <w:kern w:val="21"/>
                <w:sz w:val="21"/>
                <w:szCs w:val="21"/>
                <w14:textFill>
                  <w14:solidFill>
                    <w14:schemeClr w14:val="tx1"/>
                  </w14:solidFill>
                </w14:textFill>
              </w:rPr>
              <w:t>t/a</w:t>
            </w:r>
          </w:p>
        </w:tc>
        <w:tc>
          <w:tcPr>
            <w:tcW w:w="1652" w:type="dxa"/>
            <w:vAlign w:val="center"/>
          </w:tcPr>
          <w:p w14:paraId="4DD0E52A">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875" w:type="dxa"/>
            <w:vAlign w:val="center"/>
          </w:tcPr>
          <w:p w14:paraId="61F44E3A">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143.2</w:t>
            </w:r>
            <w:r>
              <w:rPr>
                <w:rFonts w:hint="eastAsia" w:ascii="宋体" w:hAnsi="宋体" w:cs="宋体"/>
                <w:snapToGrid w:val="0"/>
                <w:color w:val="000000" w:themeColor="text1"/>
                <w:kern w:val="21"/>
                <w:sz w:val="21"/>
                <w:szCs w:val="21"/>
                <w14:textFill>
                  <w14:solidFill>
                    <w14:schemeClr w14:val="tx1"/>
                  </w14:solidFill>
                </w14:textFill>
              </w:rPr>
              <w:t>t/a</w:t>
            </w:r>
          </w:p>
        </w:tc>
        <w:tc>
          <w:tcPr>
            <w:tcW w:w="1565" w:type="dxa"/>
            <w:vAlign w:val="center"/>
          </w:tcPr>
          <w:p w14:paraId="7469FC55">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+123.05</w:t>
            </w:r>
            <w:r>
              <w:rPr>
                <w:rFonts w:hint="eastAsia" w:ascii="宋体" w:hAnsi="宋体" w:cs="宋体"/>
                <w:snapToGrid w:val="0"/>
                <w:color w:val="000000" w:themeColor="text1"/>
                <w:kern w:val="21"/>
                <w:sz w:val="21"/>
                <w:szCs w:val="21"/>
                <w14:textFill>
                  <w14:solidFill>
                    <w14:schemeClr w14:val="tx1"/>
                  </w14:solidFill>
                </w14:textFill>
              </w:rPr>
              <w:t>t/a</w:t>
            </w:r>
          </w:p>
        </w:tc>
      </w:tr>
      <w:tr w14:paraId="29F30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4" w:type="dxa"/>
            <w:vMerge w:val="continue"/>
            <w:vAlign w:val="center"/>
          </w:tcPr>
          <w:p w14:paraId="6B848CCC">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830" w:type="dxa"/>
            <w:vAlign w:val="center"/>
          </w:tcPr>
          <w:p w14:paraId="571A525D">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氮氧化物</w:t>
            </w:r>
          </w:p>
        </w:tc>
        <w:tc>
          <w:tcPr>
            <w:tcW w:w="1450" w:type="dxa"/>
            <w:vAlign w:val="center"/>
          </w:tcPr>
          <w:p w14:paraId="27D69520">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48.59t/a</w:t>
            </w:r>
          </w:p>
        </w:tc>
        <w:tc>
          <w:tcPr>
            <w:tcW w:w="1300" w:type="dxa"/>
            <w:vAlign w:val="center"/>
          </w:tcPr>
          <w:p w14:paraId="6E23B035">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48.96t/a</w:t>
            </w:r>
          </w:p>
        </w:tc>
        <w:tc>
          <w:tcPr>
            <w:tcW w:w="1650" w:type="dxa"/>
            <w:vAlign w:val="center"/>
          </w:tcPr>
          <w:p w14:paraId="6A2BDB4F">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652" w:type="dxa"/>
            <w:vAlign w:val="center"/>
          </w:tcPr>
          <w:p w14:paraId="2F8961DB">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196.21</w:t>
            </w:r>
            <w:r>
              <w:rPr>
                <w:rFonts w:hint="eastAsia" w:ascii="宋体" w:hAnsi="宋体" w:cs="宋体"/>
                <w:snapToGrid w:val="0"/>
                <w:color w:val="000000" w:themeColor="text1"/>
                <w:kern w:val="21"/>
                <w:sz w:val="21"/>
                <w:szCs w:val="21"/>
                <w14:textFill>
                  <w14:solidFill>
                    <w14:schemeClr w14:val="tx1"/>
                  </w14:solidFill>
                </w14:textFill>
              </w:rPr>
              <w:t>t/a</w:t>
            </w:r>
          </w:p>
        </w:tc>
        <w:tc>
          <w:tcPr>
            <w:tcW w:w="1652" w:type="dxa"/>
            <w:vAlign w:val="center"/>
          </w:tcPr>
          <w:p w14:paraId="447BE793">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875" w:type="dxa"/>
            <w:vAlign w:val="center"/>
          </w:tcPr>
          <w:p w14:paraId="606FC426">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244.8</w:t>
            </w:r>
            <w:r>
              <w:rPr>
                <w:rFonts w:hint="eastAsia" w:ascii="宋体" w:hAnsi="宋体" w:cs="宋体"/>
                <w:snapToGrid w:val="0"/>
                <w:color w:val="000000" w:themeColor="text1"/>
                <w:kern w:val="21"/>
                <w:sz w:val="21"/>
                <w:szCs w:val="21"/>
                <w14:textFill>
                  <w14:solidFill>
                    <w14:schemeClr w14:val="tx1"/>
                  </w14:solidFill>
                </w14:textFill>
              </w:rPr>
              <w:t>t/a</w:t>
            </w:r>
          </w:p>
        </w:tc>
        <w:tc>
          <w:tcPr>
            <w:tcW w:w="1565" w:type="dxa"/>
            <w:vAlign w:val="center"/>
          </w:tcPr>
          <w:p w14:paraId="3AC4C62A">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+196.21</w:t>
            </w:r>
            <w:r>
              <w:rPr>
                <w:rFonts w:hint="eastAsia" w:ascii="宋体" w:hAnsi="宋体" w:cs="宋体"/>
                <w:snapToGrid w:val="0"/>
                <w:color w:val="000000" w:themeColor="text1"/>
                <w:kern w:val="21"/>
                <w:sz w:val="21"/>
                <w:szCs w:val="21"/>
                <w14:textFill>
                  <w14:solidFill>
                    <w14:schemeClr w14:val="tx1"/>
                  </w14:solidFill>
                </w14:textFill>
              </w:rPr>
              <w:t>t/a</w:t>
            </w:r>
          </w:p>
        </w:tc>
      </w:tr>
      <w:tr w14:paraId="77E1C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4" w:type="dxa"/>
            <w:vMerge w:val="continue"/>
            <w:vAlign w:val="center"/>
          </w:tcPr>
          <w:p w14:paraId="6AD4D2E9">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830" w:type="dxa"/>
            <w:vAlign w:val="center"/>
          </w:tcPr>
          <w:p w14:paraId="01AC2378">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氟化物</w:t>
            </w:r>
          </w:p>
        </w:tc>
        <w:tc>
          <w:tcPr>
            <w:tcW w:w="1450" w:type="dxa"/>
            <w:vAlign w:val="center"/>
          </w:tcPr>
          <w:p w14:paraId="43D95895">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1.44t/a</w:t>
            </w:r>
          </w:p>
        </w:tc>
        <w:tc>
          <w:tcPr>
            <w:tcW w:w="1300" w:type="dxa"/>
            <w:vAlign w:val="center"/>
          </w:tcPr>
          <w:p w14:paraId="0428297F">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650" w:type="dxa"/>
            <w:vAlign w:val="center"/>
          </w:tcPr>
          <w:p w14:paraId="13CC9DB1">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652" w:type="dxa"/>
            <w:vAlign w:val="center"/>
          </w:tcPr>
          <w:p w14:paraId="2BCA5DC1">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7.48</w:t>
            </w:r>
            <w:r>
              <w:rPr>
                <w:rFonts w:hint="eastAsia" w:ascii="宋体" w:hAnsi="宋体" w:cs="宋体"/>
                <w:snapToGrid w:val="0"/>
                <w:color w:val="000000" w:themeColor="text1"/>
                <w:kern w:val="21"/>
                <w:sz w:val="21"/>
                <w:szCs w:val="21"/>
                <w14:textFill>
                  <w14:solidFill>
                    <w14:schemeClr w14:val="tx1"/>
                  </w14:solidFill>
                </w14:textFill>
              </w:rPr>
              <w:t>t/a</w:t>
            </w:r>
          </w:p>
        </w:tc>
        <w:tc>
          <w:tcPr>
            <w:tcW w:w="1652" w:type="dxa"/>
            <w:vAlign w:val="center"/>
          </w:tcPr>
          <w:p w14:paraId="0D7B6F69">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875" w:type="dxa"/>
            <w:vAlign w:val="center"/>
          </w:tcPr>
          <w:p w14:paraId="536DCEC2">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8.92</w:t>
            </w:r>
            <w:r>
              <w:rPr>
                <w:rFonts w:hint="eastAsia" w:ascii="宋体" w:hAnsi="宋体" w:cs="宋体"/>
                <w:snapToGrid w:val="0"/>
                <w:color w:val="000000" w:themeColor="text1"/>
                <w:kern w:val="21"/>
                <w:sz w:val="21"/>
                <w:szCs w:val="21"/>
                <w14:textFill>
                  <w14:solidFill>
                    <w14:schemeClr w14:val="tx1"/>
                  </w14:solidFill>
                </w14:textFill>
              </w:rPr>
              <w:t>t/a</w:t>
            </w:r>
          </w:p>
        </w:tc>
        <w:tc>
          <w:tcPr>
            <w:tcW w:w="1565" w:type="dxa"/>
            <w:vAlign w:val="center"/>
          </w:tcPr>
          <w:p w14:paraId="36A1CA7C">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lang w:val="en-US" w:eastAsia="zh-CN"/>
                <w14:textFill>
                  <w14:solidFill>
                    <w14:schemeClr w14:val="tx1"/>
                  </w14:solidFill>
                </w14:textFill>
              </w:rPr>
              <w:t>+7.48</w:t>
            </w:r>
            <w:r>
              <w:rPr>
                <w:rFonts w:hint="eastAsia" w:ascii="宋体" w:hAnsi="宋体" w:cs="宋体"/>
                <w:snapToGrid w:val="0"/>
                <w:color w:val="000000" w:themeColor="text1"/>
                <w:kern w:val="21"/>
                <w:sz w:val="21"/>
                <w:szCs w:val="21"/>
                <w14:textFill>
                  <w14:solidFill>
                    <w14:schemeClr w14:val="tx1"/>
                  </w14:solidFill>
                </w14:textFill>
              </w:rPr>
              <w:t>t/a</w:t>
            </w:r>
          </w:p>
        </w:tc>
      </w:tr>
      <w:tr w14:paraId="67858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4" w:type="dxa"/>
            <w:vAlign w:val="center"/>
          </w:tcPr>
          <w:p w14:paraId="2AB6018E">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废水</w:t>
            </w:r>
          </w:p>
        </w:tc>
        <w:tc>
          <w:tcPr>
            <w:tcW w:w="1830" w:type="dxa"/>
            <w:tcBorders>
              <w:bottom w:val="single" w:color="auto" w:sz="4" w:space="0"/>
            </w:tcBorders>
            <w:vAlign w:val="center"/>
          </w:tcPr>
          <w:p w14:paraId="23667570">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450" w:type="dxa"/>
            <w:tcBorders>
              <w:bottom w:val="single" w:color="auto" w:sz="4" w:space="0"/>
            </w:tcBorders>
            <w:vAlign w:val="center"/>
          </w:tcPr>
          <w:p w14:paraId="2CB3FCCA">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300" w:type="dxa"/>
            <w:tcBorders>
              <w:bottom w:val="single" w:color="auto" w:sz="4" w:space="0"/>
            </w:tcBorders>
            <w:vAlign w:val="center"/>
          </w:tcPr>
          <w:p w14:paraId="0FF5A694">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650" w:type="dxa"/>
            <w:tcBorders>
              <w:bottom w:val="single" w:color="auto" w:sz="4" w:space="0"/>
            </w:tcBorders>
            <w:vAlign w:val="center"/>
          </w:tcPr>
          <w:p w14:paraId="5E044365">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652" w:type="dxa"/>
            <w:tcBorders>
              <w:bottom w:val="single" w:color="auto" w:sz="4" w:space="0"/>
            </w:tcBorders>
            <w:vAlign w:val="center"/>
          </w:tcPr>
          <w:p w14:paraId="649A6C68">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652" w:type="dxa"/>
            <w:tcBorders>
              <w:bottom w:val="single" w:color="auto" w:sz="4" w:space="0"/>
            </w:tcBorders>
            <w:vAlign w:val="center"/>
          </w:tcPr>
          <w:p w14:paraId="133DAF25">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875" w:type="dxa"/>
            <w:tcBorders>
              <w:bottom w:val="single" w:color="auto" w:sz="4" w:space="0"/>
            </w:tcBorders>
            <w:vAlign w:val="center"/>
          </w:tcPr>
          <w:p w14:paraId="4074DE5B">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565" w:type="dxa"/>
            <w:tcBorders>
              <w:bottom w:val="single" w:color="auto" w:sz="4" w:space="0"/>
            </w:tcBorders>
            <w:vAlign w:val="center"/>
          </w:tcPr>
          <w:p w14:paraId="5E832093">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r>
      <w:tr w14:paraId="5E3B47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4" w:type="dxa"/>
            <w:vAlign w:val="center"/>
          </w:tcPr>
          <w:p w14:paraId="08A1EEDA">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一般工业固体废物</w:t>
            </w:r>
          </w:p>
        </w:tc>
        <w:tc>
          <w:tcPr>
            <w:tcW w:w="1830" w:type="dxa"/>
            <w:tcBorders>
              <w:bottom w:val="single" w:color="auto" w:sz="4" w:space="0"/>
            </w:tcBorders>
            <w:vAlign w:val="center"/>
          </w:tcPr>
          <w:p w14:paraId="4754E3CE">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450" w:type="dxa"/>
            <w:vAlign w:val="center"/>
          </w:tcPr>
          <w:p w14:paraId="1EB44209">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300" w:type="dxa"/>
            <w:vAlign w:val="center"/>
          </w:tcPr>
          <w:p w14:paraId="045611D7">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650" w:type="dxa"/>
            <w:vAlign w:val="center"/>
          </w:tcPr>
          <w:p w14:paraId="74F70BEA">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652" w:type="dxa"/>
            <w:vAlign w:val="center"/>
          </w:tcPr>
          <w:p w14:paraId="449113A8">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652" w:type="dxa"/>
            <w:vAlign w:val="center"/>
          </w:tcPr>
          <w:p w14:paraId="0CABF36B">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875" w:type="dxa"/>
            <w:vAlign w:val="center"/>
          </w:tcPr>
          <w:p w14:paraId="3BA60C1D">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565" w:type="dxa"/>
            <w:vAlign w:val="center"/>
          </w:tcPr>
          <w:p w14:paraId="6C2B8FDF">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r>
      <w:tr w14:paraId="6C387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4" w:type="dxa"/>
            <w:tcBorders>
              <w:top w:val="single" w:color="auto" w:sz="4" w:space="0"/>
            </w:tcBorders>
            <w:vAlign w:val="center"/>
          </w:tcPr>
          <w:p w14:paraId="23447C37">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危险废物</w:t>
            </w:r>
          </w:p>
        </w:tc>
        <w:tc>
          <w:tcPr>
            <w:tcW w:w="1830" w:type="dxa"/>
            <w:tcBorders>
              <w:top w:val="single" w:color="auto" w:sz="4" w:space="0"/>
            </w:tcBorders>
            <w:vAlign w:val="center"/>
          </w:tcPr>
          <w:p w14:paraId="155E0746">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废机油、废油桶</w:t>
            </w:r>
          </w:p>
        </w:tc>
        <w:tc>
          <w:tcPr>
            <w:tcW w:w="1450" w:type="dxa"/>
            <w:vAlign w:val="center"/>
          </w:tcPr>
          <w:p w14:paraId="5349D23C">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1.5t/a</w:t>
            </w:r>
          </w:p>
        </w:tc>
        <w:tc>
          <w:tcPr>
            <w:tcW w:w="1300" w:type="dxa"/>
            <w:vAlign w:val="center"/>
          </w:tcPr>
          <w:p w14:paraId="52131E6A">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650" w:type="dxa"/>
            <w:vAlign w:val="center"/>
          </w:tcPr>
          <w:p w14:paraId="4282A173">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p>
        </w:tc>
        <w:tc>
          <w:tcPr>
            <w:tcW w:w="1652" w:type="dxa"/>
            <w:vAlign w:val="center"/>
          </w:tcPr>
          <w:p w14:paraId="2878838F">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652" w:type="dxa"/>
            <w:vAlign w:val="center"/>
          </w:tcPr>
          <w:p w14:paraId="325BC311">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w:t>
            </w:r>
          </w:p>
        </w:tc>
        <w:tc>
          <w:tcPr>
            <w:tcW w:w="1875" w:type="dxa"/>
            <w:vAlign w:val="center"/>
          </w:tcPr>
          <w:p w14:paraId="05572CE9">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1.5t/a</w:t>
            </w:r>
          </w:p>
        </w:tc>
        <w:tc>
          <w:tcPr>
            <w:tcW w:w="1565" w:type="dxa"/>
            <w:vAlign w:val="center"/>
          </w:tcPr>
          <w:p w14:paraId="7C628FED">
            <w:pPr>
              <w:widowControl w:val="0"/>
              <w:spacing w:line="240" w:lineRule="auto"/>
              <w:ind w:firstLine="0" w:firstLineChars="0"/>
              <w:jc w:val="center"/>
              <w:rPr>
                <w:rFonts w:hint="eastAsia" w:ascii="宋体" w:hAnsi="宋体" w:cs="宋体"/>
                <w:snapToGrid w:val="0"/>
                <w:color w:val="000000" w:themeColor="text1"/>
                <w:kern w:val="21"/>
                <w:sz w:val="21"/>
                <w:szCs w:val="21"/>
                <w14:textFill>
                  <w14:solidFill>
                    <w14:schemeClr w14:val="tx1"/>
                  </w14:solidFill>
                </w14:textFill>
              </w:rPr>
            </w:pPr>
            <w:r>
              <w:rPr>
                <w:rFonts w:hint="eastAsia" w:ascii="宋体" w:hAnsi="宋体" w:cs="宋体"/>
                <w:snapToGrid w:val="0"/>
                <w:color w:val="000000" w:themeColor="text1"/>
                <w:kern w:val="21"/>
                <w:sz w:val="21"/>
                <w:szCs w:val="21"/>
                <w14:textFill>
                  <w14:solidFill>
                    <w14:schemeClr w14:val="tx1"/>
                  </w14:solidFill>
                </w14:textFill>
              </w:rPr>
              <w:t>0</w:t>
            </w:r>
          </w:p>
        </w:tc>
      </w:tr>
    </w:tbl>
    <w:p w14:paraId="1EE93FF1">
      <w:pPr>
        <w:widowControl w:val="0"/>
        <w:ind w:firstLine="480"/>
        <w:rPr>
          <w:rFonts w:hint="eastAsia" w:ascii="宋体" w:hAnsi="宋体" w:cs="宋体"/>
          <w:color w:val="000000" w:themeColor="text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注：</w:t>
      </w:r>
      <w:r>
        <w:rPr>
          <w:rFonts w:hint="eastAsia" w:ascii="宋体" w:hAnsi="宋体" w:cs="宋体"/>
          <w:snapToGrid w:val="0"/>
          <w:color w:val="000000" w:themeColor="text1"/>
          <w:spacing w:val="-16"/>
          <w:kern w:val="21"/>
          <w:szCs w:val="21"/>
          <w14:textFill>
            <w14:solidFill>
              <w14:schemeClr w14:val="tx1"/>
            </w14:solidFill>
          </w14:textFill>
        </w:rPr>
        <w:fldChar w:fldCharType="begin"/>
      </w:r>
      <w:r>
        <w:rPr>
          <w:rFonts w:hint="eastAsia" w:ascii="宋体" w:hAnsi="宋体" w:cs="宋体"/>
          <w:snapToGrid w:val="0"/>
          <w:color w:val="000000" w:themeColor="text1"/>
          <w:spacing w:val="-16"/>
          <w:kern w:val="21"/>
          <w:szCs w:val="21"/>
          <w14:textFill>
            <w14:solidFill>
              <w14:schemeClr w14:val="tx1"/>
            </w14:solidFill>
          </w14:textFill>
        </w:rPr>
        <w:instrText xml:space="preserve"> = 6 \* GB3 \* MERGEFORMAT </w:instrText>
      </w:r>
      <w:r>
        <w:rPr>
          <w:rFonts w:hint="eastAsia" w:ascii="宋体" w:hAnsi="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rFonts w:hint="eastAsia" w:ascii="宋体" w:hAnsi="宋体" w:cs="宋体"/>
          <w:snapToGrid w:val="0"/>
          <w:color w:val="000000" w:themeColor="text1"/>
          <w:spacing w:val="-16"/>
          <w:kern w:val="21"/>
          <w:szCs w:val="21"/>
          <w14:textFill>
            <w14:solidFill>
              <w14:schemeClr w14:val="tx1"/>
            </w14:solidFill>
          </w14:textFill>
        </w:rPr>
        <w:fldChar w:fldCharType="end"/>
      </w:r>
      <w:r>
        <w:rPr>
          <w:rFonts w:hint="eastAsia" w:ascii="宋体" w:hAnsi="宋体" w:cs="宋体"/>
          <w:snapToGrid w:val="0"/>
          <w:color w:val="000000" w:themeColor="text1"/>
          <w:spacing w:val="-16"/>
          <w:kern w:val="21"/>
          <w:szCs w:val="21"/>
          <w14:textFill>
            <w14:solidFill>
              <w14:schemeClr w14:val="tx1"/>
            </w14:solidFill>
          </w14:textFill>
        </w:rPr>
        <w:t>=</w:t>
      </w:r>
      <w:r>
        <w:rPr>
          <w:rFonts w:hint="eastAsia" w:ascii="宋体" w:hAnsi="宋体" w:cs="宋体"/>
          <w:snapToGrid w:val="0"/>
          <w:color w:val="000000" w:themeColor="text1"/>
          <w:spacing w:val="-6"/>
          <w:kern w:val="21"/>
          <w:szCs w:val="21"/>
          <w14:textFill>
            <w14:solidFill>
              <w14:schemeClr w14:val="tx1"/>
            </w14:solidFill>
          </w14:textFill>
        </w:rPr>
        <w:fldChar w:fldCharType="begin"/>
      </w:r>
      <w:r>
        <w:rPr>
          <w:rFonts w:hint="eastAsia" w:ascii="宋体" w:hAnsi="宋体" w:cs="宋体"/>
          <w:snapToGrid w:val="0"/>
          <w:color w:val="000000" w:themeColor="text1"/>
          <w:spacing w:val="-6"/>
          <w:kern w:val="21"/>
          <w:szCs w:val="21"/>
          <w14:textFill>
            <w14:solidFill>
              <w14:schemeClr w14:val="tx1"/>
            </w14:solidFill>
          </w14:textFill>
        </w:rPr>
        <w:instrText xml:space="preserve"> = 1 \* GB3 \* MERGEFORMAT </w:instrText>
      </w:r>
      <w:r>
        <w:rPr>
          <w:rFonts w:hint="eastAsia"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hint="eastAsia" w:ascii="宋体" w:hAnsi="宋体" w:cs="宋体"/>
          <w:snapToGrid w:val="0"/>
          <w:color w:val="000000" w:themeColor="text1"/>
          <w:spacing w:val="-6"/>
          <w:kern w:val="21"/>
          <w:szCs w:val="21"/>
          <w14:textFill>
            <w14:solidFill>
              <w14:schemeClr w14:val="tx1"/>
            </w14:solidFill>
          </w14:textFill>
        </w:rPr>
        <w:fldChar w:fldCharType="end"/>
      </w:r>
      <w:r>
        <w:rPr>
          <w:rFonts w:hint="eastAsia" w:ascii="宋体" w:hAnsi="宋体" w:cs="宋体"/>
          <w:snapToGrid w:val="0"/>
          <w:color w:val="000000" w:themeColor="text1"/>
          <w:spacing w:val="-6"/>
          <w:kern w:val="21"/>
          <w:szCs w:val="21"/>
          <w14:textFill>
            <w14:solidFill>
              <w14:schemeClr w14:val="tx1"/>
            </w14:solidFill>
          </w14:textFill>
        </w:rPr>
        <w:t>+</w:t>
      </w:r>
      <w:r>
        <w:rPr>
          <w:rFonts w:hint="eastAsia" w:ascii="宋体" w:hAnsi="宋体" w:cs="宋体"/>
          <w:snapToGrid w:val="0"/>
          <w:color w:val="000000" w:themeColor="text1"/>
          <w:spacing w:val="-6"/>
          <w:kern w:val="21"/>
          <w:szCs w:val="21"/>
          <w14:textFill>
            <w14:solidFill>
              <w14:schemeClr w14:val="tx1"/>
            </w14:solidFill>
          </w14:textFill>
        </w:rPr>
        <w:fldChar w:fldCharType="begin"/>
      </w:r>
      <w:r>
        <w:rPr>
          <w:rFonts w:hint="eastAsia" w:ascii="宋体" w:hAnsi="宋体" w:cs="宋体"/>
          <w:snapToGrid w:val="0"/>
          <w:color w:val="000000" w:themeColor="text1"/>
          <w:spacing w:val="-6"/>
          <w:kern w:val="21"/>
          <w:szCs w:val="21"/>
          <w14:textFill>
            <w14:solidFill>
              <w14:schemeClr w14:val="tx1"/>
            </w14:solidFill>
          </w14:textFill>
        </w:rPr>
        <w:instrText xml:space="preserve"> = 3 \* GB3 \* MERGEFORMAT </w:instrText>
      </w:r>
      <w:r>
        <w:rPr>
          <w:rFonts w:hint="eastAsia"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③</w:t>
      </w:r>
      <w:r>
        <w:rPr>
          <w:rFonts w:hint="eastAsia" w:ascii="宋体" w:hAnsi="宋体" w:cs="宋体"/>
          <w:snapToGrid w:val="0"/>
          <w:color w:val="000000" w:themeColor="text1"/>
          <w:spacing w:val="-6"/>
          <w:kern w:val="21"/>
          <w:szCs w:val="21"/>
          <w14:textFill>
            <w14:solidFill>
              <w14:schemeClr w14:val="tx1"/>
            </w14:solidFill>
          </w14:textFill>
        </w:rPr>
        <w:fldChar w:fldCharType="end"/>
      </w:r>
      <w:r>
        <w:rPr>
          <w:rFonts w:hint="eastAsia" w:ascii="宋体" w:hAnsi="宋体" w:cs="宋体"/>
          <w:snapToGrid w:val="0"/>
          <w:color w:val="000000" w:themeColor="text1"/>
          <w:spacing w:val="-6"/>
          <w:kern w:val="21"/>
          <w:szCs w:val="21"/>
          <w14:textFill>
            <w14:solidFill>
              <w14:schemeClr w14:val="tx1"/>
            </w14:solidFill>
          </w14:textFill>
        </w:rPr>
        <w:t>+</w:t>
      </w:r>
      <w:r>
        <w:rPr>
          <w:rFonts w:hint="eastAsia" w:ascii="宋体" w:hAnsi="宋体" w:cs="宋体"/>
          <w:snapToGrid w:val="0"/>
          <w:color w:val="000000" w:themeColor="text1"/>
          <w:spacing w:val="-6"/>
          <w:kern w:val="21"/>
          <w:szCs w:val="21"/>
          <w14:textFill>
            <w14:solidFill>
              <w14:schemeClr w14:val="tx1"/>
            </w14:solidFill>
          </w14:textFill>
        </w:rPr>
        <w:fldChar w:fldCharType="begin"/>
      </w:r>
      <w:r>
        <w:rPr>
          <w:rFonts w:hint="eastAsia" w:ascii="宋体" w:hAnsi="宋体" w:cs="宋体"/>
          <w:snapToGrid w:val="0"/>
          <w:color w:val="000000" w:themeColor="text1"/>
          <w:spacing w:val="-6"/>
          <w:kern w:val="21"/>
          <w:szCs w:val="21"/>
          <w14:textFill>
            <w14:solidFill>
              <w14:schemeClr w14:val="tx1"/>
            </w14:solidFill>
          </w14:textFill>
        </w:rPr>
        <w:instrText xml:space="preserve"> = 4 \* GB3 \* MERGEFORMAT </w:instrText>
      </w:r>
      <w:r>
        <w:rPr>
          <w:rFonts w:hint="eastAsia"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④</w:t>
      </w:r>
      <w:r>
        <w:rPr>
          <w:rFonts w:hint="eastAsia" w:ascii="宋体" w:hAnsi="宋体" w:cs="宋体"/>
          <w:snapToGrid w:val="0"/>
          <w:color w:val="000000" w:themeColor="text1"/>
          <w:spacing w:val="-6"/>
          <w:kern w:val="21"/>
          <w:szCs w:val="21"/>
          <w14:textFill>
            <w14:solidFill>
              <w14:schemeClr w14:val="tx1"/>
            </w14:solidFill>
          </w14:textFill>
        </w:rPr>
        <w:fldChar w:fldCharType="end"/>
      </w:r>
      <w:r>
        <w:rPr>
          <w:rFonts w:hint="eastAsia" w:ascii="宋体" w:hAnsi="宋体" w:cs="宋体"/>
          <w:snapToGrid w:val="0"/>
          <w:color w:val="000000" w:themeColor="text1"/>
          <w:spacing w:val="-6"/>
          <w:kern w:val="21"/>
          <w:szCs w:val="21"/>
          <w14:textFill>
            <w14:solidFill>
              <w14:schemeClr w14:val="tx1"/>
            </w14:solidFill>
          </w14:textFill>
        </w:rPr>
        <w:t>-</w:t>
      </w:r>
      <w:r>
        <w:rPr>
          <w:rFonts w:hint="eastAsia" w:ascii="宋体" w:hAnsi="宋体" w:cs="宋体"/>
          <w:snapToGrid w:val="0"/>
          <w:color w:val="000000" w:themeColor="text1"/>
          <w:spacing w:val="-16"/>
          <w:kern w:val="21"/>
          <w:szCs w:val="21"/>
          <w14:textFill>
            <w14:solidFill>
              <w14:schemeClr w14:val="tx1"/>
            </w14:solidFill>
          </w14:textFill>
        </w:rPr>
        <w:fldChar w:fldCharType="begin"/>
      </w:r>
      <w:r>
        <w:rPr>
          <w:rFonts w:hint="eastAsia" w:ascii="宋体" w:hAnsi="宋体" w:cs="宋体"/>
          <w:snapToGrid w:val="0"/>
          <w:color w:val="000000" w:themeColor="text1"/>
          <w:spacing w:val="-16"/>
          <w:kern w:val="21"/>
          <w:szCs w:val="21"/>
          <w14:textFill>
            <w14:solidFill>
              <w14:schemeClr w14:val="tx1"/>
            </w14:solidFill>
          </w14:textFill>
        </w:rPr>
        <w:instrText xml:space="preserve"> = 5 \* GB3 \* MERGEFORMAT </w:instrText>
      </w:r>
      <w:r>
        <w:rPr>
          <w:rFonts w:hint="eastAsia" w:ascii="宋体" w:hAnsi="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⑤</w:t>
      </w:r>
      <w:r>
        <w:rPr>
          <w:rFonts w:hint="eastAsia" w:ascii="宋体" w:hAnsi="宋体" w:cs="宋体"/>
          <w:snapToGrid w:val="0"/>
          <w:color w:val="000000" w:themeColor="text1"/>
          <w:spacing w:val="-16"/>
          <w:kern w:val="21"/>
          <w:szCs w:val="21"/>
          <w14:textFill>
            <w14:solidFill>
              <w14:schemeClr w14:val="tx1"/>
            </w14:solidFill>
          </w14:textFill>
        </w:rPr>
        <w:fldChar w:fldCharType="end"/>
      </w:r>
      <w:r>
        <w:rPr>
          <w:rFonts w:hint="eastAsia" w:ascii="宋体" w:hAnsi="宋体" w:cs="宋体"/>
          <w:snapToGrid w:val="0"/>
          <w:color w:val="000000" w:themeColor="text1"/>
          <w:spacing w:val="-16"/>
          <w:kern w:val="21"/>
          <w:szCs w:val="21"/>
          <w14:textFill>
            <w14:solidFill>
              <w14:schemeClr w14:val="tx1"/>
            </w14:solidFill>
          </w14:textFill>
        </w:rPr>
        <w:t>；</w:t>
      </w:r>
      <w:r>
        <w:rPr>
          <w:rFonts w:hint="eastAsia" w:ascii="宋体" w:hAnsi="宋体" w:cs="宋体"/>
          <w:snapToGrid w:val="0"/>
          <w:color w:val="000000" w:themeColor="text1"/>
          <w:spacing w:val="-6"/>
          <w:kern w:val="21"/>
          <w:szCs w:val="21"/>
          <w14:textFill>
            <w14:solidFill>
              <w14:schemeClr w14:val="tx1"/>
            </w14:solidFill>
          </w14:textFill>
        </w:rPr>
        <w:fldChar w:fldCharType="begin"/>
      </w:r>
      <w:r>
        <w:rPr>
          <w:rFonts w:hint="eastAsia" w:ascii="宋体" w:hAnsi="宋体" w:cs="宋体"/>
          <w:snapToGrid w:val="0"/>
          <w:color w:val="000000" w:themeColor="text1"/>
          <w:spacing w:val="-6"/>
          <w:kern w:val="21"/>
          <w:szCs w:val="21"/>
          <w14:textFill>
            <w14:solidFill>
              <w14:schemeClr w14:val="tx1"/>
            </w14:solidFill>
          </w14:textFill>
        </w:rPr>
        <w:instrText xml:space="preserve"> = 7 \* GB3 \* MERGEFORMAT </w:instrText>
      </w:r>
      <w:r>
        <w:rPr>
          <w:rFonts w:hint="eastAsia"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⑦</w:t>
      </w:r>
      <w:r>
        <w:rPr>
          <w:rFonts w:hint="eastAsia" w:ascii="宋体" w:hAnsi="宋体" w:cs="宋体"/>
          <w:snapToGrid w:val="0"/>
          <w:color w:val="000000" w:themeColor="text1"/>
          <w:spacing w:val="-6"/>
          <w:kern w:val="21"/>
          <w:szCs w:val="21"/>
          <w14:textFill>
            <w14:solidFill>
              <w14:schemeClr w14:val="tx1"/>
            </w14:solidFill>
          </w14:textFill>
        </w:rPr>
        <w:fldChar w:fldCharType="end"/>
      </w:r>
      <w:r>
        <w:rPr>
          <w:rFonts w:hint="eastAsia" w:ascii="宋体" w:hAnsi="宋体" w:cs="宋体"/>
          <w:snapToGrid w:val="0"/>
          <w:color w:val="000000" w:themeColor="text1"/>
          <w:spacing w:val="-6"/>
          <w:kern w:val="21"/>
          <w:szCs w:val="21"/>
          <w14:textFill>
            <w14:solidFill>
              <w14:schemeClr w14:val="tx1"/>
            </w14:solidFill>
          </w14:textFill>
        </w:rPr>
        <w:t>=</w:t>
      </w:r>
      <w:r>
        <w:rPr>
          <w:rFonts w:hint="eastAsia" w:ascii="宋体" w:hAnsi="宋体" w:cs="宋体"/>
          <w:snapToGrid w:val="0"/>
          <w:color w:val="000000" w:themeColor="text1"/>
          <w:spacing w:val="-16"/>
          <w:kern w:val="21"/>
          <w:szCs w:val="21"/>
          <w14:textFill>
            <w14:solidFill>
              <w14:schemeClr w14:val="tx1"/>
            </w14:solidFill>
          </w14:textFill>
        </w:rPr>
        <w:fldChar w:fldCharType="begin"/>
      </w:r>
      <w:r>
        <w:rPr>
          <w:rFonts w:hint="eastAsia" w:ascii="宋体" w:hAnsi="宋体" w:cs="宋体"/>
          <w:snapToGrid w:val="0"/>
          <w:color w:val="000000" w:themeColor="text1"/>
          <w:spacing w:val="-16"/>
          <w:kern w:val="21"/>
          <w:szCs w:val="21"/>
          <w14:textFill>
            <w14:solidFill>
              <w14:schemeClr w14:val="tx1"/>
            </w14:solidFill>
          </w14:textFill>
        </w:rPr>
        <w:instrText xml:space="preserve"> = 6 \* GB3 \* MERGEFORMAT </w:instrText>
      </w:r>
      <w:r>
        <w:rPr>
          <w:rFonts w:hint="eastAsia" w:ascii="宋体" w:hAnsi="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rFonts w:hint="eastAsia" w:ascii="宋体" w:hAnsi="宋体" w:cs="宋体"/>
          <w:snapToGrid w:val="0"/>
          <w:color w:val="000000" w:themeColor="text1"/>
          <w:spacing w:val="-16"/>
          <w:kern w:val="21"/>
          <w:szCs w:val="21"/>
          <w14:textFill>
            <w14:solidFill>
              <w14:schemeClr w14:val="tx1"/>
            </w14:solidFill>
          </w14:textFill>
        </w:rPr>
        <w:fldChar w:fldCharType="end"/>
      </w:r>
      <w:r>
        <w:rPr>
          <w:rFonts w:hint="eastAsia" w:ascii="宋体" w:hAnsi="宋体" w:cs="宋体"/>
          <w:snapToGrid w:val="0"/>
          <w:color w:val="000000" w:themeColor="text1"/>
          <w:spacing w:val="-16"/>
          <w:kern w:val="21"/>
          <w:szCs w:val="21"/>
          <w14:textFill>
            <w14:solidFill>
              <w14:schemeClr w14:val="tx1"/>
            </w14:solidFill>
          </w14:textFill>
        </w:rPr>
        <w:t>-</w:t>
      </w:r>
      <w:r>
        <w:rPr>
          <w:rFonts w:hint="eastAsia" w:ascii="宋体" w:hAnsi="宋体" w:cs="宋体"/>
          <w:snapToGrid w:val="0"/>
          <w:color w:val="000000" w:themeColor="text1"/>
          <w:spacing w:val="-6"/>
          <w:kern w:val="21"/>
          <w:szCs w:val="21"/>
          <w14:textFill>
            <w14:solidFill>
              <w14:schemeClr w14:val="tx1"/>
            </w14:solidFill>
          </w14:textFill>
        </w:rPr>
        <w:fldChar w:fldCharType="begin"/>
      </w:r>
      <w:r>
        <w:rPr>
          <w:rFonts w:hint="eastAsia" w:ascii="宋体" w:hAnsi="宋体" w:cs="宋体"/>
          <w:snapToGrid w:val="0"/>
          <w:color w:val="000000" w:themeColor="text1"/>
          <w:spacing w:val="-6"/>
          <w:kern w:val="21"/>
          <w:szCs w:val="21"/>
          <w14:textFill>
            <w14:solidFill>
              <w14:schemeClr w14:val="tx1"/>
            </w14:solidFill>
          </w14:textFill>
        </w:rPr>
        <w:instrText xml:space="preserve"> = 1 \* GB3 \* MERGEFORMAT </w:instrText>
      </w:r>
      <w:r>
        <w:rPr>
          <w:rFonts w:hint="eastAsia"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hint="eastAsia" w:ascii="宋体" w:hAnsi="宋体" w:cs="宋体"/>
          <w:snapToGrid w:val="0"/>
          <w:color w:val="000000" w:themeColor="text1"/>
          <w:spacing w:val="-6"/>
          <w:kern w:val="21"/>
          <w:szCs w:val="21"/>
          <w14:textFill>
            <w14:solidFill>
              <w14:schemeClr w14:val="tx1"/>
            </w14:solidFill>
          </w14:textFill>
        </w:rPr>
        <w:fldChar w:fldCharType="end"/>
      </w:r>
    </w:p>
    <w:sectPr>
      <w:footerReference r:id="rId13" w:type="default"/>
      <w:footerReference r:id="rId14" w:type="even"/>
      <w:pgSz w:w="16838" w:h="11906" w:orient="landscape"/>
      <w:pgMar w:top="1418" w:right="1418" w:bottom="1418" w:left="1418" w:header="851" w:footer="992" w:gutter="0"/>
      <w:pgBorders>
        <w:top w:val="none" w:sz="0" w:space="0"/>
        <w:left w:val="none" w:sz="0" w:space="0"/>
        <w:bottom w:val="none" w:sz="0" w:space="0"/>
        <w:right w:val="none" w:sz="0" w:space="0"/>
      </w:pgBorders>
      <w:pgNumType w:fmt="numberInDash"/>
      <w:cols w:space="720" w:num="1"/>
      <w:docGrid w:type="lines" w:linePitch="34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1" w:fontKey="{B1A7EFCA-9B0A-4A9C-98AB-6DB22A50EF1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C00DD727-B266-438F-8C1C-D74BD7CD9E68}"/>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Geneva">
    <w:panose1 w:val="020B0503030404040204"/>
    <w:charset w:val="00"/>
    <w:family w:val="swiss"/>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40001" w:csb1="00000000"/>
  </w:font>
  <w:font w:name="Verdana, Arial, 宋体">
    <w:altName w:val="宋体"/>
    <w:panose1 w:val="00000000000000000000"/>
    <w:charset w:val="86"/>
    <w:family w:val="roma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五">
    <w:altName w:val="黑体"/>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embedRegular r:id="rId3" w:fontKey="{72587140-17E5-4002-9496-AF9203FC2256}"/>
  </w:font>
  <w:font w:name="华文楷体">
    <w:panose1 w:val="02010600040101010101"/>
    <w:charset w:val="86"/>
    <w:family w:val="auto"/>
    <w:pitch w:val="default"/>
    <w:sig w:usb0="00000287" w:usb1="080F0000" w:usb2="00000000" w:usb3="00000000" w:csb0="0004009F" w:csb1="DFD70000"/>
  </w:font>
  <w:font w:name="HiddenHorzOCl">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_GB2312">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4" w:fontKey="{C716BC4E-8724-44A2-B484-E817023DBA21}"/>
  </w:font>
  <w:font w:name="Wingdings 2">
    <w:panose1 w:val="05020102010507070707"/>
    <w:charset w:val="02"/>
    <w:family w:val="roman"/>
    <w:pitch w:val="default"/>
    <w:sig w:usb0="00000000" w:usb1="00000000" w:usb2="00000000" w:usb3="00000000" w:csb0="80000000" w:csb1="00000000"/>
    <w:embedRegular r:id="rId5" w:fontKey="{3DC0EDFE-D94E-444A-B702-3F7C97086005}"/>
  </w:font>
  <w:font w:name="Cambria Math">
    <w:panose1 w:val="02040503050406030204"/>
    <w:charset w:val="00"/>
    <w:family w:val="roman"/>
    <w:pitch w:val="default"/>
    <w:sig w:usb0="E00006FF" w:usb1="420024FF" w:usb2="02000000" w:usb3="00000000" w:csb0="2000019F" w:csb1="00000000"/>
    <w:embedRegular r:id="rId6" w:fontKey="{C3C2DA9E-280C-4723-8AA3-B5A37B5517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F56B4">
    <w:pPr>
      <w:pStyle w:val="55"/>
      <w:ind w:firstLine="420"/>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60AF2">
    <w:pPr>
      <w:pStyle w:val="55"/>
      <w:ind w:firstLine="420"/>
      <w:rPr>
        <w:rFonts w:hint="eastAsia"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54 -</w:t>
    </w:r>
    <w:r>
      <w:rPr>
        <w:rFonts w:ascii="宋体" w:hAnsi="宋体"/>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365BE">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BD6A0">
    <w:pPr>
      <w:pStyle w:val="55"/>
      <w:ind w:firstLine="420"/>
      <w:jc w:val="right"/>
      <w:rPr>
        <w:rFonts w:hint="eastAsia"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E550EA">
                          <w:pPr>
                            <w:pStyle w:val="55"/>
                            <w:ind w:firstLine="420"/>
                            <w:jc w:val="right"/>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53 -</w:t>
                          </w:r>
                          <w:r>
                            <w:rPr>
                              <w:rFonts w:ascii="宋体" w:hAnsi="宋体"/>
                              <w:sz w:val="21"/>
                              <w:szCs w:val="21"/>
                            </w:rP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Xyo3vXAQAAsgMAAA4AAAAAAAAAAQAgAAAA&#10;HgEAAGRycy9lMm9Eb2MueG1sUEsFBgAAAAAGAAYAWQEAAGcFAAAAAA==&#10;">
              <v:fill on="f" focussize="0,0"/>
              <v:stroke on="f"/>
              <v:imagedata o:title=""/>
              <o:lock v:ext="edit" aspectratio="f"/>
              <v:textbox inset="0mm,0mm,0mm,0mm" style="mso-fit-shape-to-text:t;">
                <w:txbxContent>
                  <w:p w14:paraId="45E550EA">
                    <w:pPr>
                      <w:pStyle w:val="55"/>
                      <w:ind w:firstLine="420"/>
                      <w:jc w:val="right"/>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53 -</w:t>
                    </w:r>
                    <w:r>
                      <w:rPr>
                        <w:rFonts w:ascii="宋体" w:hAnsi="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4C9EB">
    <w:pPr>
      <w:pStyle w:val="55"/>
      <w:ind w:firstLine="420"/>
      <w:rPr>
        <w:rFonts w:hint="eastAsia" w:ascii="宋体" w:hAnsi="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E2AC2E">
                          <w:pPr>
                            <w:pStyle w:val="55"/>
                            <w:ind w:firstLine="420"/>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54 -</w:t>
                          </w:r>
                          <w:r>
                            <w:rPr>
                              <w:rFonts w:ascii="宋体" w:hAnsi="宋体"/>
                              <w:sz w:val="21"/>
                              <w:szCs w:val="21"/>
                            </w:rP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&#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VQDUVNYBAACyAwAADgAAAAAAAAABACAAAAAe&#10;AQAAZHJzL2Uyb0RvYy54bWxQSwUGAAAAAAYABgBZAQAAZgUAAAAA&#10;">
              <v:fill on="f" focussize="0,0"/>
              <v:stroke on="f"/>
              <v:imagedata o:title=""/>
              <o:lock v:ext="edit" aspectratio="f"/>
              <v:textbox inset="0mm,0mm,0mm,0mm" style="mso-fit-shape-to-text:t;">
                <w:txbxContent>
                  <w:p w14:paraId="77E2AC2E">
                    <w:pPr>
                      <w:pStyle w:val="55"/>
                      <w:ind w:firstLine="420"/>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54 -</w:t>
                    </w:r>
                    <w:r>
                      <w:rPr>
                        <w:rFonts w:ascii="宋体" w:hAnsi="宋体"/>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7853D">
    <w:pPr>
      <w:pStyle w:val="5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20463F">
                          <w:pPr>
                            <w:pStyle w:val="55"/>
                            <w:ind w:firstLine="360"/>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0/qHRNYBAACyAwAADgAAAAAAAAABACAAAAAe&#10;AQAAZHJzL2Uyb0RvYy54bWxQSwUGAAAAAAYABgBZAQAAZgUAAAAA&#10;">
              <v:fill on="f" focussize="0,0"/>
              <v:stroke on="f"/>
              <v:imagedata o:title=""/>
              <o:lock v:ext="edit" aspectratio="f"/>
              <v:textbox inset="0mm,0mm,0mm,0mm" style="mso-fit-shape-to-text:t;">
                <w:txbxContent>
                  <w:p w14:paraId="3020463F">
                    <w:pPr>
                      <w:pStyle w:val="55"/>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E3071">
    <w:pPr>
      <w:pStyle w:val="55"/>
      <w:ind w:firstLine="420"/>
      <w:rPr>
        <w:rFonts w:hint="eastAsia"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8DC86A">
                          <w:pPr>
                            <w:pStyle w:val="55"/>
                            <w:ind w:firstLine="420"/>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54 -</w:t>
                          </w:r>
                          <w:r>
                            <w:rPr>
                              <w:rFonts w:ascii="宋体" w:hAnsi="宋体"/>
                              <w:sz w:val="21"/>
                              <w:szCs w:val="21"/>
                            </w:rPr>
                            <w:fldChar w:fldCharType="end"/>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GCW/XXXAQAAsgMAAA4AAAAAAAAAAQAgAAAA&#10;HgEAAGRycy9lMm9Eb2MueG1sUEsFBgAAAAAGAAYAWQEAAGcFAAAAAA==&#10;">
              <v:fill on="f" focussize="0,0"/>
              <v:stroke on="f"/>
              <v:imagedata o:title=""/>
              <o:lock v:ext="edit" aspectratio="f"/>
              <v:textbox inset="0mm,0mm,0mm,0mm" style="mso-fit-shape-to-text:t;">
                <w:txbxContent>
                  <w:p w14:paraId="158DC86A">
                    <w:pPr>
                      <w:pStyle w:val="55"/>
                      <w:ind w:firstLine="420"/>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54 -</w:t>
                    </w:r>
                    <w:r>
                      <w:rPr>
                        <w:rFonts w:ascii="宋体" w:hAnsi="宋体"/>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CEF1F">
    <w:pPr>
      <w:pStyle w:val="33"/>
      <w:pBdr>
        <w:bottom w:val="none" w:color="auto" w:sz="0" w:space="0"/>
      </w:pBdr>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72B44">
    <w:pPr>
      <w:pStyle w:val="33"/>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322F">
    <w:pPr>
      <w:pStyle w:val="33"/>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276585"/>
    <w:multiLevelType w:val="singleLevel"/>
    <w:tmpl w:val="AA276585"/>
    <w:lvl w:ilvl="0" w:tentative="0">
      <w:start w:val="1"/>
      <w:numFmt w:val="lowerLetter"/>
      <w:suff w:val="space"/>
      <w:lvlText w:val="%1."/>
      <w:lvlJc w:val="left"/>
      <w:pPr>
        <w:ind w:left="600" w:firstLine="0"/>
      </w:pPr>
    </w:lvl>
  </w:abstractNum>
  <w:abstractNum w:abstractNumId="1">
    <w:nsid w:val="DEA749BF"/>
    <w:multiLevelType w:val="singleLevel"/>
    <w:tmpl w:val="DEA749BF"/>
    <w:lvl w:ilvl="0" w:tentative="0">
      <w:start w:val="1"/>
      <w:numFmt w:val="decimal"/>
      <w:suff w:val="nothing"/>
      <w:lvlText w:val="（%1）"/>
      <w:lvlJc w:val="left"/>
    </w:lvl>
  </w:abstractNum>
  <w:abstractNum w:abstractNumId="2">
    <w:nsid w:val="F78B205D"/>
    <w:multiLevelType w:val="singleLevel"/>
    <w:tmpl w:val="F78B205D"/>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3">
    <w:nsid w:val="FA0C53E6"/>
    <w:multiLevelType w:val="singleLevel"/>
    <w:tmpl w:val="FA0C53E6"/>
    <w:lvl w:ilvl="0" w:tentative="0">
      <w:start w:val="1"/>
      <w:numFmt w:val="lowerLetter"/>
      <w:suff w:val="nothing"/>
      <w:lvlText w:val="%1、"/>
      <w:lvlJc w:val="left"/>
      <w:pPr>
        <w:ind w:left="420" w:firstLine="0"/>
      </w:pPr>
    </w:lvl>
  </w:abstractNum>
  <w:abstractNum w:abstractNumId="4">
    <w:nsid w:val="0000000F"/>
    <w:multiLevelType w:val="multilevel"/>
    <w:tmpl w:val="0000000F"/>
    <w:lvl w:ilvl="0" w:tentative="0">
      <w:start w:val="1"/>
      <w:numFmt w:val="decimal"/>
      <w:pStyle w:val="688"/>
      <w:lvlText w:val="表%1."/>
      <w:lvlJc w:val="left"/>
      <w:pPr>
        <w:tabs>
          <w:tab w:val="left" w:pos="420"/>
        </w:tabs>
        <w:ind w:left="420" w:hanging="420"/>
      </w:pPr>
      <w:rPr>
        <w:rFonts w:hint="eastAsia" w:eastAsia="宋体"/>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2"/>
    <w:multiLevelType w:val="multilevel"/>
    <w:tmpl w:val="00000012"/>
    <w:lvl w:ilvl="0" w:tentative="0">
      <w:start w:val="1"/>
      <w:numFmt w:val="chineseCountingThousand"/>
      <w:pStyle w:val="657"/>
      <w:lvlText w:val="第%1节"/>
      <w:lvlJc w:val="left"/>
      <w:pPr>
        <w:ind w:left="420" w:hanging="420"/>
      </w:pPr>
      <w:rPr>
        <w:rFonts w:hint="eastAsia"/>
        <w:ker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C"/>
    <w:multiLevelType w:val="multilevel"/>
    <w:tmpl w:val="0000001C"/>
    <w:lvl w:ilvl="0" w:tentative="0">
      <w:start w:val="1"/>
      <w:numFmt w:val="decimal"/>
      <w:pStyle w:val="646"/>
      <w:suff w:val="space"/>
      <w:lvlText w:val="第%1章"/>
      <w:lvlJc w:val="left"/>
      <w:pPr>
        <w:ind w:left="567" w:hanging="367"/>
      </w:pPr>
      <w:rPr>
        <w:rFonts w:hint="eastAsia"/>
      </w:rPr>
    </w:lvl>
    <w:lvl w:ilvl="1" w:tentative="0">
      <w:start w:val="1"/>
      <w:numFmt w:val="decimal"/>
      <w:pStyle w:val="691"/>
      <w:suff w:val="space"/>
      <w:lvlText w:val="%2."/>
      <w:lvlJc w:val="left"/>
      <w:pPr>
        <w:ind w:left="767" w:hanging="567"/>
      </w:pPr>
      <w:rPr>
        <w:rFonts w:hint="eastAsia"/>
      </w:rPr>
    </w:lvl>
    <w:lvl w:ilvl="2" w:tentative="0">
      <w:start w:val="1"/>
      <w:numFmt w:val="decimal"/>
      <w:pStyle w:val="680"/>
      <w:suff w:val="space"/>
      <w:lvlText w:val="%2.%3"/>
      <w:lvlJc w:val="left"/>
      <w:pPr>
        <w:ind w:left="909" w:hanging="709"/>
      </w:pPr>
      <w:rPr>
        <w:rFonts w:hint="eastAsia"/>
      </w:rPr>
    </w:lvl>
    <w:lvl w:ilvl="3" w:tentative="0">
      <w:start w:val="1"/>
      <w:numFmt w:val="decimal"/>
      <w:pStyle w:val="671"/>
      <w:suff w:val="space"/>
      <w:lvlText w:val="%2.%3.%4"/>
      <w:lvlJc w:val="left"/>
      <w:pPr>
        <w:ind w:left="1051" w:hanging="851"/>
      </w:pPr>
      <w:rPr>
        <w:rFonts w:hint="eastAsia"/>
      </w:rPr>
    </w:lvl>
    <w:lvl w:ilvl="4" w:tentative="0">
      <w:start w:val="1"/>
      <w:numFmt w:val="decimal"/>
      <w:pStyle w:val="664"/>
      <w:isLgl/>
      <w:suff w:val="space"/>
      <w:lvlText w:val="（%5）"/>
      <w:lvlJc w:val="left"/>
      <w:pPr>
        <w:ind w:left="0" w:firstLine="567"/>
      </w:pPr>
      <w:rPr>
        <w:rFonts w:hint="eastAsia"/>
      </w:rPr>
    </w:lvl>
    <w:lvl w:ilvl="5" w:tentative="0">
      <w:start w:val="1"/>
      <w:numFmt w:val="decimal"/>
      <w:lvlRestart w:val="1"/>
      <w:pStyle w:val="672"/>
      <w:suff w:val="space"/>
      <w:lvlText w:val="表%1.%6"/>
      <w:lvlJc w:val="left"/>
      <w:pPr>
        <w:ind w:left="1334" w:hanging="1134"/>
      </w:pPr>
      <w:rPr>
        <w:rFonts w:hint="eastAsia"/>
      </w:rPr>
    </w:lvl>
    <w:lvl w:ilvl="6" w:tentative="0">
      <w:start w:val="1"/>
      <w:numFmt w:val="decimal"/>
      <w:lvlRestart w:val="1"/>
      <w:pStyle w:val="695"/>
      <w:suff w:val="space"/>
      <w:lvlText w:val="图%1.%7"/>
      <w:lvlJc w:val="left"/>
      <w:pPr>
        <w:ind w:left="1476" w:hanging="1276"/>
      </w:pPr>
      <w:rPr>
        <w:rFonts w:hint="eastAsia"/>
      </w:rPr>
    </w:lvl>
    <w:lvl w:ilvl="7" w:tentative="0">
      <w:start w:val="1"/>
      <w:numFmt w:val="decimal"/>
      <w:lvlText w:val="%1"/>
      <w:lvlJc w:val="left"/>
      <w:pPr>
        <w:tabs>
          <w:tab w:val="left" w:pos="1618"/>
        </w:tabs>
        <w:ind w:left="1618" w:hanging="1418"/>
      </w:pPr>
      <w:rPr>
        <w:rFonts w:hint="eastAsia"/>
      </w:rPr>
    </w:lvl>
    <w:lvl w:ilvl="8" w:tentative="0">
      <w:start w:val="1"/>
      <w:numFmt w:val="decimal"/>
      <w:lvlText w:val="%9%1"/>
      <w:lvlJc w:val="left"/>
      <w:pPr>
        <w:tabs>
          <w:tab w:val="left" w:pos="1759"/>
        </w:tabs>
        <w:ind w:left="1759" w:hanging="1559"/>
      </w:pPr>
      <w:rPr>
        <w:rFonts w:hint="eastAsia"/>
      </w:rPr>
    </w:lvl>
  </w:abstractNum>
  <w:abstractNum w:abstractNumId="7">
    <w:nsid w:val="00000026"/>
    <w:multiLevelType w:val="multilevel"/>
    <w:tmpl w:val="00000026"/>
    <w:lvl w:ilvl="0" w:tentative="0">
      <w:start w:val="1"/>
      <w:numFmt w:val="none"/>
      <w:pStyle w:val="648"/>
      <w:lvlText w:val=""/>
      <w:lvlJc w:val="left"/>
      <w:pPr>
        <w:tabs>
          <w:tab w:val="left" w:pos="567"/>
        </w:tabs>
        <w:ind w:left="567" w:hanging="367"/>
      </w:pPr>
      <w:rPr>
        <w:rFonts w:hint="eastAsia"/>
      </w:rPr>
    </w:lvl>
    <w:lvl w:ilvl="1" w:tentative="0">
      <w:start w:val="1"/>
      <w:numFmt w:val="decimal"/>
      <w:lvlText w:val="%2."/>
      <w:lvlJc w:val="left"/>
      <w:pPr>
        <w:tabs>
          <w:tab w:val="left" w:pos="767"/>
        </w:tabs>
        <w:ind w:left="767" w:hanging="567"/>
      </w:pPr>
      <w:rPr>
        <w:rFonts w:hint="eastAsia" w:ascii="黑体" w:eastAsia="黑体"/>
      </w:rPr>
    </w:lvl>
    <w:lvl w:ilvl="2" w:tentative="0">
      <w:start w:val="1"/>
      <w:numFmt w:val="decimal"/>
      <w:suff w:val="space"/>
      <w:lvlText w:val="%2.%3."/>
      <w:lvlJc w:val="left"/>
      <w:pPr>
        <w:ind w:left="709" w:hanging="709"/>
      </w:pPr>
      <w:rPr>
        <w:rFonts w:hint="eastAsia" w:ascii="黑体" w:hAnsi="Times New Roman" w:eastAsia="黑体"/>
      </w:rPr>
    </w:lvl>
    <w:lvl w:ilvl="3" w:tentative="0">
      <w:start w:val="1"/>
      <w:numFmt w:val="decimal"/>
      <w:suff w:val="space"/>
      <w:lvlText w:val="%2.%3.%4."/>
      <w:lvlJc w:val="left"/>
      <w:pPr>
        <w:ind w:left="851" w:hanging="851"/>
      </w:pPr>
      <w:rPr>
        <w:rFonts w:hint="eastAsia" w:ascii="黑体" w:eastAsia="黑体"/>
      </w:rPr>
    </w:lvl>
    <w:lvl w:ilvl="4" w:tentative="0">
      <w:start w:val="1"/>
      <w:numFmt w:val="decimal"/>
      <w:lvlText w:val="（%5）"/>
      <w:lvlJc w:val="left"/>
      <w:pPr>
        <w:tabs>
          <w:tab w:val="left" w:pos="1140"/>
        </w:tabs>
        <w:ind w:left="1140" w:hanging="720"/>
      </w:pPr>
      <w:rPr>
        <w:rFonts w:hint="default"/>
        <w:sz w:val="24"/>
        <w:szCs w:val="24"/>
      </w:rPr>
    </w:lvl>
    <w:lvl w:ilvl="5" w:tentative="0">
      <w:start w:val="1"/>
      <w:numFmt w:val="decimal"/>
      <w:lvlRestart w:val="3"/>
      <w:pStyle w:val="694"/>
      <w:suff w:val="space"/>
      <w:lvlText w:val="表%2-%6%1"/>
      <w:lvlJc w:val="left"/>
      <w:pPr>
        <w:ind w:left="1334" w:hanging="1134"/>
      </w:pPr>
      <w:rPr>
        <w:rFonts w:hint="eastAsia"/>
      </w:rPr>
    </w:lvl>
    <w:lvl w:ilvl="6" w:tentative="0">
      <w:start w:val="1"/>
      <w:numFmt w:val="decimal"/>
      <w:pStyle w:val="686"/>
      <w:suff w:val="space"/>
      <w:lvlText w:val="图%2-%7"/>
      <w:lvlJc w:val="left"/>
      <w:pPr>
        <w:ind w:left="1476" w:hanging="1276"/>
      </w:pPr>
      <w:rPr>
        <w:rFonts w:hint="eastAsia"/>
      </w:rPr>
    </w:lvl>
    <w:lvl w:ilvl="7" w:tentative="0">
      <w:start w:val="1"/>
      <w:numFmt w:val="decimal"/>
      <w:lvlText w:val="%1"/>
      <w:lvlJc w:val="left"/>
      <w:pPr>
        <w:tabs>
          <w:tab w:val="left" w:pos="1618"/>
        </w:tabs>
        <w:ind w:left="1618" w:hanging="1418"/>
      </w:pPr>
      <w:rPr>
        <w:rFonts w:hint="eastAsia"/>
      </w:rPr>
    </w:lvl>
    <w:lvl w:ilvl="8" w:tentative="0">
      <w:start w:val="1"/>
      <w:numFmt w:val="decimal"/>
      <w:lvlText w:val="%9%1"/>
      <w:lvlJc w:val="left"/>
      <w:pPr>
        <w:tabs>
          <w:tab w:val="left" w:pos="1759"/>
        </w:tabs>
        <w:ind w:left="1759" w:hanging="1559"/>
      </w:pPr>
      <w:rPr>
        <w:rFonts w:hint="eastAsia"/>
      </w:rPr>
    </w:lvl>
  </w:abstractNum>
  <w:abstractNum w:abstractNumId="8">
    <w:nsid w:val="0000002E"/>
    <w:multiLevelType w:val="multilevel"/>
    <w:tmpl w:val="0000002E"/>
    <w:lvl w:ilvl="0" w:tentative="0">
      <w:start w:val="1"/>
      <w:numFmt w:val="decimal"/>
      <w:pStyle w:val="65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32"/>
    <w:multiLevelType w:val="multilevel"/>
    <w:tmpl w:val="00000032"/>
    <w:lvl w:ilvl="0" w:tentative="0">
      <w:start w:val="1"/>
      <w:numFmt w:val="chineseCountingThousand"/>
      <w:pStyle w:val="684"/>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36"/>
    <w:multiLevelType w:val="multilevel"/>
    <w:tmpl w:val="00000036"/>
    <w:lvl w:ilvl="0" w:tentative="0">
      <w:start w:val="1"/>
      <w:numFmt w:val="chineseCountingThousand"/>
      <w:pStyle w:val="652"/>
      <w:lvlText w:val="第%1章"/>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42"/>
    <w:multiLevelType w:val="multilevel"/>
    <w:tmpl w:val="00000042"/>
    <w:lvl w:ilvl="0" w:tentative="0">
      <w:start w:val="1"/>
      <w:numFmt w:val="chineseCountingThousand"/>
      <w:pStyle w:val="674"/>
      <w:lvlText w:val="%1、"/>
      <w:lvlJc w:val="left"/>
      <w:pPr>
        <w:ind w:left="0" w:firstLine="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00000051"/>
    <w:multiLevelType w:val="multilevel"/>
    <w:tmpl w:val="00000051"/>
    <w:lvl w:ilvl="0" w:tentative="0">
      <w:start w:val="1"/>
      <w:numFmt w:val="decimal"/>
      <w:pStyle w:val="659"/>
      <w:lvlText w:val="1.%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81127C6"/>
    <w:multiLevelType w:val="multilevel"/>
    <w:tmpl w:val="081127C6"/>
    <w:lvl w:ilvl="0" w:tentative="0">
      <w:start w:val="1"/>
      <w:numFmt w:val="japaneseCounting"/>
      <w:lvlText w:val="%1、"/>
      <w:lvlJc w:val="left"/>
      <w:pPr>
        <w:ind w:left="660" w:hanging="660"/>
      </w:pPr>
      <w:rPr>
        <w:rFonts w:hint="default" w:ascii="宋体" w:hAnsi="宋体" w:cs="楷体"/>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17D19A5"/>
    <w:multiLevelType w:val="multilevel"/>
    <w:tmpl w:val="117D19A5"/>
    <w:lvl w:ilvl="0" w:tentative="0">
      <w:start w:val="1"/>
      <w:numFmt w:val="decimal"/>
      <w:lvlText w:val="表%1"/>
      <w:lvlJc w:val="left"/>
      <w:pPr>
        <w:ind w:left="5947"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AD577F1"/>
    <w:multiLevelType w:val="multilevel"/>
    <w:tmpl w:val="2AD577F1"/>
    <w:lvl w:ilvl="0" w:tentative="0">
      <w:start w:val="2"/>
      <w:numFmt w:val="decimal"/>
      <w:isLgl/>
      <w:lvlText w:val="%1"/>
      <w:lvlJc w:val="left"/>
      <w:pPr>
        <w:tabs>
          <w:tab w:val="left" w:pos="0"/>
        </w:tabs>
        <w:ind w:left="480" w:hanging="480"/>
      </w:pPr>
      <w:rPr>
        <w:rFonts w:hint="default"/>
      </w:rPr>
    </w:lvl>
    <w:lvl w:ilvl="1" w:tentative="0">
      <w:start w:val="1"/>
      <w:numFmt w:val="decimal"/>
      <w:lvlText w:val="%1.%2"/>
      <w:lvlJc w:val="left"/>
      <w:pPr>
        <w:tabs>
          <w:tab w:val="left" w:pos="0"/>
        </w:tabs>
        <w:ind w:left="480" w:hanging="480"/>
      </w:pPr>
      <w:rPr>
        <w:rFonts w:hint="default"/>
      </w:rPr>
    </w:lvl>
    <w:lvl w:ilvl="2" w:tentative="0">
      <w:start w:val="5"/>
      <w:numFmt w:val="decimal"/>
      <w:suff w:val="space"/>
      <w:lvlText w:val="%1.%2.%3"/>
      <w:lvlJc w:val="left"/>
      <w:pPr>
        <w:ind w:left="720" w:hanging="720"/>
      </w:pPr>
      <w:rPr>
        <w:rFonts w:hint="default"/>
        <w:sz w:val="24"/>
        <w:szCs w:val="24"/>
      </w:rPr>
    </w:lvl>
    <w:lvl w:ilvl="3" w:tentative="0">
      <w:start w:val="1"/>
      <w:numFmt w:val="decimal"/>
      <w:pStyle w:val="446"/>
      <w:lvlText w:val="%1.%2.%3.%4"/>
      <w:lvlJc w:val="left"/>
      <w:pPr>
        <w:tabs>
          <w:tab w:val="left" w:pos="0"/>
        </w:tabs>
        <w:ind w:left="1080" w:hanging="1080"/>
      </w:pPr>
      <w:rPr>
        <w:rFonts w:hint="default"/>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440" w:hanging="144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800" w:hanging="1800"/>
      </w:pPr>
      <w:rPr>
        <w:rFonts w:hint="default"/>
      </w:rPr>
    </w:lvl>
    <w:lvl w:ilvl="8" w:tentative="0">
      <w:start w:val="1"/>
      <w:numFmt w:val="decimal"/>
      <w:lvlText w:val="%1.%2.%3.%4.%5.%6.%7.%8.%9"/>
      <w:lvlJc w:val="left"/>
      <w:pPr>
        <w:tabs>
          <w:tab w:val="left" w:pos="0"/>
        </w:tabs>
        <w:ind w:left="2160" w:hanging="2160"/>
      </w:pPr>
      <w:rPr>
        <w:rFonts w:hint="default"/>
      </w:rPr>
    </w:lvl>
  </w:abstractNum>
  <w:abstractNum w:abstractNumId="16">
    <w:nsid w:val="4FE53AE3"/>
    <w:multiLevelType w:val="multilevel"/>
    <w:tmpl w:val="4FE53AE3"/>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6" w:hanging="576"/>
      </w:pPr>
      <w:rPr>
        <w:b/>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pStyle w:val="5"/>
      <w:lvlText w:val="%1.%2.%3"/>
      <w:lvlJc w:val="left"/>
      <w:pPr>
        <w:ind w:left="720" w:hanging="720"/>
      </w:pPr>
      <w:rPr>
        <w:rFonts w:hint="default"/>
        <w:sz w:val="28"/>
        <w:szCs w:val="28"/>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2" w:hanging="1152"/>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4" w:hanging="1584"/>
      </w:pPr>
      <w:rPr>
        <w:rFonts w:hint="default"/>
      </w:rPr>
    </w:lvl>
  </w:abstractNum>
  <w:num w:numId="1">
    <w:abstractNumId w:val="16"/>
  </w:num>
  <w:num w:numId="2">
    <w:abstractNumId w:val="2"/>
  </w:num>
  <w:num w:numId="3">
    <w:abstractNumId w:val="15"/>
  </w:num>
  <w:num w:numId="4">
    <w:abstractNumId w:val="6"/>
  </w:num>
  <w:num w:numId="5">
    <w:abstractNumId w:val="7"/>
  </w:num>
  <w:num w:numId="6">
    <w:abstractNumId w:val="8"/>
  </w:num>
  <w:num w:numId="7">
    <w:abstractNumId w:val="10"/>
  </w:num>
  <w:num w:numId="8">
    <w:abstractNumId w:val="5"/>
  </w:num>
  <w:num w:numId="9">
    <w:abstractNumId w:val="12"/>
  </w:num>
  <w:num w:numId="10">
    <w:abstractNumId w:val="11"/>
  </w:num>
  <w:num w:numId="11">
    <w:abstractNumId w:val="9"/>
  </w:num>
  <w:num w:numId="12">
    <w:abstractNumId w:val="4"/>
  </w:num>
  <w:num w:numId="13">
    <w:abstractNumId w:val="13"/>
  </w:num>
  <w:num w:numId="14">
    <w:abstractNumId w:val="14"/>
  </w:num>
  <w:num w:numId="15">
    <w:abstractNumId w:val="1"/>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embedTrueTypeFonts/>
  <w:saveSubsetFonts/>
  <w:bordersDoNotSurroundHeader w:val="0"/>
  <w:bordersDoNotSurroundFooter w:val="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7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1E7"/>
    <w:rsid w:val="00000225"/>
    <w:rsid w:val="00000492"/>
    <w:rsid w:val="000004BC"/>
    <w:rsid w:val="000006D9"/>
    <w:rsid w:val="00000752"/>
    <w:rsid w:val="00000834"/>
    <w:rsid w:val="00000C64"/>
    <w:rsid w:val="00000D9E"/>
    <w:rsid w:val="00000DC5"/>
    <w:rsid w:val="00001132"/>
    <w:rsid w:val="000012C8"/>
    <w:rsid w:val="0000134C"/>
    <w:rsid w:val="000013F7"/>
    <w:rsid w:val="00001C0A"/>
    <w:rsid w:val="00001D02"/>
    <w:rsid w:val="00001DE4"/>
    <w:rsid w:val="0000221F"/>
    <w:rsid w:val="000024E2"/>
    <w:rsid w:val="00002765"/>
    <w:rsid w:val="00002843"/>
    <w:rsid w:val="00002AAC"/>
    <w:rsid w:val="00002DFE"/>
    <w:rsid w:val="00002E5B"/>
    <w:rsid w:val="00002EED"/>
    <w:rsid w:val="0000339A"/>
    <w:rsid w:val="000033F6"/>
    <w:rsid w:val="00003448"/>
    <w:rsid w:val="000034C2"/>
    <w:rsid w:val="000034CA"/>
    <w:rsid w:val="000036E1"/>
    <w:rsid w:val="00003779"/>
    <w:rsid w:val="00003ACE"/>
    <w:rsid w:val="00003BFC"/>
    <w:rsid w:val="00003D4A"/>
    <w:rsid w:val="00003E3F"/>
    <w:rsid w:val="00003E70"/>
    <w:rsid w:val="00003F01"/>
    <w:rsid w:val="00003F52"/>
    <w:rsid w:val="000040FF"/>
    <w:rsid w:val="0000475A"/>
    <w:rsid w:val="00004938"/>
    <w:rsid w:val="00004A29"/>
    <w:rsid w:val="00004A35"/>
    <w:rsid w:val="00004C80"/>
    <w:rsid w:val="00004E14"/>
    <w:rsid w:val="00004FD2"/>
    <w:rsid w:val="00005025"/>
    <w:rsid w:val="000050EE"/>
    <w:rsid w:val="00005221"/>
    <w:rsid w:val="00005631"/>
    <w:rsid w:val="0000572B"/>
    <w:rsid w:val="00005C95"/>
    <w:rsid w:val="00005DB3"/>
    <w:rsid w:val="00005DFF"/>
    <w:rsid w:val="00005FD9"/>
    <w:rsid w:val="000060D8"/>
    <w:rsid w:val="000060F6"/>
    <w:rsid w:val="00006100"/>
    <w:rsid w:val="00006324"/>
    <w:rsid w:val="000063C9"/>
    <w:rsid w:val="0000665A"/>
    <w:rsid w:val="00006694"/>
    <w:rsid w:val="00006914"/>
    <w:rsid w:val="0000692F"/>
    <w:rsid w:val="00006A39"/>
    <w:rsid w:val="00006C9D"/>
    <w:rsid w:val="00006D30"/>
    <w:rsid w:val="00006D36"/>
    <w:rsid w:val="00006D85"/>
    <w:rsid w:val="00006FA5"/>
    <w:rsid w:val="00006FFC"/>
    <w:rsid w:val="00007056"/>
    <w:rsid w:val="00007114"/>
    <w:rsid w:val="0000717E"/>
    <w:rsid w:val="00007260"/>
    <w:rsid w:val="000073F6"/>
    <w:rsid w:val="0000740D"/>
    <w:rsid w:val="00007482"/>
    <w:rsid w:val="00007576"/>
    <w:rsid w:val="00007891"/>
    <w:rsid w:val="00007A87"/>
    <w:rsid w:val="00007E2E"/>
    <w:rsid w:val="00007E92"/>
    <w:rsid w:val="00007F96"/>
    <w:rsid w:val="0001024A"/>
    <w:rsid w:val="00010292"/>
    <w:rsid w:val="000102F8"/>
    <w:rsid w:val="000103EA"/>
    <w:rsid w:val="00010577"/>
    <w:rsid w:val="000105B7"/>
    <w:rsid w:val="00010626"/>
    <w:rsid w:val="00010913"/>
    <w:rsid w:val="000109B0"/>
    <w:rsid w:val="000109E5"/>
    <w:rsid w:val="00010AA5"/>
    <w:rsid w:val="00010D08"/>
    <w:rsid w:val="00010D46"/>
    <w:rsid w:val="00010EA1"/>
    <w:rsid w:val="00010EC8"/>
    <w:rsid w:val="00010F2F"/>
    <w:rsid w:val="000111B8"/>
    <w:rsid w:val="00011246"/>
    <w:rsid w:val="000113DA"/>
    <w:rsid w:val="000114EB"/>
    <w:rsid w:val="00011549"/>
    <w:rsid w:val="000115CE"/>
    <w:rsid w:val="000119CF"/>
    <w:rsid w:val="00011BD6"/>
    <w:rsid w:val="00011D3A"/>
    <w:rsid w:val="00012075"/>
    <w:rsid w:val="00012271"/>
    <w:rsid w:val="000126AA"/>
    <w:rsid w:val="0001280E"/>
    <w:rsid w:val="0001287F"/>
    <w:rsid w:val="00012993"/>
    <w:rsid w:val="00012B42"/>
    <w:rsid w:val="00012CD2"/>
    <w:rsid w:val="00012D07"/>
    <w:rsid w:val="00013092"/>
    <w:rsid w:val="0001324E"/>
    <w:rsid w:val="0001345A"/>
    <w:rsid w:val="00013B32"/>
    <w:rsid w:val="00013CD1"/>
    <w:rsid w:val="00013D99"/>
    <w:rsid w:val="00013E1D"/>
    <w:rsid w:val="00013EF8"/>
    <w:rsid w:val="00013F37"/>
    <w:rsid w:val="00014000"/>
    <w:rsid w:val="0001419E"/>
    <w:rsid w:val="000145CE"/>
    <w:rsid w:val="000146E2"/>
    <w:rsid w:val="00014725"/>
    <w:rsid w:val="00014748"/>
    <w:rsid w:val="000149BD"/>
    <w:rsid w:val="00014BB5"/>
    <w:rsid w:val="00014DE6"/>
    <w:rsid w:val="00015130"/>
    <w:rsid w:val="0001528F"/>
    <w:rsid w:val="00015407"/>
    <w:rsid w:val="00015449"/>
    <w:rsid w:val="00015561"/>
    <w:rsid w:val="0001582F"/>
    <w:rsid w:val="00015A58"/>
    <w:rsid w:val="00015AC0"/>
    <w:rsid w:val="00016082"/>
    <w:rsid w:val="0001636E"/>
    <w:rsid w:val="00016381"/>
    <w:rsid w:val="0001652B"/>
    <w:rsid w:val="0001685A"/>
    <w:rsid w:val="00016B4C"/>
    <w:rsid w:val="00016DBA"/>
    <w:rsid w:val="00017076"/>
    <w:rsid w:val="0001726A"/>
    <w:rsid w:val="000173B9"/>
    <w:rsid w:val="00017464"/>
    <w:rsid w:val="0001747A"/>
    <w:rsid w:val="0001747F"/>
    <w:rsid w:val="000176C4"/>
    <w:rsid w:val="0001772D"/>
    <w:rsid w:val="00017759"/>
    <w:rsid w:val="00017B71"/>
    <w:rsid w:val="00017E9E"/>
    <w:rsid w:val="00017F0C"/>
    <w:rsid w:val="0002014E"/>
    <w:rsid w:val="000201DD"/>
    <w:rsid w:val="000202CF"/>
    <w:rsid w:val="000203D7"/>
    <w:rsid w:val="00020411"/>
    <w:rsid w:val="00020455"/>
    <w:rsid w:val="00020858"/>
    <w:rsid w:val="00020903"/>
    <w:rsid w:val="000209D2"/>
    <w:rsid w:val="00020D64"/>
    <w:rsid w:val="00020F65"/>
    <w:rsid w:val="00020FF8"/>
    <w:rsid w:val="00021006"/>
    <w:rsid w:val="0002102F"/>
    <w:rsid w:val="00021074"/>
    <w:rsid w:val="00021075"/>
    <w:rsid w:val="000210B1"/>
    <w:rsid w:val="000211CE"/>
    <w:rsid w:val="0002124C"/>
    <w:rsid w:val="00021268"/>
    <w:rsid w:val="00021306"/>
    <w:rsid w:val="0002174E"/>
    <w:rsid w:val="000217AB"/>
    <w:rsid w:val="000218CF"/>
    <w:rsid w:val="00021951"/>
    <w:rsid w:val="000219DB"/>
    <w:rsid w:val="00021E3A"/>
    <w:rsid w:val="00021F60"/>
    <w:rsid w:val="00022165"/>
    <w:rsid w:val="0002218A"/>
    <w:rsid w:val="00022345"/>
    <w:rsid w:val="000225CE"/>
    <w:rsid w:val="00022A32"/>
    <w:rsid w:val="00022EC1"/>
    <w:rsid w:val="00023140"/>
    <w:rsid w:val="000232A8"/>
    <w:rsid w:val="00023B01"/>
    <w:rsid w:val="00023B5C"/>
    <w:rsid w:val="00023BB8"/>
    <w:rsid w:val="00023C08"/>
    <w:rsid w:val="00023C91"/>
    <w:rsid w:val="00023DF9"/>
    <w:rsid w:val="000243B8"/>
    <w:rsid w:val="0002447D"/>
    <w:rsid w:val="00024684"/>
    <w:rsid w:val="000246E7"/>
    <w:rsid w:val="00024AFB"/>
    <w:rsid w:val="00024D06"/>
    <w:rsid w:val="00024DDA"/>
    <w:rsid w:val="00025273"/>
    <w:rsid w:val="000252F7"/>
    <w:rsid w:val="00025390"/>
    <w:rsid w:val="000253CB"/>
    <w:rsid w:val="00025666"/>
    <w:rsid w:val="0002578A"/>
    <w:rsid w:val="00025B28"/>
    <w:rsid w:val="00025EC0"/>
    <w:rsid w:val="00025ED5"/>
    <w:rsid w:val="0002607A"/>
    <w:rsid w:val="0002610F"/>
    <w:rsid w:val="0002612B"/>
    <w:rsid w:val="0002619B"/>
    <w:rsid w:val="0002658F"/>
    <w:rsid w:val="00026821"/>
    <w:rsid w:val="00026C3C"/>
    <w:rsid w:val="00026F21"/>
    <w:rsid w:val="00026F7B"/>
    <w:rsid w:val="00026FFE"/>
    <w:rsid w:val="00027005"/>
    <w:rsid w:val="0002714C"/>
    <w:rsid w:val="0002725F"/>
    <w:rsid w:val="00027278"/>
    <w:rsid w:val="000274A0"/>
    <w:rsid w:val="000274F1"/>
    <w:rsid w:val="0002755A"/>
    <w:rsid w:val="00027593"/>
    <w:rsid w:val="00027998"/>
    <w:rsid w:val="00027C4B"/>
    <w:rsid w:val="00027FF0"/>
    <w:rsid w:val="00030015"/>
    <w:rsid w:val="000304BC"/>
    <w:rsid w:val="000305ED"/>
    <w:rsid w:val="0003079B"/>
    <w:rsid w:val="00030B4C"/>
    <w:rsid w:val="00030BDC"/>
    <w:rsid w:val="00030F8F"/>
    <w:rsid w:val="00031044"/>
    <w:rsid w:val="00031238"/>
    <w:rsid w:val="00031384"/>
    <w:rsid w:val="0003156D"/>
    <w:rsid w:val="000317B0"/>
    <w:rsid w:val="000317DB"/>
    <w:rsid w:val="000319DF"/>
    <w:rsid w:val="00031A6B"/>
    <w:rsid w:val="00031C3A"/>
    <w:rsid w:val="00031C63"/>
    <w:rsid w:val="00031E17"/>
    <w:rsid w:val="0003200E"/>
    <w:rsid w:val="00032421"/>
    <w:rsid w:val="0003296F"/>
    <w:rsid w:val="00032AA9"/>
    <w:rsid w:val="00032AC6"/>
    <w:rsid w:val="00032B7B"/>
    <w:rsid w:val="00032BC8"/>
    <w:rsid w:val="00032C96"/>
    <w:rsid w:val="00032E29"/>
    <w:rsid w:val="000330C5"/>
    <w:rsid w:val="00033429"/>
    <w:rsid w:val="000339F2"/>
    <w:rsid w:val="00033A37"/>
    <w:rsid w:val="00033AC0"/>
    <w:rsid w:val="00033D1C"/>
    <w:rsid w:val="000340EB"/>
    <w:rsid w:val="000342CE"/>
    <w:rsid w:val="000344D2"/>
    <w:rsid w:val="0003457F"/>
    <w:rsid w:val="00034781"/>
    <w:rsid w:val="000348C5"/>
    <w:rsid w:val="00034BBB"/>
    <w:rsid w:val="00034FCE"/>
    <w:rsid w:val="00035284"/>
    <w:rsid w:val="00035471"/>
    <w:rsid w:val="000355E6"/>
    <w:rsid w:val="00035778"/>
    <w:rsid w:val="00035BB3"/>
    <w:rsid w:val="00035BE0"/>
    <w:rsid w:val="00035FC0"/>
    <w:rsid w:val="00036340"/>
    <w:rsid w:val="00036821"/>
    <w:rsid w:val="000368B0"/>
    <w:rsid w:val="00036D1B"/>
    <w:rsid w:val="00036E3B"/>
    <w:rsid w:val="00036F87"/>
    <w:rsid w:val="0003703D"/>
    <w:rsid w:val="0003733C"/>
    <w:rsid w:val="000375DC"/>
    <w:rsid w:val="0003782B"/>
    <w:rsid w:val="0003787A"/>
    <w:rsid w:val="00040132"/>
    <w:rsid w:val="000401D9"/>
    <w:rsid w:val="00040622"/>
    <w:rsid w:val="00040797"/>
    <w:rsid w:val="00040D72"/>
    <w:rsid w:val="00040DB9"/>
    <w:rsid w:val="00040E30"/>
    <w:rsid w:val="0004101A"/>
    <w:rsid w:val="000414BC"/>
    <w:rsid w:val="0004167D"/>
    <w:rsid w:val="0004181E"/>
    <w:rsid w:val="0004193F"/>
    <w:rsid w:val="00041B70"/>
    <w:rsid w:val="00041D25"/>
    <w:rsid w:val="00041DBD"/>
    <w:rsid w:val="00041DFD"/>
    <w:rsid w:val="00041F5D"/>
    <w:rsid w:val="000422C4"/>
    <w:rsid w:val="000423B1"/>
    <w:rsid w:val="000423D0"/>
    <w:rsid w:val="000426B6"/>
    <w:rsid w:val="00042A24"/>
    <w:rsid w:val="00042D5B"/>
    <w:rsid w:val="00042F71"/>
    <w:rsid w:val="00042F93"/>
    <w:rsid w:val="00042FB2"/>
    <w:rsid w:val="0004319B"/>
    <w:rsid w:val="000432F1"/>
    <w:rsid w:val="00043385"/>
    <w:rsid w:val="0004347E"/>
    <w:rsid w:val="000435D4"/>
    <w:rsid w:val="000439F3"/>
    <w:rsid w:val="00043A2C"/>
    <w:rsid w:val="00043A96"/>
    <w:rsid w:val="00043AC2"/>
    <w:rsid w:val="00043B15"/>
    <w:rsid w:val="00043CA9"/>
    <w:rsid w:val="00043E5C"/>
    <w:rsid w:val="00043FBC"/>
    <w:rsid w:val="0004416A"/>
    <w:rsid w:val="00044357"/>
    <w:rsid w:val="0004444F"/>
    <w:rsid w:val="000446A9"/>
    <w:rsid w:val="0004475C"/>
    <w:rsid w:val="00044FEC"/>
    <w:rsid w:val="00045011"/>
    <w:rsid w:val="0004513C"/>
    <w:rsid w:val="00045158"/>
    <w:rsid w:val="000451A0"/>
    <w:rsid w:val="000451E3"/>
    <w:rsid w:val="00045688"/>
    <w:rsid w:val="0004571A"/>
    <w:rsid w:val="000457C2"/>
    <w:rsid w:val="000458EC"/>
    <w:rsid w:val="00045A91"/>
    <w:rsid w:val="00045AE0"/>
    <w:rsid w:val="00045D55"/>
    <w:rsid w:val="00045D98"/>
    <w:rsid w:val="0004606B"/>
    <w:rsid w:val="000462A0"/>
    <w:rsid w:val="000462EB"/>
    <w:rsid w:val="0004664D"/>
    <w:rsid w:val="000466C8"/>
    <w:rsid w:val="00046897"/>
    <w:rsid w:val="0004697B"/>
    <w:rsid w:val="00046D7C"/>
    <w:rsid w:val="00046E39"/>
    <w:rsid w:val="00046F35"/>
    <w:rsid w:val="000471F0"/>
    <w:rsid w:val="00047255"/>
    <w:rsid w:val="000474CE"/>
    <w:rsid w:val="000474E7"/>
    <w:rsid w:val="000475CF"/>
    <w:rsid w:val="00047606"/>
    <w:rsid w:val="00047612"/>
    <w:rsid w:val="00047932"/>
    <w:rsid w:val="00047B61"/>
    <w:rsid w:val="00047F38"/>
    <w:rsid w:val="00050DCB"/>
    <w:rsid w:val="00050F5A"/>
    <w:rsid w:val="00051079"/>
    <w:rsid w:val="0005120D"/>
    <w:rsid w:val="000512E5"/>
    <w:rsid w:val="0005130D"/>
    <w:rsid w:val="000513EC"/>
    <w:rsid w:val="000515B5"/>
    <w:rsid w:val="00051623"/>
    <w:rsid w:val="00051654"/>
    <w:rsid w:val="000516CC"/>
    <w:rsid w:val="000517D7"/>
    <w:rsid w:val="00051898"/>
    <w:rsid w:val="00051915"/>
    <w:rsid w:val="000519C1"/>
    <w:rsid w:val="00051C09"/>
    <w:rsid w:val="00051C3C"/>
    <w:rsid w:val="00052048"/>
    <w:rsid w:val="00052193"/>
    <w:rsid w:val="0005296B"/>
    <w:rsid w:val="00052A7B"/>
    <w:rsid w:val="00052A7F"/>
    <w:rsid w:val="00052B21"/>
    <w:rsid w:val="00052E3F"/>
    <w:rsid w:val="000531F1"/>
    <w:rsid w:val="0005322C"/>
    <w:rsid w:val="000532DA"/>
    <w:rsid w:val="00053393"/>
    <w:rsid w:val="00053526"/>
    <w:rsid w:val="000536A5"/>
    <w:rsid w:val="00053783"/>
    <w:rsid w:val="00053A47"/>
    <w:rsid w:val="00053DBC"/>
    <w:rsid w:val="00053DBF"/>
    <w:rsid w:val="00053E1E"/>
    <w:rsid w:val="00054086"/>
    <w:rsid w:val="000541F6"/>
    <w:rsid w:val="00054365"/>
    <w:rsid w:val="00054767"/>
    <w:rsid w:val="0005477F"/>
    <w:rsid w:val="00055096"/>
    <w:rsid w:val="00055393"/>
    <w:rsid w:val="0005545A"/>
    <w:rsid w:val="000555E7"/>
    <w:rsid w:val="0005594A"/>
    <w:rsid w:val="000563CD"/>
    <w:rsid w:val="00056592"/>
    <w:rsid w:val="000566DB"/>
    <w:rsid w:val="00056DB3"/>
    <w:rsid w:val="00056EAC"/>
    <w:rsid w:val="0005722A"/>
    <w:rsid w:val="00057296"/>
    <w:rsid w:val="000572DE"/>
    <w:rsid w:val="000574F4"/>
    <w:rsid w:val="00057745"/>
    <w:rsid w:val="00057C87"/>
    <w:rsid w:val="00057C9F"/>
    <w:rsid w:val="00057CA9"/>
    <w:rsid w:val="00057E7A"/>
    <w:rsid w:val="00057FC2"/>
    <w:rsid w:val="00057FDA"/>
    <w:rsid w:val="00057FE7"/>
    <w:rsid w:val="000600D3"/>
    <w:rsid w:val="00060188"/>
    <w:rsid w:val="00060443"/>
    <w:rsid w:val="00060467"/>
    <w:rsid w:val="00060672"/>
    <w:rsid w:val="000606F8"/>
    <w:rsid w:val="00060764"/>
    <w:rsid w:val="00060864"/>
    <w:rsid w:val="00060B56"/>
    <w:rsid w:val="0006109E"/>
    <w:rsid w:val="0006119A"/>
    <w:rsid w:val="000615C0"/>
    <w:rsid w:val="000616B9"/>
    <w:rsid w:val="000616D6"/>
    <w:rsid w:val="0006188E"/>
    <w:rsid w:val="000618E6"/>
    <w:rsid w:val="0006193C"/>
    <w:rsid w:val="00061BD7"/>
    <w:rsid w:val="00061BD8"/>
    <w:rsid w:val="00062105"/>
    <w:rsid w:val="00062257"/>
    <w:rsid w:val="00062526"/>
    <w:rsid w:val="00062709"/>
    <w:rsid w:val="0006299A"/>
    <w:rsid w:val="00062B0B"/>
    <w:rsid w:val="00062FF8"/>
    <w:rsid w:val="00063006"/>
    <w:rsid w:val="0006314D"/>
    <w:rsid w:val="0006316A"/>
    <w:rsid w:val="00063508"/>
    <w:rsid w:val="0006351F"/>
    <w:rsid w:val="00063891"/>
    <w:rsid w:val="0006390E"/>
    <w:rsid w:val="00063C94"/>
    <w:rsid w:val="00063C9B"/>
    <w:rsid w:val="000641AB"/>
    <w:rsid w:val="000642B5"/>
    <w:rsid w:val="0006435F"/>
    <w:rsid w:val="00064633"/>
    <w:rsid w:val="00064779"/>
    <w:rsid w:val="000649BB"/>
    <w:rsid w:val="00064C1A"/>
    <w:rsid w:val="00064C7D"/>
    <w:rsid w:val="00064DE4"/>
    <w:rsid w:val="00064E73"/>
    <w:rsid w:val="00064ED2"/>
    <w:rsid w:val="0006524B"/>
    <w:rsid w:val="00065597"/>
    <w:rsid w:val="000658C5"/>
    <w:rsid w:val="00065F90"/>
    <w:rsid w:val="00066008"/>
    <w:rsid w:val="0006638E"/>
    <w:rsid w:val="00066455"/>
    <w:rsid w:val="00066512"/>
    <w:rsid w:val="00066718"/>
    <w:rsid w:val="000667CA"/>
    <w:rsid w:val="00066AF7"/>
    <w:rsid w:val="00066F75"/>
    <w:rsid w:val="00066FFD"/>
    <w:rsid w:val="00067100"/>
    <w:rsid w:val="0006712A"/>
    <w:rsid w:val="000672BB"/>
    <w:rsid w:val="000672BD"/>
    <w:rsid w:val="0006792C"/>
    <w:rsid w:val="000679B6"/>
    <w:rsid w:val="00067A8F"/>
    <w:rsid w:val="00067C9C"/>
    <w:rsid w:val="00067CD5"/>
    <w:rsid w:val="00067D1F"/>
    <w:rsid w:val="00067D7E"/>
    <w:rsid w:val="00067DF6"/>
    <w:rsid w:val="00067F87"/>
    <w:rsid w:val="00067FDB"/>
    <w:rsid w:val="00070305"/>
    <w:rsid w:val="00070344"/>
    <w:rsid w:val="000703A3"/>
    <w:rsid w:val="00070527"/>
    <w:rsid w:val="00070543"/>
    <w:rsid w:val="00070712"/>
    <w:rsid w:val="00070771"/>
    <w:rsid w:val="00070AAB"/>
    <w:rsid w:val="00071206"/>
    <w:rsid w:val="0007129E"/>
    <w:rsid w:val="000712E0"/>
    <w:rsid w:val="0007137E"/>
    <w:rsid w:val="000713C5"/>
    <w:rsid w:val="000713CE"/>
    <w:rsid w:val="000713CF"/>
    <w:rsid w:val="000714B0"/>
    <w:rsid w:val="0007159C"/>
    <w:rsid w:val="00071636"/>
    <w:rsid w:val="000717D2"/>
    <w:rsid w:val="00071D69"/>
    <w:rsid w:val="00071F3F"/>
    <w:rsid w:val="000723AC"/>
    <w:rsid w:val="000723DA"/>
    <w:rsid w:val="00072685"/>
    <w:rsid w:val="00072958"/>
    <w:rsid w:val="00072A24"/>
    <w:rsid w:val="00072C34"/>
    <w:rsid w:val="00072C74"/>
    <w:rsid w:val="00072F3E"/>
    <w:rsid w:val="00072FB8"/>
    <w:rsid w:val="00072FF1"/>
    <w:rsid w:val="00073146"/>
    <w:rsid w:val="00073364"/>
    <w:rsid w:val="0007372F"/>
    <w:rsid w:val="00073B1E"/>
    <w:rsid w:val="00073D74"/>
    <w:rsid w:val="000740E1"/>
    <w:rsid w:val="0007422B"/>
    <w:rsid w:val="000744A5"/>
    <w:rsid w:val="00074653"/>
    <w:rsid w:val="00074673"/>
    <w:rsid w:val="000748E1"/>
    <w:rsid w:val="000749F1"/>
    <w:rsid w:val="00074B2D"/>
    <w:rsid w:val="00074CD6"/>
    <w:rsid w:val="00074E81"/>
    <w:rsid w:val="00074EF9"/>
    <w:rsid w:val="00075246"/>
    <w:rsid w:val="000752BB"/>
    <w:rsid w:val="000752F1"/>
    <w:rsid w:val="00075564"/>
    <w:rsid w:val="000758F2"/>
    <w:rsid w:val="000759C9"/>
    <w:rsid w:val="00075A5A"/>
    <w:rsid w:val="00075B63"/>
    <w:rsid w:val="000763B8"/>
    <w:rsid w:val="0007653B"/>
    <w:rsid w:val="000766AC"/>
    <w:rsid w:val="00076911"/>
    <w:rsid w:val="000769C0"/>
    <w:rsid w:val="00076BAF"/>
    <w:rsid w:val="00076C94"/>
    <w:rsid w:val="00077389"/>
    <w:rsid w:val="0007752A"/>
    <w:rsid w:val="000779B8"/>
    <w:rsid w:val="00077A00"/>
    <w:rsid w:val="00077ACD"/>
    <w:rsid w:val="00077D9E"/>
    <w:rsid w:val="00077DE0"/>
    <w:rsid w:val="000800AC"/>
    <w:rsid w:val="000801D3"/>
    <w:rsid w:val="00080883"/>
    <w:rsid w:val="00080BD8"/>
    <w:rsid w:val="00080BE7"/>
    <w:rsid w:val="00080C1A"/>
    <w:rsid w:val="00080D01"/>
    <w:rsid w:val="00080DEE"/>
    <w:rsid w:val="00081063"/>
    <w:rsid w:val="000810CB"/>
    <w:rsid w:val="000815B5"/>
    <w:rsid w:val="00081731"/>
    <w:rsid w:val="0008173F"/>
    <w:rsid w:val="00081B26"/>
    <w:rsid w:val="00081BE2"/>
    <w:rsid w:val="00081E28"/>
    <w:rsid w:val="00081ECB"/>
    <w:rsid w:val="00081F38"/>
    <w:rsid w:val="00081FC8"/>
    <w:rsid w:val="000820E9"/>
    <w:rsid w:val="000821AF"/>
    <w:rsid w:val="0008272D"/>
    <w:rsid w:val="00082883"/>
    <w:rsid w:val="000829F8"/>
    <w:rsid w:val="00082A8B"/>
    <w:rsid w:val="00082DC2"/>
    <w:rsid w:val="00083021"/>
    <w:rsid w:val="00083400"/>
    <w:rsid w:val="0008347C"/>
    <w:rsid w:val="00083717"/>
    <w:rsid w:val="00083A2B"/>
    <w:rsid w:val="00083B07"/>
    <w:rsid w:val="00083D11"/>
    <w:rsid w:val="00083D7C"/>
    <w:rsid w:val="00083E40"/>
    <w:rsid w:val="00084036"/>
    <w:rsid w:val="000844F5"/>
    <w:rsid w:val="0008452C"/>
    <w:rsid w:val="00084556"/>
    <w:rsid w:val="00084709"/>
    <w:rsid w:val="00084ABD"/>
    <w:rsid w:val="00084DC1"/>
    <w:rsid w:val="0008512F"/>
    <w:rsid w:val="000854D9"/>
    <w:rsid w:val="00085767"/>
    <w:rsid w:val="00085873"/>
    <w:rsid w:val="00085D6F"/>
    <w:rsid w:val="00085DDC"/>
    <w:rsid w:val="00085E48"/>
    <w:rsid w:val="00085FB1"/>
    <w:rsid w:val="000865ED"/>
    <w:rsid w:val="000866C9"/>
    <w:rsid w:val="00086909"/>
    <w:rsid w:val="00086C1C"/>
    <w:rsid w:val="00086CB5"/>
    <w:rsid w:val="00087225"/>
    <w:rsid w:val="000873A2"/>
    <w:rsid w:val="00087566"/>
    <w:rsid w:val="00087BE3"/>
    <w:rsid w:val="00087CC4"/>
    <w:rsid w:val="00087F88"/>
    <w:rsid w:val="000903E5"/>
    <w:rsid w:val="00090626"/>
    <w:rsid w:val="00090855"/>
    <w:rsid w:val="00090BB6"/>
    <w:rsid w:val="00090D7B"/>
    <w:rsid w:val="00090E09"/>
    <w:rsid w:val="00091070"/>
    <w:rsid w:val="00091327"/>
    <w:rsid w:val="000914A6"/>
    <w:rsid w:val="0009157E"/>
    <w:rsid w:val="00091583"/>
    <w:rsid w:val="0009164C"/>
    <w:rsid w:val="00091980"/>
    <w:rsid w:val="00091985"/>
    <w:rsid w:val="00091A27"/>
    <w:rsid w:val="00091C8C"/>
    <w:rsid w:val="00091FFE"/>
    <w:rsid w:val="000921E5"/>
    <w:rsid w:val="000923B8"/>
    <w:rsid w:val="0009258E"/>
    <w:rsid w:val="0009265D"/>
    <w:rsid w:val="0009269C"/>
    <w:rsid w:val="000926BB"/>
    <w:rsid w:val="000926CF"/>
    <w:rsid w:val="00092892"/>
    <w:rsid w:val="000928E4"/>
    <w:rsid w:val="00092D08"/>
    <w:rsid w:val="00093171"/>
    <w:rsid w:val="000935AE"/>
    <w:rsid w:val="000939DC"/>
    <w:rsid w:val="00093CAB"/>
    <w:rsid w:val="00093CCA"/>
    <w:rsid w:val="00093D72"/>
    <w:rsid w:val="000949FE"/>
    <w:rsid w:val="00094A59"/>
    <w:rsid w:val="00094C37"/>
    <w:rsid w:val="00094CFC"/>
    <w:rsid w:val="00095487"/>
    <w:rsid w:val="0009558C"/>
    <w:rsid w:val="00095670"/>
    <w:rsid w:val="00095950"/>
    <w:rsid w:val="00095EDC"/>
    <w:rsid w:val="00095F1F"/>
    <w:rsid w:val="0009614D"/>
    <w:rsid w:val="000962DD"/>
    <w:rsid w:val="000962E8"/>
    <w:rsid w:val="0009638B"/>
    <w:rsid w:val="00096643"/>
    <w:rsid w:val="000967A2"/>
    <w:rsid w:val="00096AA2"/>
    <w:rsid w:val="00096C7F"/>
    <w:rsid w:val="00096DB1"/>
    <w:rsid w:val="00096DC3"/>
    <w:rsid w:val="00096FF9"/>
    <w:rsid w:val="00097391"/>
    <w:rsid w:val="00097683"/>
    <w:rsid w:val="00097792"/>
    <w:rsid w:val="000977E4"/>
    <w:rsid w:val="00097BA0"/>
    <w:rsid w:val="00097C80"/>
    <w:rsid w:val="00097D43"/>
    <w:rsid w:val="00097F39"/>
    <w:rsid w:val="00097F7B"/>
    <w:rsid w:val="000A0195"/>
    <w:rsid w:val="000A024D"/>
    <w:rsid w:val="000A0310"/>
    <w:rsid w:val="000A0537"/>
    <w:rsid w:val="000A089E"/>
    <w:rsid w:val="000A0C62"/>
    <w:rsid w:val="000A0D69"/>
    <w:rsid w:val="000A0F28"/>
    <w:rsid w:val="000A11D2"/>
    <w:rsid w:val="000A120F"/>
    <w:rsid w:val="000A1302"/>
    <w:rsid w:val="000A14BE"/>
    <w:rsid w:val="000A1991"/>
    <w:rsid w:val="000A19E3"/>
    <w:rsid w:val="000A1D89"/>
    <w:rsid w:val="000A1E06"/>
    <w:rsid w:val="000A1ED3"/>
    <w:rsid w:val="000A2197"/>
    <w:rsid w:val="000A2264"/>
    <w:rsid w:val="000A23A8"/>
    <w:rsid w:val="000A249D"/>
    <w:rsid w:val="000A2572"/>
    <w:rsid w:val="000A259B"/>
    <w:rsid w:val="000A25B2"/>
    <w:rsid w:val="000A2740"/>
    <w:rsid w:val="000A2940"/>
    <w:rsid w:val="000A294E"/>
    <w:rsid w:val="000A2A3C"/>
    <w:rsid w:val="000A2A91"/>
    <w:rsid w:val="000A2AD6"/>
    <w:rsid w:val="000A2BC1"/>
    <w:rsid w:val="000A2BF4"/>
    <w:rsid w:val="000A2F73"/>
    <w:rsid w:val="000A30E0"/>
    <w:rsid w:val="000A363F"/>
    <w:rsid w:val="000A3C12"/>
    <w:rsid w:val="000A3D13"/>
    <w:rsid w:val="000A3DDC"/>
    <w:rsid w:val="000A3E2C"/>
    <w:rsid w:val="000A3E2E"/>
    <w:rsid w:val="000A40BD"/>
    <w:rsid w:val="000A4114"/>
    <w:rsid w:val="000A4213"/>
    <w:rsid w:val="000A4437"/>
    <w:rsid w:val="000A4870"/>
    <w:rsid w:val="000A48F6"/>
    <w:rsid w:val="000A4BEF"/>
    <w:rsid w:val="000A4C05"/>
    <w:rsid w:val="000A4CE9"/>
    <w:rsid w:val="000A51B8"/>
    <w:rsid w:val="000A5349"/>
    <w:rsid w:val="000A5371"/>
    <w:rsid w:val="000A586B"/>
    <w:rsid w:val="000A593C"/>
    <w:rsid w:val="000A59AE"/>
    <w:rsid w:val="000A5B15"/>
    <w:rsid w:val="000A5C5A"/>
    <w:rsid w:val="000A5CC0"/>
    <w:rsid w:val="000A5DB0"/>
    <w:rsid w:val="000A5F39"/>
    <w:rsid w:val="000A5F71"/>
    <w:rsid w:val="000A5FAA"/>
    <w:rsid w:val="000A5FE7"/>
    <w:rsid w:val="000A6365"/>
    <w:rsid w:val="000A66BC"/>
    <w:rsid w:val="000A66D6"/>
    <w:rsid w:val="000A700E"/>
    <w:rsid w:val="000A77FB"/>
    <w:rsid w:val="000A782A"/>
    <w:rsid w:val="000A7976"/>
    <w:rsid w:val="000A7A82"/>
    <w:rsid w:val="000A7B42"/>
    <w:rsid w:val="000A7DEC"/>
    <w:rsid w:val="000B0197"/>
    <w:rsid w:val="000B02E4"/>
    <w:rsid w:val="000B04E4"/>
    <w:rsid w:val="000B06A2"/>
    <w:rsid w:val="000B0767"/>
    <w:rsid w:val="000B0CB8"/>
    <w:rsid w:val="000B0F01"/>
    <w:rsid w:val="000B1203"/>
    <w:rsid w:val="000B1388"/>
    <w:rsid w:val="000B17DD"/>
    <w:rsid w:val="000B185A"/>
    <w:rsid w:val="000B191B"/>
    <w:rsid w:val="000B1D98"/>
    <w:rsid w:val="000B1EE5"/>
    <w:rsid w:val="000B1FF7"/>
    <w:rsid w:val="000B22E8"/>
    <w:rsid w:val="000B252B"/>
    <w:rsid w:val="000B2688"/>
    <w:rsid w:val="000B26E0"/>
    <w:rsid w:val="000B28C0"/>
    <w:rsid w:val="000B2943"/>
    <w:rsid w:val="000B2C2E"/>
    <w:rsid w:val="000B2F13"/>
    <w:rsid w:val="000B30AC"/>
    <w:rsid w:val="000B33CF"/>
    <w:rsid w:val="000B3767"/>
    <w:rsid w:val="000B37D6"/>
    <w:rsid w:val="000B395F"/>
    <w:rsid w:val="000B3980"/>
    <w:rsid w:val="000B3A1D"/>
    <w:rsid w:val="000B3EAD"/>
    <w:rsid w:val="000B44F1"/>
    <w:rsid w:val="000B4520"/>
    <w:rsid w:val="000B46B3"/>
    <w:rsid w:val="000B4869"/>
    <w:rsid w:val="000B4875"/>
    <w:rsid w:val="000B4885"/>
    <w:rsid w:val="000B4916"/>
    <w:rsid w:val="000B4A1B"/>
    <w:rsid w:val="000B4A2C"/>
    <w:rsid w:val="000B4A95"/>
    <w:rsid w:val="000B4D53"/>
    <w:rsid w:val="000B5009"/>
    <w:rsid w:val="000B5031"/>
    <w:rsid w:val="000B505C"/>
    <w:rsid w:val="000B5156"/>
    <w:rsid w:val="000B5196"/>
    <w:rsid w:val="000B52B8"/>
    <w:rsid w:val="000B5465"/>
    <w:rsid w:val="000B5648"/>
    <w:rsid w:val="000B5A73"/>
    <w:rsid w:val="000B5BF3"/>
    <w:rsid w:val="000B617A"/>
    <w:rsid w:val="000B6308"/>
    <w:rsid w:val="000B6472"/>
    <w:rsid w:val="000B6703"/>
    <w:rsid w:val="000B6774"/>
    <w:rsid w:val="000B679E"/>
    <w:rsid w:val="000B695E"/>
    <w:rsid w:val="000B699F"/>
    <w:rsid w:val="000B6AB6"/>
    <w:rsid w:val="000B6B19"/>
    <w:rsid w:val="000B6EE7"/>
    <w:rsid w:val="000B6F80"/>
    <w:rsid w:val="000B7099"/>
    <w:rsid w:val="000B7150"/>
    <w:rsid w:val="000B728A"/>
    <w:rsid w:val="000B728B"/>
    <w:rsid w:val="000B73E6"/>
    <w:rsid w:val="000B74A4"/>
    <w:rsid w:val="000B7946"/>
    <w:rsid w:val="000B7BC2"/>
    <w:rsid w:val="000B7E28"/>
    <w:rsid w:val="000C014A"/>
    <w:rsid w:val="000C0208"/>
    <w:rsid w:val="000C060C"/>
    <w:rsid w:val="000C0647"/>
    <w:rsid w:val="000C09BC"/>
    <w:rsid w:val="000C104A"/>
    <w:rsid w:val="000C12D2"/>
    <w:rsid w:val="000C13A8"/>
    <w:rsid w:val="000C1471"/>
    <w:rsid w:val="000C19A6"/>
    <w:rsid w:val="000C1F9C"/>
    <w:rsid w:val="000C1FC8"/>
    <w:rsid w:val="000C26A8"/>
    <w:rsid w:val="000C28CD"/>
    <w:rsid w:val="000C2AFE"/>
    <w:rsid w:val="000C2C44"/>
    <w:rsid w:val="000C2FB6"/>
    <w:rsid w:val="000C3661"/>
    <w:rsid w:val="000C37FA"/>
    <w:rsid w:val="000C3B94"/>
    <w:rsid w:val="000C3C79"/>
    <w:rsid w:val="000C3CE0"/>
    <w:rsid w:val="000C412B"/>
    <w:rsid w:val="000C45D8"/>
    <w:rsid w:val="000C479D"/>
    <w:rsid w:val="000C4997"/>
    <w:rsid w:val="000C4CA8"/>
    <w:rsid w:val="000C4EA4"/>
    <w:rsid w:val="000C5165"/>
    <w:rsid w:val="000C53A4"/>
    <w:rsid w:val="000C53CE"/>
    <w:rsid w:val="000C5434"/>
    <w:rsid w:val="000C5495"/>
    <w:rsid w:val="000C54C9"/>
    <w:rsid w:val="000C561E"/>
    <w:rsid w:val="000C56D4"/>
    <w:rsid w:val="000C56FD"/>
    <w:rsid w:val="000C58A6"/>
    <w:rsid w:val="000C5B96"/>
    <w:rsid w:val="000C5C57"/>
    <w:rsid w:val="000C5CBF"/>
    <w:rsid w:val="000C5EC2"/>
    <w:rsid w:val="000C5FDA"/>
    <w:rsid w:val="000C5FF8"/>
    <w:rsid w:val="000C6021"/>
    <w:rsid w:val="000C623C"/>
    <w:rsid w:val="000C65C0"/>
    <w:rsid w:val="000C66CF"/>
    <w:rsid w:val="000C679D"/>
    <w:rsid w:val="000C6885"/>
    <w:rsid w:val="000C6A55"/>
    <w:rsid w:val="000C6AE6"/>
    <w:rsid w:val="000C6C12"/>
    <w:rsid w:val="000C6C41"/>
    <w:rsid w:val="000C6CB6"/>
    <w:rsid w:val="000C6D07"/>
    <w:rsid w:val="000C6DB9"/>
    <w:rsid w:val="000C7019"/>
    <w:rsid w:val="000C716E"/>
    <w:rsid w:val="000C727D"/>
    <w:rsid w:val="000C72B6"/>
    <w:rsid w:val="000C749F"/>
    <w:rsid w:val="000C7520"/>
    <w:rsid w:val="000C79CB"/>
    <w:rsid w:val="000C7D13"/>
    <w:rsid w:val="000C7F83"/>
    <w:rsid w:val="000D0055"/>
    <w:rsid w:val="000D019E"/>
    <w:rsid w:val="000D0213"/>
    <w:rsid w:val="000D0367"/>
    <w:rsid w:val="000D05ED"/>
    <w:rsid w:val="000D0C00"/>
    <w:rsid w:val="000D0CE9"/>
    <w:rsid w:val="000D0E89"/>
    <w:rsid w:val="000D1076"/>
    <w:rsid w:val="000D1191"/>
    <w:rsid w:val="000D1204"/>
    <w:rsid w:val="000D1284"/>
    <w:rsid w:val="000D1378"/>
    <w:rsid w:val="000D1468"/>
    <w:rsid w:val="000D14B5"/>
    <w:rsid w:val="000D17CA"/>
    <w:rsid w:val="000D1868"/>
    <w:rsid w:val="000D1B02"/>
    <w:rsid w:val="000D1C52"/>
    <w:rsid w:val="000D1CC9"/>
    <w:rsid w:val="000D1E41"/>
    <w:rsid w:val="000D1FC0"/>
    <w:rsid w:val="000D1FD7"/>
    <w:rsid w:val="000D22A3"/>
    <w:rsid w:val="000D233B"/>
    <w:rsid w:val="000D2872"/>
    <w:rsid w:val="000D28EC"/>
    <w:rsid w:val="000D2AF2"/>
    <w:rsid w:val="000D2C09"/>
    <w:rsid w:val="000D2EDB"/>
    <w:rsid w:val="000D355F"/>
    <w:rsid w:val="000D3655"/>
    <w:rsid w:val="000D3944"/>
    <w:rsid w:val="000D3978"/>
    <w:rsid w:val="000D39FE"/>
    <w:rsid w:val="000D3A0A"/>
    <w:rsid w:val="000D3A8F"/>
    <w:rsid w:val="000D470B"/>
    <w:rsid w:val="000D4817"/>
    <w:rsid w:val="000D49C8"/>
    <w:rsid w:val="000D49E7"/>
    <w:rsid w:val="000D4D85"/>
    <w:rsid w:val="000D4D96"/>
    <w:rsid w:val="000D4DD5"/>
    <w:rsid w:val="000D4F76"/>
    <w:rsid w:val="000D4FCB"/>
    <w:rsid w:val="000D50CB"/>
    <w:rsid w:val="000D5250"/>
    <w:rsid w:val="000D53E8"/>
    <w:rsid w:val="000D5682"/>
    <w:rsid w:val="000D56A1"/>
    <w:rsid w:val="000D5A42"/>
    <w:rsid w:val="000D5BE6"/>
    <w:rsid w:val="000D5C3E"/>
    <w:rsid w:val="000D5DDD"/>
    <w:rsid w:val="000D60EA"/>
    <w:rsid w:val="000D619B"/>
    <w:rsid w:val="000D64C2"/>
    <w:rsid w:val="000D657A"/>
    <w:rsid w:val="000D6671"/>
    <w:rsid w:val="000D66D6"/>
    <w:rsid w:val="000D686D"/>
    <w:rsid w:val="000D69C9"/>
    <w:rsid w:val="000D69F1"/>
    <w:rsid w:val="000D6AB3"/>
    <w:rsid w:val="000D7071"/>
    <w:rsid w:val="000D7196"/>
    <w:rsid w:val="000D72A7"/>
    <w:rsid w:val="000D74D1"/>
    <w:rsid w:val="000D7564"/>
    <w:rsid w:val="000D7A11"/>
    <w:rsid w:val="000D7D57"/>
    <w:rsid w:val="000D7DDE"/>
    <w:rsid w:val="000E0006"/>
    <w:rsid w:val="000E01FA"/>
    <w:rsid w:val="000E0331"/>
    <w:rsid w:val="000E0579"/>
    <w:rsid w:val="000E05E2"/>
    <w:rsid w:val="000E06D2"/>
    <w:rsid w:val="000E0765"/>
    <w:rsid w:val="000E0893"/>
    <w:rsid w:val="000E093D"/>
    <w:rsid w:val="000E0BC7"/>
    <w:rsid w:val="000E0EAC"/>
    <w:rsid w:val="000E1547"/>
    <w:rsid w:val="000E1914"/>
    <w:rsid w:val="000E1A54"/>
    <w:rsid w:val="000E1A7E"/>
    <w:rsid w:val="000E1AE3"/>
    <w:rsid w:val="000E1BB3"/>
    <w:rsid w:val="000E1C6B"/>
    <w:rsid w:val="000E1D4D"/>
    <w:rsid w:val="000E1DC6"/>
    <w:rsid w:val="000E1F60"/>
    <w:rsid w:val="000E2381"/>
    <w:rsid w:val="000E273E"/>
    <w:rsid w:val="000E2796"/>
    <w:rsid w:val="000E2C04"/>
    <w:rsid w:val="000E2D1F"/>
    <w:rsid w:val="000E2DE9"/>
    <w:rsid w:val="000E2EC2"/>
    <w:rsid w:val="000E2F1D"/>
    <w:rsid w:val="000E3077"/>
    <w:rsid w:val="000E3176"/>
    <w:rsid w:val="000E31A8"/>
    <w:rsid w:val="000E329B"/>
    <w:rsid w:val="000E335F"/>
    <w:rsid w:val="000E3481"/>
    <w:rsid w:val="000E356E"/>
    <w:rsid w:val="000E366E"/>
    <w:rsid w:val="000E372A"/>
    <w:rsid w:val="000E37ED"/>
    <w:rsid w:val="000E38AB"/>
    <w:rsid w:val="000E39F4"/>
    <w:rsid w:val="000E3D0C"/>
    <w:rsid w:val="000E3D6F"/>
    <w:rsid w:val="000E3E79"/>
    <w:rsid w:val="000E3FD8"/>
    <w:rsid w:val="000E455E"/>
    <w:rsid w:val="000E4AC4"/>
    <w:rsid w:val="000E4B6A"/>
    <w:rsid w:val="000E4B6C"/>
    <w:rsid w:val="000E4B74"/>
    <w:rsid w:val="000E5111"/>
    <w:rsid w:val="000E51B0"/>
    <w:rsid w:val="000E5329"/>
    <w:rsid w:val="000E53F4"/>
    <w:rsid w:val="000E5429"/>
    <w:rsid w:val="000E553F"/>
    <w:rsid w:val="000E5643"/>
    <w:rsid w:val="000E587F"/>
    <w:rsid w:val="000E5BEE"/>
    <w:rsid w:val="000E5BFF"/>
    <w:rsid w:val="000E5D3D"/>
    <w:rsid w:val="000E6125"/>
    <w:rsid w:val="000E64F3"/>
    <w:rsid w:val="000E6584"/>
    <w:rsid w:val="000E6706"/>
    <w:rsid w:val="000E6809"/>
    <w:rsid w:val="000E68B5"/>
    <w:rsid w:val="000E713C"/>
    <w:rsid w:val="000E72BA"/>
    <w:rsid w:val="000E730A"/>
    <w:rsid w:val="000E736C"/>
    <w:rsid w:val="000E76D4"/>
    <w:rsid w:val="000E79CC"/>
    <w:rsid w:val="000E7C80"/>
    <w:rsid w:val="000F013C"/>
    <w:rsid w:val="000F02E1"/>
    <w:rsid w:val="000F04FF"/>
    <w:rsid w:val="000F0529"/>
    <w:rsid w:val="000F0570"/>
    <w:rsid w:val="000F064A"/>
    <w:rsid w:val="000F06C4"/>
    <w:rsid w:val="000F07C6"/>
    <w:rsid w:val="000F0854"/>
    <w:rsid w:val="000F0AEA"/>
    <w:rsid w:val="000F0F0E"/>
    <w:rsid w:val="000F0F0F"/>
    <w:rsid w:val="000F1192"/>
    <w:rsid w:val="000F11B4"/>
    <w:rsid w:val="000F1596"/>
    <w:rsid w:val="000F18F4"/>
    <w:rsid w:val="000F1AE6"/>
    <w:rsid w:val="000F1BB1"/>
    <w:rsid w:val="000F1E4D"/>
    <w:rsid w:val="000F1F10"/>
    <w:rsid w:val="000F1FE7"/>
    <w:rsid w:val="000F2143"/>
    <w:rsid w:val="000F23A6"/>
    <w:rsid w:val="000F2659"/>
    <w:rsid w:val="000F2ADA"/>
    <w:rsid w:val="000F2D98"/>
    <w:rsid w:val="000F3338"/>
    <w:rsid w:val="000F3449"/>
    <w:rsid w:val="000F36FB"/>
    <w:rsid w:val="000F388F"/>
    <w:rsid w:val="000F38C8"/>
    <w:rsid w:val="000F396F"/>
    <w:rsid w:val="000F3992"/>
    <w:rsid w:val="000F3B33"/>
    <w:rsid w:val="000F3B46"/>
    <w:rsid w:val="000F3C1F"/>
    <w:rsid w:val="000F3E50"/>
    <w:rsid w:val="000F40CA"/>
    <w:rsid w:val="000F42A3"/>
    <w:rsid w:val="000F433E"/>
    <w:rsid w:val="000F4749"/>
    <w:rsid w:val="000F4764"/>
    <w:rsid w:val="000F4B15"/>
    <w:rsid w:val="000F4C38"/>
    <w:rsid w:val="000F4EBB"/>
    <w:rsid w:val="000F4FC6"/>
    <w:rsid w:val="000F500E"/>
    <w:rsid w:val="000F50B6"/>
    <w:rsid w:val="000F522E"/>
    <w:rsid w:val="000F52E6"/>
    <w:rsid w:val="000F5413"/>
    <w:rsid w:val="000F5461"/>
    <w:rsid w:val="000F54F6"/>
    <w:rsid w:val="000F54F8"/>
    <w:rsid w:val="000F55A3"/>
    <w:rsid w:val="000F560D"/>
    <w:rsid w:val="000F5685"/>
    <w:rsid w:val="000F5691"/>
    <w:rsid w:val="000F571B"/>
    <w:rsid w:val="000F5877"/>
    <w:rsid w:val="000F5A5D"/>
    <w:rsid w:val="000F5AEB"/>
    <w:rsid w:val="000F5B94"/>
    <w:rsid w:val="000F6043"/>
    <w:rsid w:val="000F60AB"/>
    <w:rsid w:val="000F60AC"/>
    <w:rsid w:val="000F6203"/>
    <w:rsid w:val="000F632E"/>
    <w:rsid w:val="000F645C"/>
    <w:rsid w:val="000F67EC"/>
    <w:rsid w:val="000F683F"/>
    <w:rsid w:val="000F68AC"/>
    <w:rsid w:val="000F6A6D"/>
    <w:rsid w:val="000F75A8"/>
    <w:rsid w:val="000F7830"/>
    <w:rsid w:val="000F7947"/>
    <w:rsid w:val="000F7C65"/>
    <w:rsid w:val="000F7DF6"/>
    <w:rsid w:val="000F7F49"/>
    <w:rsid w:val="001001EC"/>
    <w:rsid w:val="0010027E"/>
    <w:rsid w:val="00100A05"/>
    <w:rsid w:val="00100FCD"/>
    <w:rsid w:val="0010131E"/>
    <w:rsid w:val="00101376"/>
    <w:rsid w:val="001014E7"/>
    <w:rsid w:val="0010160C"/>
    <w:rsid w:val="001016EF"/>
    <w:rsid w:val="001018F3"/>
    <w:rsid w:val="00101A6E"/>
    <w:rsid w:val="00101E93"/>
    <w:rsid w:val="0010204F"/>
    <w:rsid w:val="00102144"/>
    <w:rsid w:val="00102843"/>
    <w:rsid w:val="00102862"/>
    <w:rsid w:val="001029DE"/>
    <w:rsid w:val="00102AA6"/>
    <w:rsid w:val="00102B72"/>
    <w:rsid w:val="00102CC8"/>
    <w:rsid w:val="00103168"/>
    <w:rsid w:val="0010327E"/>
    <w:rsid w:val="001034F3"/>
    <w:rsid w:val="001035EA"/>
    <w:rsid w:val="0010385C"/>
    <w:rsid w:val="001038CF"/>
    <w:rsid w:val="00103994"/>
    <w:rsid w:val="00103F4C"/>
    <w:rsid w:val="00104004"/>
    <w:rsid w:val="00104050"/>
    <w:rsid w:val="001040D7"/>
    <w:rsid w:val="0010490C"/>
    <w:rsid w:val="0010492A"/>
    <w:rsid w:val="00104CC0"/>
    <w:rsid w:val="00104D31"/>
    <w:rsid w:val="00104F88"/>
    <w:rsid w:val="00104FBB"/>
    <w:rsid w:val="00104FFF"/>
    <w:rsid w:val="00105046"/>
    <w:rsid w:val="001051DD"/>
    <w:rsid w:val="00105227"/>
    <w:rsid w:val="00105446"/>
    <w:rsid w:val="00105457"/>
    <w:rsid w:val="001054C9"/>
    <w:rsid w:val="001055D7"/>
    <w:rsid w:val="001057DE"/>
    <w:rsid w:val="0010580D"/>
    <w:rsid w:val="001058FB"/>
    <w:rsid w:val="00105A49"/>
    <w:rsid w:val="00105AC5"/>
    <w:rsid w:val="00105AF2"/>
    <w:rsid w:val="00105B9A"/>
    <w:rsid w:val="00105E7F"/>
    <w:rsid w:val="00105E95"/>
    <w:rsid w:val="00105F13"/>
    <w:rsid w:val="0010603E"/>
    <w:rsid w:val="001060E3"/>
    <w:rsid w:val="00106611"/>
    <w:rsid w:val="00106719"/>
    <w:rsid w:val="00106904"/>
    <w:rsid w:val="00106D4F"/>
    <w:rsid w:val="00106EBB"/>
    <w:rsid w:val="00107015"/>
    <w:rsid w:val="00107058"/>
    <w:rsid w:val="00107115"/>
    <w:rsid w:val="00107861"/>
    <w:rsid w:val="001078EC"/>
    <w:rsid w:val="001079F5"/>
    <w:rsid w:val="00107AA5"/>
    <w:rsid w:val="00107DE5"/>
    <w:rsid w:val="00110002"/>
    <w:rsid w:val="00110130"/>
    <w:rsid w:val="00110535"/>
    <w:rsid w:val="00110880"/>
    <w:rsid w:val="00110B4F"/>
    <w:rsid w:val="00110BDC"/>
    <w:rsid w:val="00110CFC"/>
    <w:rsid w:val="00110E5C"/>
    <w:rsid w:val="001111A4"/>
    <w:rsid w:val="001112B9"/>
    <w:rsid w:val="001112E5"/>
    <w:rsid w:val="00111625"/>
    <w:rsid w:val="00111817"/>
    <w:rsid w:val="00111860"/>
    <w:rsid w:val="001118D9"/>
    <w:rsid w:val="00111A08"/>
    <w:rsid w:val="00111A0F"/>
    <w:rsid w:val="00111A67"/>
    <w:rsid w:val="00111AA7"/>
    <w:rsid w:val="00111AEC"/>
    <w:rsid w:val="00111CBD"/>
    <w:rsid w:val="00111E45"/>
    <w:rsid w:val="00112099"/>
    <w:rsid w:val="0011217B"/>
    <w:rsid w:val="001123DB"/>
    <w:rsid w:val="001123F3"/>
    <w:rsid w:val="00112411"/>
    <w:rsid w:val="00112777"/>
    <w:rsid w:val="00112915"/>
    <w:rsid w:val="00112B38"/>
    <w:rsid w:val="00112CCF"/>
    <w:rsid w:val="00112D5B"/>
    <w:rsid w:val="00112DA1"/>
    <w:rsid w:val="00113118"/>
    <w:rsid w:val="00113868"/>
    <w:rsid w:val="00113C63"/>
    <w:rsid w:val="00113EFC"/>
    <w:rsid w:val="00113F11"/>
    <w:rsid w:val="0011423F"/>
    <w:rsid w:val="001142F1"/>
    <w:rsid w:val="001144F5"/>
    <w:rsid w:val="00114545"/>
    <w:rsid w:val="00114702"/>
    <w:rsid w:val="00114837"/>
    <w:rsid w:val="00114C88"/>
    <w:rsid w:val="00114D1B"/>
    <w:rsid w:val="00114E69"/>
    <w:rsid w:val="00115046"/>
    <w:rsid w:val="001150AE"/>
    <w:rsid w:val="00115176"/>
    <w:rsid w:val="001151A0"/>
    <w:rsid w:val="00115B7C"/>
    <w:rsid w:val="00116613"/>
    <w:rsid w:val="001168DE"/>
    <w:rsid w:val="00116929"/>
    <w:rsid w:val="00116949"/>
    <w:rsid w:val="00116B16"/>
    <w:rsid w:val="00116B4A"/>
    <w:rsid w:val="00116B72"/>
    <w:rsid w:val="00116C92"/>
    <w:rsid w:val="00116E45"/>
    <w:rsid w:val="00116E53"/>
    <w:rsid w:val="00116EC8"/>
    <w:rsid w:val="00116F56"/>
    <w:rsid w:val="00117171"/>
    <w:rsid w:val="00117176"/>
    <w:rsid w:val="00117330"/>
    <w:rsid w:val="00117413"/>
    <w:rsid w:val="00117552"/>
    <w:rsid w:val="001176FE"/>
    <w:rsid w:val="00117D65"/>
    <w:rsid w:val="00117E01"/>
    <w:rsid w:val="00117F05"/>
    <w:rsid w:val="001202B1"/>
    <w:rsid w:val="001202B6"/>
    <w:rsid w:val="0012062A"/>
    <w:rsid w:val="001206B2"/>
    <w:rsid w:val="00120824"/>
    <w:rsid w:val="0012087C"/>
    <w:rsid w:val="0012093F"/>
    <w:rsid w:val="00120A2E"/>
    <w:rsid w:val="00120B0E"/>
    <w:rsid w:val="00120B9F"/>
    <w:rsid w:val="00120BE3"/>
    <w:rsid w:val="00120EB0"/>
    <w:rsid w:val="00120F4B"/>
    <w:rsid w:val="00120F95"/>
    <w:rsid w:val="00121078"/>
    <w:rsid w:val="001210B0"/>
    <w:rsid w:val="00121118"/>
    <w:rsid w:val="0012111F"/>
    <w:rsid w:val="00121A9D"/>
    <w:rsid w:val="00121D7C"/>
    <w:rsid w:val="0012204E"/>
    <w:rsid w:val="0012209B"/>
    <w:rsid w:val="0012250A"/>
    <w:rsid w:val="00122535"/>
    <w:rsid w:val="00122802"/>
    <w:rsid w:val="00122C61"/>
    <w:rsid w:val="00122D33"/>
    <w:rsid w:val="00122DBD"/>
    <w:rsid w:val="00122F1D"/>
    <w:rsid w:val="00123048"/>
    <w:rsid w:val="00123220"/>
    <w:rsid w:val="001232EB"/>
    <w:rsid w:val="00123301"/>
    <w:rsid w:val="0012335A"/>
    <w:rsid w:val="00123481"/>
    <w:rsid w:val="00123612"/>
    <w:rsid w:val="0012364E"/>
    <w:rsid w:val="001238E9"/>
    <w:rsid w:val="00123966"/>
    <w:rsid w:val="00123AD7"/>
    <w:rsid w:val="00123C4F"/>
    <w:rsid w:val="00123FB2"/>
    <w:rsid w:val="001240A3"/>
    <w:rsid w:val="001240AB"/>
    <w:rsid w:val="001243CA"/>
    <w:rsid w:val="001243E1"/>
    <w:rsid w:val="00124439"/>
    <w:rsid w:val="00124486"/>
    <w:rsid w:val="001246A0"/>
    <w:rsid w:val="00124A86"/>
    <w:rsid w:val="00125306"/>
    <w:rsid w:val="00125363"/>
    <w:rsid w:val="0012547B"/>
    <w:rsid w:val="00125527"/>
    <w:rsid w:val="001255D9"/>
    <w:rsid w:val="00125684"/>
    <w:rsid w:val="001256C4"/>
    <w:rsid w:val="0012582D"/>
    <w:rsid w:val="00125C41"/>
    <w:rsid w:val="00126081"/>
    <w:rsid w:val="001260D9"/>
    <w:rsid w:val="0012684C"/>
    <w:rsid w:val="001269F6"/>
    <w:rsid w:val="00126A58"/>
    <w:rsid w:val="00126F6D"/>
    <w:rsid w:val="00127407"/>
    <w:rsid w:val="00127531"/>
    <w:rsid w:val="0012753B"/>
    <w:rsid w:val="001277DC"/>
    <w:rsid w:val="001278E3"/>
    <w:rsid w:val="00127A2C"/>
    <w:rsid w:val="00127C33"/>
    <w:rsid w:val="00127DF0"/>
    <w:rsid w:val="00127F6C"/>
    <w:rsid w:val="00127FBD"/>
    <w:rsid w:val="00130217"/>
    <w:rsid w:val="0013090B"/>
    <w:rsid w:val="00130B93"/>
    <w:rsid w:val="00130BAC"/>
    <w:rsid w:val="00130EE7"/>
    <w:rsid w:val="0013106D"/>
    <w:rsid w:val="00131288"/>
    <w:rsid w:val="001316C2"/>
    <w:rsid w:val="001316CE"/>
    <w:rsid w:val="0013173D"/>
    <w:rsid w:val="001317D0"/>
    <w:rsid w:val="001318AE"/>
    <w:rsid w:val="001318F6"/>
    <w:rsid w:val="00131C0F"/>
    <w:rsid w:val="00131D3B"/>
    <w:rsid w:val="00131D7D"/>
    <w:rsid w:val="00131FB4"/>
    <w:rsid w:val="0013211B"/>
    <w:rsid w:val="0013217D"/>
    <w:rsid w:val="001322AB"/>
    <w:rsid w:val="001326B3"/>
    <w:rsid w:val="00132907"/>
    <w:rsid w:val="0013293D"/>
    <w:rsid w:val="00132950"/>
    <w:rsid w:val="00132A97"/>
    <w:rsid w:val="00132A98"/>
    <w:rsid w:val="00132BF3"/>
    <w:rsid w:val="00132D31"/>
    <w:rsid w:val="00132EB9"/>
    <w:rsid w:val="00132F47"/>
    <w:rsid w:val="0013303F"/>
    <w:rsid w:val="00133181"/>
    <w:rsid w:val="001331CD"/>
    <w:rsid w:val="001332A2"/>
    <w:rsid w:val="00133347"/>
    <w:rsid w:val="0013335A"/>
    <w:rsid w:val="0013346C"/>
    <w:rsid w:val="001334C1"/>
    <w:rsid w:val="0013359C"/>
    <w:rsid w:val="00133686"/>
    <w:rsid w:val="001336DA"/>
    <w:rsid w:val="00133906"/>
    <w:rsid w:val="00133AC5"/>
    <w:rsid w:val="00133F2B"/>
    <w:rsid w:val="00133FF9"/>
    <w:rsid w:val="00134382"/>
    <w:rsid w:val="00134475"/>
    <w:rsid w:val="00134581"/>
    <w:rsid w:val="00134653"/>
    <w:rsid w:val="001348CB"/>
    <w:rsid w:val="00134DD4"/>
    <w:rsid w:val="00134E34"/>
    <w:rsid w:val="00134E4A"/>
    <w:rsid w:val="00134F0B"/>
    <w:rsid w:val="00134FF7"/>
    <w:rsid w:val="00135196"/>
    <w:rsid w:val="00135215"/>
    <w:rsid w:val="001353F8"/>
    <w:rsid w:val="001356A0"/>
    <w:rsid w:val="00135738"/>
    <w:rsid w:val="0013582D"/>
    <w:rsid w:val="00135A8D"/>
    <w:rsid w:val="00135EA4"/>
    <w:rsid w:val="00135F92"/>
    <w:rsid w:val="0013604B"/>
    <w:rsid w:val="0013614D"/>
    <w:rsid w:val="0013677A"/>
    <w:rsid w:val="001367BD"/>
    <w:rsid w:val="00136BCA"/>
    <w:rsid w:val="00136BF9"/>
    <w:rsid w:val="00136CFA"/>
    <w:rsid w:val="0013722D"/>
    <w:rsid w:val="001375AB"/>
    <w:rsid w:val="00137C2E"/>
    <w:rsid w:val="00137C45"/>
    <w:rsid w:val="00137D36"/>
    <w:rsid w:val="00137F86"/>
    <w:rsid w:val="001401A5"/>
    <w:rsid w:val="001401B5"/>
    <w:rsid w:val="001401D2"/>
    <w:rsid w:val="00140208"/>
    <w:rsid w:val="001406DC"/>
    <w:rsid w:val="0014081B"/>
    <w:rsid w:val="00140BD4"/>
    <w:rsid w:val="00140CA9"/>
    <w:rsid w:val="00140D8C"/>
    <w:rsid w:val="00140F7D"/>
    <w:rsid w:val="00141059"/>
    <w:rsid w:val="0014112E"/>
    <w:rsid w:val="001412E6"/>
    <w:rsid w:val="00141717"/>
    <w:rsid w:val="001417EE"/>
    <w:rsid w:val="00141936"/>
    <w:rsid w:val="00141AF6"/>
    <w:rsid w:val="00141B55"/>
    <w:rsid w:val="00141F30"/>
    <w:rsid w:val="00141FEE"/>
    <w:rsid w:val="001420A3"/>
    <w:rsid w:val="00142166"/>
    <w:rsid w:val="00142528"/>
    <w:rsid w:val="00142736"/>
    <w:rsid w:val="001427DF"/>
    <w:rsid w:val="00142AE8"/>
    <w:rsid w:val="00142B01"/>
    <w:rsid w:val="00142C17"/>
    <w:rsid w:val="00142EC3"/>
    <w:rsid w:val="00142F0E"/>
    <w:rsid w:val="00143043"/>
    <w:rsid w:val="00143088"/>
    <w:rsid w:val="00143213"/>
    <w:rsid w:val="00143367"/>
    <w:rsid w:val="001433C3"/>
    <w:rsid w:val="001434CE"/>
    <w:rsid w:val="00143753"/>
    <w:rsid w:val="00143991"/>
    <w:rsid w:val="001439EF"/>
    <w:rsid w:val="00143B17"/>
    <w:rsid w:val="00143E36"/>
    <w:rsid w:val="0014401E"/>
    <w:rsid w:val="00144338"/>
    <w:rsid w:val="00144AAB"/>
    <w:rsid w:val="00144ADD"/>
    <w:rsid w:val="00144B6F"/>
    <w:rsid w:val="0014507B"/>
    <w:rsid w:val="001450D6"/>
    <w:rsid w:val="001451CA"/>
    <w:rsid w:val="001452A1"/>
    <w:rsid w:val="001452EE"/>
    <w:rsid w:val="0014566D"/>
    <w:rsid w:val="001458A1"/>
    <w:rsid w:val="001458BA"/>
    <w:rsid w:val="0014597D"/>
    <w:rsid w:val="00145B91"/>
    <w:rsid w:val="00145BA1"/>
    <w:rsid w:val="00145CB5"/>
    <w:rsid w:val="00145D46"/>
    <w:rsid w:val="00145F95"/>
    <w:rsid w:val="00146642"/>
    <w:rsid w:val="00146C83"/>
    <w:rsid w:val="00146E7E"/>
    <w:rsid w:val="00146E80"/>
    <w:rsid w:val="00147035"/>
    <w:rsid w:val="001470C9"/>
    <w:rsid w:val="001470F4"/>
    <w:rsid w:val="001476BB"/>
    <w:rsid w:val="00147769"/>
    <w:rsid w:val="0014776A"/>
    <w:rsid w:val="001477FD"/>
    <w:rsid w:val="001479AA"/>
    <w:rsid w:val="00147BC7"/>
    <w:rsid w:val="001500CC"/>
    <w:rsid w:val="00150126"/>
    <w:rsid w:val="0015035D"/>
    <w:rsid w:val="00150374"/>
    <w:rsid w:val="001504F5"/>
    <w:rsid w:val="0015066C"/>
    <w:rsid w:val="001506B0"/>
    <w:rsid w:val="0015078F"/>
    <w:rsid w:val="001511BA"/>
    <w:rsid w:val="00151584"/>
    <w:rsid w:val="00151757"/>
    <w:rsid w:val="001518B5"/>
    <w:rsid w:val="00151A4B"/>
    <w:rsid w:val="00151B3E"/>
    <w:rsid w:val="00151BC5"/>
    <w:rsid w:val="00151D8E"/>
    <w:rsid w:val="001522FB"/>
    <w:rsid w:val="00152666"/>
    <w:rsid w:val="00152B6C"/>
    <w:rsid w:val="00152BB3"/>
    <w:rsid w:val="00152F0F"/>
    <w:rsid w:val="001539A7"/>
    <w:rsid w:val="00153BA4"/>
    <w:rsid w:val="00153CAC"/>
    <w:rsid w:val="00154002"/>
    <w:rsid w:val="00154086"/>
    <w:rsid w:val="0015418C"/>
    <w:rsid w:val="0015430A"/>
    <w:rsid w:val="0015449A"/>
    <w:rsid w:val="001544FE"/>
    <w:rsid w:val="001546E4"/>
    <w:rsid w:val="00154B0E"/>
    <w:rsid w:val="00154F7E"/>
    <w:rsid w:val="001550DB"/>
    <w:rsid w:val="00155107"/>
    <w:rsid w:val="00155479"/>
    <w:rsid w:val="0015548B"/>
    <w:rsid w:val="00155809"/>
    <w:rsid w:val="001558BF"/>
    <w:rsid w:val="001558C7"/>
    <w:rsid w:val="00155A3C"/>
    <w:rsid w:val="00155C31"/>
    <w:rsid w:val="00155D64"/>
    <w:rsid w:val="00155D6B"/>
    <w:rsid w:val="00155E7F"/>
    <w:rsid w:val="00156010"/>
    <w:rsid w:val="00156261"/>
    <w:rsid w:val="00156359"/>
    <w:rsid w:val="00156788"/>
    <w:rsid w:val="00156A61"/>
    <w:rsid w:val="00156AD9"/>
    <w:rsid w:val="00156BE8"/>
    <w:rsid w:val="00156C7D"/>
    <w:rsid w:val="00156E57"/>
    <w:rsid w:val="00156F79"/>
    <w:rsid w:val="001575AA"/>
    <w:rsid w:val="001575FC"/>
    <w:rsid w:val="00157840"/>
    <w:rsid w:val="00157D51"/>
    <w:rsid w:val="00157DD1"/>
    <w:rsid w:val="0016025B"/>
    <w:rsid w:val="0016028E"/>
    <w:rsid w:val="001604F8"/>
    <w:rsid w:val="00160977"/>
    <w:rsid w:val="00160A08"/>
    <w:rsid w:val="00160B2F"/>
    <w:rsid w:val="00160BA1"/>
    <w:rsid w:val="00160C1D"/>
    <w:rsid w:val="00161059"/>
    <w:rsid w:val="0016123C"/>
    <w:rsid w:val="001615D5"/>
    <w:rsid w:val="001617FB"/>
    <w:rsid w:val="00161AED"/>
    <w:rsid w:val="00161F30"/>
    <w:rsid w:val="00162868"/>
    <w:rsid w:val="00162889"/>
    <w:rsid w:val="001628FF"/>
    <w:rsid w:val="00162B60"/>
    <w:rsid w:val="00162B8F"/>
    <w:rsid w:val="00162C06"/>
    <w:rsid w:val="00162D74"/>
    <w:rsid w:val="00162FFF"/>
    <w:rsid w:val="0016387F"/>
    <w:rsid w:val="00163A78"/>
    <w:rsid w:val="00163F47"/>
    <w:rsid w:val="001642AC"/>
    <w:rsid w:val="001645B8"/>
    <w:rsid w:val="00164602"/>
    <w:rsid w:val="0016461F"/>
    <w:rsid w:val="001647B6"/>
    <w:rsid w:val="00164A26"/>
    <w:rsid w:val="00164B03"/>
    <w:rsid w:val="00164BB2"/>
    <w:rsid w:val="00164C16"/>
    <w:rsid w:val="00164C48"/>
    <w:rsid w:val="00164E83"/>
    <w:rsid w:val="00165131"/>
    <w:rsid w:val="001655A8"/>
    <w:rsid w:val="001659B4"/>
    <w:rsid w:val="001659D9"/>
    <w:rsid w:val="00165CCA"/>
    <w:rsid w:val="00165CFB"/>
    <w:rsid w:val="00165D63"/>
    <w:rsid w:val="001665B2"/>
    <w:rsid w:val="00166B1D"/>
    <w:rsid w:val="00166B55"/>
    <w:rsid w:val="00166C5E"/>
    <w:rsid w:val="00166C7C"/>
    <w:rsid w:val="00166D50"/>
    <w:rsid w:val="00166DF8"/>
    <w:rsid w:val="00166ED9"/>
    <w:rsid w:val="00166EEA"/>
    <w:rsid w:val="00166F05"/>
    <w:rsid w:val="00166FA3"/>
    <w:rsid w:val="0016733A"/>
    <w:rsid w:val="0016747B"/>
    <w:rsid w:val="00167538"/>
    <w:rsid w:val="001675A3"/>
    <w:rsid w:val="001675C4"/>
    <w:rsid w:val="00167720"/>
    <w:rsid w:val="001677D0"/>
    <w:rsid w:val="001677D4"/>
    <w:rsid w:val="00167C89"/>
    <w:rsid w:val="00167CAB"/>
    <w:rsid w:val="00167E4E"/>
    <w:rsid w:val="00167E76"/>
    <w:rsid w:val="00167EA7"/>
    <w:rsid w:val="0017027D"/>
    <w:rsid w:val="001705B8"/>
    <w:rsid w:val="00170618"/>
    <w:rsid w:val="00170C8D"/>
    <w:rsid w:val="00170CFD"/>
    <w:rsid w:val="00170D13"/>
    <w:rsid w:val="00170DA3"/>
    <w:rsid w:val="00170DD7"/>
    <w:rsid w:val="00170FEE"/>
    <w:rsid w:val="0017131E"/>
    <w:rsid w:val="00171569"/>
    <w:rsid w:val="001717AB"/>
    <w:rsid w:val="001719A2"/>
    <w:rsid w:val="00171ABA"/>
    <w:rsid w:val="00171BDC"/>
    <w:rsid w:val="00171BEE"/>
    <w:rsid w:val="00171C0F"/>
    <w:rsid w:val="00171DAD"/>
    <w:rsid w:val="00171E96"/>
    <w:rsid w:val="00172066"/>
    <w:rsid w:val="00172189"/>
    <w:rsid w:val="001721BC"/>
    <w:rsid w:val="00172436"/>
    <w:rsid w:val="001724E7"/>
    <w:rsid w:val="001726A4"/>
    <w:rsid w:val="001727A2"/>
    <w:rsid w:val="00172A27"/>
    <w:rsid w:val="00172D92"/>
    <w:rsid w:val="001732A7"/>
    <w:rsid w:val="001735D3"/>
    <w:rsid w:val="00173A1C"/>
    <w:rsid w:val="00173C88"/>
    <w:rsid w:val="00173D7B"/>
    <w:rsid w:val="00173DCC"/>
    <w:rsid w:val="00173E9A"/>
    <w:rsid w:val="00173ED9"/>
    <w:rsid w:val="00174172"/>
    <w:rsid w:val="0017426B"/>
    <w:rsid w:val="00174389"/>
    <w:rsid w:val="001745B1"/>
    <w:rsid w:val="001746B6"/>
    <w:rsid w:val="00174740"/>
    <w:rsid w:val="00174AD4"/>
    <w:rsid w:val="00174CAF"/>
    <w:rsid w:val="00174D84"/>
    <w:rsid w:val="00174DC2"/>
    <w:rsid w:val="00174EED"/>
    <w:rsid w:val="001751CA"/>
    <w:rsid w:val="001753E5"/>
    <w:rsid w:val="0017542E"/>
    <w:rsid w:val="00175543"/>
    <w:rsid w:val="00175565"/>
    <w:rsid w:val="001758A5"/>
    <w:rsid w:val="00175919"/>
    <w:rsid w:val="00175D85"/>
    <w:rsid w:val="001760F5"/>
    <w:rsid w:val="001761DA"/>
    <w:rsid w:val="0017621E"/>
    <w:rsid w:val="001762EE"/>
    <w:rsid w:val="00176381"/>
    <w:rsid w:val="0017654A"/>
    <w:rsid w:val="0017656E"/>
    <w:rsid w:val="00176718"/>
    <w:rsid w:val="00176CB9"/>
    <w:rsid w:val="00176DCD"/>
    <w:rsid w:val="00177059"/>
    <w:rsid w:val="00177215"/>
    <w:rsid w:val="001772C6"/>
    <w:rsid w:val="001774CA"/>
    <w:rsid w:val="00177583"/>
    <w:rsid w:val="00177632"/>
    <w:rsid w:val="00177781"/>
    <w:rsid w:val="0017783B"/>
    <w:rsid w:val="001778D5"/>
    <w:rsid w:val="00177937"/>
    <w:rsid w:val="001779EC"/>
    <w:rsid w:val="00177AA1"/>
    <w:rsid w:val="00177CAA"/>
    <w:rsid w:val="0018013E"/>
    <w:rsid w:val="00180243"/>
    <w:rsid w:val="00180297"/>
    <w:rsid w:val="001802D1"/>
    <w:rsid w:val="00180664"/>
    <w:rsid w:val="001809E7"/>
    <w:rsid w:val="00180B80"/>
    <w:rsid w:val="00180E58"/>
    <w:rsid w:val="00181160"/>
    <w:rsid w:val="001811E7"/>
    <w:rsid w:val="001811F0"/>
    <w:rsid w:val="0018158E"/>
    <w:rsid w:val="0018159E"/>
    <w:rsid w:val="001815E7"/>
    <w:rsid w:val="001816AD"/>
    <w:rsid w:val="001817FE"/>
    <w:rsid w:val="00181898"/>
    <w:rsid w:val="0018190C"/>
    <w:rsid w:val="00181A14"/>
    <w:rsid w:val="00181C7C"/>
    <w:rsid w:val="00181D07"/>
    <w:rsid w:val="001820C5"/>
    <w:rsid w:val="001824F5"/>
    <w:rsid w:val="00182D2E"/>
    <w:rsid w:val="00182DD0"/>
    <w:rsid w:val="00182EE3"/>
    <w:rsid w:val="00182FB8"/>
    <w:rsid w:val="00183216"/>
    <w:rsid w:val="00183310"/>
    <w:rsid w:val="00183377"/>
    <w:rsid w:val="00183425"/>
    <w:rsid w:val="00183596"/>
    <w:rsid w:val="00183BC7"/>
    <w:rsid w:val="00183DC8"/>
    <w:rsid w:val="00183F8B"/>
    <w:rsid w:val="00184268"/>
    <w:rsid w:val="001842E3"/>
    <w:rsid w:val="00184544"/>
    <w:rsid w:val="001845E7"/>
    <w:rsid w:val="001847A7"/>
    <w:rsid w:val="0018492D"/>
    <w:rsid w:val="00184A02"/>
    <w:rsid w:val="00184A32"/>
    <w:rsid w:val="00184D78"/>
    <w:rsid w:val="00184FA1"/>
    <w:rsid w:val="0018514B"/>
    <w:rsid w:val="001852AE"/>
    <w:rsid w:val="00185393"/>
    <w:rsid w:val="0018574C"/>
    <w:rsid w:val="00185792"/>
    <w:rsid w:val="00185E8F"/>
    <w:rsid w:val="00185E9C"/>
    <w:rsid w:val="00186066"/>
    <w:rsid w:val="001861A8"/>
    <w:rsid w:val="001863A3"/>
    <w:rsid w:val="001863D1"/>
    <w:rsid w:val="0018675C"/>
    <w:rsid w:val="00186BA3"/>
    <w:rsid w:val="00186C09"/>
    <w:rsid w:val="00186F80"/>
    <w:rsid w:val="00186F8C"/>
    <w:rsid w:val="0018723D"/>
    <w:rsid w:val="00187FC0"/>
    <w:rsid w:val="0019038A"/>
    <w:rsid w:val="001903DD"/>
    <w:rsid w:val="001905EB"/>
    <w:rsid w:val="001906E2"/>
    <w:rsid w:val="00190767"/>
    <w:rsid w:val="001909A1"/>
    <w:rsid w:val="001909AB"/>
    <w:rsid w:val="00190C51"/>
    <w:rsid w:val="00190D73"/>
    <w:rsid w:val="00190DB3"/>
    <w:rsid w:val="00190F5A"/>
    <w:rsid w:val="0019120A"/>
    <w:rsid w:val="001912F1"/>
    <w:rsid w:val="00191311"/>
    <w:rsid w:val="00191348"/>
    <w:rsid w:val="0019185F"/>
    <w:rsid w:val="00191863"/>
    <w:rsid w:val="0019198C"/>
    <w:rsid w:val="0019209E"/>
    <w:rsid w:val="001924AD"/>
    <w:rsid w:val="0019288D"/>
    <w:rsid w:val="00192A2E"/>
    <w:rsid w:val="00192B25"/>
    <w:rsid w:val="001930E2"/>
    <w:rsid w:val="00193220"/>
    <w:rsid w:val="001934A4"/>
    <w:rsid w:val="00193521"/>
    <w:rsid w:val="0019368B"/>
    <w:rsid w:val="00193707"/>
    <w:rsid w:val="0019386F"/>
    <w:rsid w:val="00193AF3"/>
    <w:rsid w:val="00193B1F"/>
    <w:rsid w:val="00193EBC"/>
    <w:rsid w:val="00193F3C"/>
    <w:rsid w:val="00193F6F"/>
    <w:rsid w:val="00194123"/>
    <w:rsid w:val="001942C5"/>
    <w:rsid w:val="001943F2"/>
    <w:rsid w:val="001945EC"/>
    <w:rsid w:val="00194782"/>
    <w:rsid w:val="001948C5"/>
    <w:rsid w:val="00194A2A"/>
    <w:rsid w:val="001951EB"/>
    <w:rsid w:val="00195838"/>
    <w:rsid w:val="0019595A"/>
    <w:rsid w:val="00195BC9"/>
    <w:rsid w:val="00195CEB"/>
    <w:rsid w:val="00195F26"/>
    <w:rsid w:val="0019605D"/>
    <w:rsid w:val="00196097"/>
    <w:rsid w:val="00196182"/>
    <w:rsid w:val="00196191"/>
    <w:rsid w:val="00196217"/>
    <w:rsid w:val="001965BF"/>
    <w:rsid w:val="0019675C"/>
    <w:rsid w:val="001967AA"/>
    <w:rsid w:val="00196AC4"/>
    <w:rsid w:val="00196C3A"/>
    <w:rsid w:val="00196E0D"/>
    <w:rsid w:val="00196E46"/>
    <w:rsid w:val="00196EDC"/>
    <w:rsid w:val="0019700D"/>
    <w:rsid w:val="0019722D"/>
    <w:rsid w:val="00197539"/>
    <w:rsid w:val="001978A2"/>
    <w:rsid w:val="0019792C"/>
    <w:rsid w:val="001979BE"/>
    <w:rsid w:val="00197A43"/>
    <w:rsid w:val="00197B23"/>
    <w:rsid w:val="00197B56"/>
    <w:rsid w:val="00197C35"/>
    <w:rsid w:val="00197CA4"/>
    <w:rsid w:val="001A0055"/>
    <w:rsid w:val="001A0131"/>
    <w:rsid w:val="001A014D"/>
    <w:rsid w:val="001A048F"/>
    <w:rsid w:val="001A07BA"/>
    <w:rsid w:val="001A08AA"/>
    <w:rsid w:val="001A0A38"/>
    <w:rsid w:val="001A0A8A"/>
    <w:rsid w:val="001A0A95"/>
    <w:rsid w:val="001A0AD9"/>
    <w:rsid w:val="001A0B16"/>
    <w:rsid w:val="001A0B84"/>
    <w:rsid w:val="001A0D2B"/>
    <w:rsid w:val="001A0EF8"/>
    <w:rsid w:val="001A0F2A"/>
    <w:rsid w:val="001A0FDC"/>
    <w:rsid w:val="001A10A3"/>
    <w:rsid w:val="001A116E"/>
    <w:rsid w:val="001A1B7D"/>
    <w:rsid w:val="001A1D16"/>
    <w:rsid w:val="001A1E59"/>
    <w:rsid w:val="001A1F20"/>
    <w:rsid w:val="001A1FA9"/>
    <w:rsid w:val="001A209B"/>
    <w:rsid w:val="001A2253"/>
    <w:rsid w:val="001A2328"/>
    <w:rsid w:val="001A2485"/>
    <w:rsid w:val="001A2934"/>
    <w:rsid w:val="001A2B52"/>
    <w:rsid w:val="001A2D78"/>
    <w:rsid w:val="001A2EC8"/>
    <w:rsid w:val="001A30FE"/>
    <w:rsid w:val="001A3100"/>
    <w:rsid w:val="001A314E"/>
    <w:rsid w:val="001A31A0"/>
    <w:rsid w:val="001A3209"/>
    <w:rsid w:val="001A3319"/>
    <w:rsid w:val="001A378C"/>
    <w:rsid w:val="001A37F0"/>
    <w:rsid w:val="001A3917"/>
    <w:rsid w:val="001A3A69"/>
    <w:rsid w:val="001A3B7E"/>
    <w:rsid w:val="001A3E43"/>
    <w:rsid w:val="001A4106"/>
    <w:rsid w:val="001A43E0"/>
    <w:rsid w:val="001A47E1"/>
    <w:rsid w:val="001A4939"/>
    <w:rsid w:val="001A4A86"/>
    <w:rsid w:val="001A4A89"/>
    <w:rsid w:val="001A4BBE"/>
    <w:rsid w:val="001A4D1F"/>
    <w:rsid w:val="001A551E"/>
    <w:rsid w:val="001A5602"/>
    <w:rsid w:val="001A565F"/>
    <w:rsid w:val="001A56EC"/>
    <w:rsid w:val="001A5711"/>
    <w:rsid w:val="001A59D7"/>
    <w:rsid w:val="001A5E0D"/>
    <w:rsid w:val="001A603F"/>
    <w:rsid w:val="001A62FF"/>
    <w:rsid w:val="001A6532"/>
    <w:rsid w:val="001A65A1"/>
    <w:rsid w:val="001A6857"/>
    <w:rsid w:val="001A68E9"/>
    <w:rsid w:val="001A6AD5"/>
    <w:rsid w:val="001A6B03"/>
    <w:rsid w:val="001A6B43"/>
    <w:rsid w:val="001A6DF0"/>
    <w:rsid w:val="001A6FC9"/>
    <w:rsid w:val="001A71AE"/>
    <w:rsid w:val="001A71C0"/>
    <w:rsid w:val="001A7231"/>
    <w:rsid w:val="001A7265"/>
    <w:rsid w:val="001A72B9"/>
    <w:rsid w:val="001A72EA"/>
    <w:rsid w:val="001A7951"/>
    <w:rsid w:val="001A7A60"/>
    <w:rsid w:val="001A7B8C"/>
    <w:rsid w:val="001B00CE"/>
    <w:rsid w:val="001B0147"/>
    <w:rsid w:val="001B04C5"/>
    <w:rsid w:val="001B07D1"/>
    <w:rsid w:val="001B0924"/>
    <w:rsid w:val="001B0ACF"/>
    <w:rsid w:val="001B0ADB"/>
    <w:rsid w:val="001B0BA6"/>
    <w:rsid w:val="001B0D97"/>
    <w:rsid w:val="001B1998"/>
    <w:rsid w:val="001B1B41"/>
    <w:rsid w:val="001B1BBD"/>
    <w:rsid w:val="001B1CD9"/>
    <w:rsid w:val="001B1E72"/>
    <w:rsid w:val="001B1EB4"/>
    <w:rsid w:val="001B21C5"/>
    <w:rsid w:val="001B21F2"/>
    <w:rsid w:val="001B22A4"/>
    <w:rsid w:val="001B232C"/>
    <w:rsid w:val="001B235F"/>
    <w:rsid w:val="001B23A9"/>
    <w:rsid w:val="001B25C4"/>
    <w:rsid w:val="001B28D5"/>
    <w:rsid w:val="001B29D2"/>
    <w:rsid w:val="001B2C76"/>
    <w:rsid w:val="001B2D16"/>
    <w:rsid w:val="001B3322"/>
    <w:rsid w:val="001B3391"/>
    <w:rsid w:val="001B398A"/>
    <w:rsid w:val="001B3C4F"/>
    <w:rsid w:val="001B3C5F"/>
    <w:rsid w:val="001B4011"/>
    <w:rsid w:val="001B4404"/>
    <w:rsid w:val="001B44DF"/>
    <w:rsid w:val="001B44ED"/>
    <w:rsid w:val="001B4C21"/>
    <w:rsid w:val="001B4D82"/>
    <w:rsid w:val="001B4D96"/>
    <w:rsid w:val="001B4DDB"/>
    <w:rsid w:val="001B4E05"/>
    <w:rsid w:val="001B4E75"/>
    <w:rsid w:val="001B4F23"/>
    <w:rsid w:val="001B51B9"/>
    <w:rsid w:val="001B5692"/>
    <w:rsid w:val="001B5A85"/>
    <w:rsid w:val="001B5A9C"/>
    <w:rsid w:val="001B5C07"/>
    <w:rsid w:val="001B5CEB"/>
    <w:rsid w:val="001B5F66"/>
    <w:rsid w:val="001B5F93"/>
    <w:rsid w:val="001B5F9A"/>
    <w:rsid w:val="001B61CB"/>
    <w:rsid w:val="001B633D"/>
    <w:rsid w:val="001B6B99"/>
    <w:rsid w:val="001B6BB5"/>
    <w:rsid w:val="001B6C17"/>
    <w:rsid w:val="001B6D30"/>
    <w:rsid w:val="001B708F"/>
    <w:rsid w:val="001B7146"/>
    <w:rsid w:val="001B75C1"/>
    <w:rsid w:val="001B780B"/>
    <w:rsid w:val="001B791D"/>
    <w:rsid w:val="001B7A7D"/>
    <w:rsid w:val="001B7DD5"/>
    <w:rsid w:val="001B7EBE"/>
    <w:rsid w:val="001B7ED2"/>
    <w:rsid w:val="001B7F99"/>
    <w:rsid w:val="001B7FF5"/>
    <w:rsid w:val="001C0046"/>
    <w:rsid w:val="001C0156"/>
    <w:rsid w:val="001C0331"/>
    <w:rsid w:val="001C04AD"/>
    <w:rsid w:val="001C04EF"/>
    <w:rsid w:val="001C04FD"/>
    <w:rsid w:val="001C05BA"/>
    <w:rsid w:val="001C0660"/>
    <w:rsid w:val="001C07E3"/>
    <w:rsid w:val="001C0944"/>
    <w:rsid w:val="001C0C35"/>
    <w:rsid w:val="001C0CA8"/>
    <w:rsid w:val="001C0E64"/>
    <w:rsid w:val="001C1320"/>
    <w:rsid w:val="001C1415"/>
    <w:rsid w:val="001C14E8"/>
    <w:rsid w:val="001C185E"/>
    <w:rsid w:val="001C1D7D"/>
    <w:rsid w:val="001C1D92"/>
    <w:rsid w:val="001C1D9C"/>
    <w:rsid w:val="001C2328"/>
    <w:rsid w:val="001C241D"/>
    <w:rsid w:val="001C2541"/>
    <w:rsid w:val="001C2563"/>
    <w:rsid w:val="001C2578"/>
    <w:rsid w:val="001C26B3"/>
    <w:rsid w:val="001C2F05"/>
    <w:rsid w:val="001C2FAB"/>
    <w:rsid w:val="001C3084"/>
    <w:rsid w:val="001C3473"/>
    <w:rsid w:val="001C3623"/>
    <w:rsid w:val="001C3654"/>
    <w:rsid w:val="001C3A29"/>
    <w:rsid w:val="001C43D8"/>
    <w:rsid w:val="001C45BE"/>
    <w:rsid w:val="001C46A0"/>
    <w:rsid w:val="001C4753"/>
    <w:rsid w:val="001C48B1"/>
    <w:rsid w:val="001C496C"/>
    <w:rsid w:val="001C49FC"/>
    <w:rsid w:val="001C4E5C"/>
    <w:rsid w:val="001C52C3"/>
    <w:rsid w:val="001C5851"/>
    <w:rsid w:val="001C5ED0"/>
    <w:rsid w:val="001C5F6D"/>
    <w:rsid w:val="001C5F84"/>
    <w:rsid w:val="001C60CC"/>
    <w:rsid w:val="001C6490"/>
    <w:rsid w:val="001C6663"/>
    <w:rsid w:val="001C681F"/>
    <w:rsid w:val="001C6967"/>
    <w:rsid w:val="001C6B27"/>
    <w:rsid w:val="001C6D66"/>
    <w:rsid w:val="001C6DAC"/>
    <w:rsid w:val="001C70E4"/>
    <w:rsid w:val="001C721F"/>
    <w:rsid w:val="001C728A"/>
    <w:rsid w:val="001C7672"/>
    <w:rsid w:val="001C76C9"/>
    <w:rsid w:val="001C771F"/>
    <w:rsid w:val="001C7722"/>
    <w:rsid w:val="001C7AE7"/>
    <w:rsid w:val="001D0239"/>
    <w:rsid w:val="001D02FA"/>
    <w:rsid w:val="001D055B"/>
    <w:rsid w:val="001D065C"/>
    <w:rsid w:val="001D0664"/>
    <w:rsid w:val="001D08C5"/>
    <w:rsid w:val="001D0A04"/>
    <w:rsid w:val="001D0B5B"/>
    <w:rsid w:val="001D12BF"/>
    <w:rsid w:val="001D131C"/>
    <w:rsid w:val="001D13BE"/>
    <w:rsid w:val="001D168A"/>
    <w:rsid w:val="001D18FA"/>
    <w:rsid w:val="001D191C"/>
    <w:rsid w:val="001D196C"/>
    <w:rsid w:val="001D19CB"/>
    <w:rsid w:val="001D19DC"/>
    <w:rsid w:val="001D235A"/>
    <w:rsid w:val="001D23ED"/>
    <w:rsid w:val="001D240B"/>
    <w:rsid w:val="001D2418"/>
    <w:rsid w:val="001D2951"/>
    <w:rsid w:val="001D2D61"/>
    <w:rsid w:val="001D2F38"/>
    <w:rsid w:val="001D3267"/>
    <w:rsid w:val="001D349F"/>
    <w:rsid w:val="001D3893"/>
    <w:rsid w:val="001D3A17"/>
    <w:rsid w:val="001D3AEC"/>
    <w:rsid w:val="001D3CC6"/>
    <w:rsid w:val="001D3D36"/>
    <w:rsid w:val="001D3D8E"/>
    <w:rsid w:val="001D3E00"/>
    <w:rsid w:val="001D3E34"/>
    <w:rsid w:val="001D3E7A"/>
    <w:rsid w:val="001D4181"/>
    <w:rsid w:val="001D42C3"/>
    <w:rsid w:val="001D42FC"/>
    <w:rsid w:val="001D4303"/>
    <w:rsid w:val="001D4350"/>
    <w:rsid w:val="001D43EE"/>
    <w:rsid w:val="001D43FC"/>
    <w:rsid w:val="001D441B"/>
    <w:rsid w:val="001D46A0"/>
    <w:rsid w:val="001D488A"/>
    <w:rsid w:val="001D5069"/>
    <w:rsid w:val="001D5234"/>
    <w:rsid w:val="001D5282"/>
    <w:rsid w:val="001D570C"/>
    <w:rsid w:val="001D57C1"/>
    <w:rsid w:val="001D5910"/>
    <w:rsid w:val="001D5B45"/>
    <w:rsid w:val="001D5C51"/>
    <w:rsid w:val="001D63B8"/>
    <w:rsid w:val="001D654B"/>
    <w:rsid w:val="001D66A0"/>
    <w:rsid w:val="001D67EF"/>
    <w:rsid w:val="001D6C20"/>
    <w:rsid w:val="001D6C91"/>
    <w:rsid w:val="001D6D4E"/>
    <w:rsid w:val="001D6F37"/>
    <w:rsid w:val="001D7306"/>
    <w:rsid w:val="001D7349"/>
    <w:rsid w:val="001D75FA"/>
    <w:rsid w:val="001D761B"/>
    <w:rsid w:val="001D7756"/>
    <w:rsid w:val="001D779B"/>
    <w:rsid w:val="001D7990"/>
    <w:rsid w:val="001D79FE"/>
    <w:rsid w:val="001D7B59"/>
    <w:rsid w:val="001D7CCD"/>
    <w:rsid w:val="001D7CD6"/>
    <w:rsid w:val="001E0081"/>
    <w:rsid w:val="001E022D"/>
    <w:rsid w:val="001E0329"/>
    <w:rsid w:val="001E0488"/>
    <w:rsid w:val="001E05A3"/>
    <w:rsid w:val="001E06EF"/>
    <w:rsid w:val="001E09E9"/>
    <w:rsid w:val="001E0B1E"/>
    <w:rsid w:val="001E0E68"/>
    <w:rsid w:val="001E0F59"/>
    <w:rsid w:val="001E127F"/>
    <w:rsid w:val="001E1321"/>
    <w:rsid w:val="001E1560"/>
    <w:rsid w:val="001E17CB"/>
    <w:rsid w:val="001E18CE"/>
    <w:rsid w:val="001E1938"/>
    <w:rsid w:val="001E1A52"/>
    <w:rsid w:val="001E1A9E"/>
    <w:rsid w:val="001E1B41"/>
    <w:rsid w:val="001E1C12"/>
    <w:rsid w:val="001E1C1D"/>
    <w:rsid w:val="001E1CBB"/>
    <w:rsid w:val="001E1DF4"/>
    <w:rsid w:val="001E1EF9"/>
    <w:rsid w:val="001E1FAA"/>
    <w:rsid w:val="001E2027"/>
    <w:rsid w:val="001E2206"/>
    <w:rsid w:val="001E2328"/>
    <w:rsid w:val="001E2474"/>
    <w:rsid w:val="001E25F9"/>
    <w:rsid w:val="001E25FB"/>
    <w:rsid w:val="001E2A94"/>
    <w:rsid w:val="001E2AA3"/>
    <w:rsid w:val="001E2C1B"/>
    <w:rsid w:val="001E2E8F"/>
    <w:rsid w:val="001E2E9D"/>
    <w:rsid w:val="001E2F8F"/>
    <w:rsid w:val="001E3619"/>
    <w:rsid w:val="001E37CE"/>
    <w:rsid w:val="001E3B8A"/>
    <w:rsid w:val="001E3C29"/>
    <w:rsid w:val="001E3DAC"/>
    <w:rsid w:val="001E3F94"/>
    <w:rsid w:val="001E4140"/>
    <w:rsid w:val="001E44D0"/>
    <w:rsid w:val="001E4DB7"/>
    <w:rsid w:val="001E4E49"/>
    <w:rsid w:val="001E4E54"/>
    <w:rsid w:val="001E50F3"/>
    <w:rsid w:val="001E51B5"/>
    <w:rsid w:val="001E51B9"/>
    <w:rsid w:val="001E545D"/>
    <w:rsid w:val="001E5660"/>
    <w:rsid w:val="001E57E4"/>
    <w:rsid w:val="001E5832"/>
    <w:rsid w:val="001E592B"/>
    <w:rsid w:val="001E5BC4"/>
    <w:rsid w:val="001E5E1D"/>
    <w:rsid w:val="001E60EA"/>
    <w:rsid w:val="001E62E8"/>
    <w:rsid w:val="001E6705"/>
    <w:rsid w:val="001E693F"/>
    <w:rsid w:val="001E6CFE"/>
    <w:rsid w:val="001E6E10"/>
    <w:rsid w:val="001E6E7D"/>
    <w:rsid w:val="001E6F11"/>
    <w:rsid w:val="001E6FBE"/>
    <w:rsid w:val="001E7024"/>
    <w:rsid w:val="001E7146"/>
    <w:rsid w:val="001E71AD"/>
    <w:rsid w:val="001E7243"/>
    <w:rsid w:val="001E724C"/>
    <w:rsid w:val="001E7257"/>
    <w:rsid w:val="001E72B5"/>
    <w:rsid w:val="001E74CF"/>
    <w:rsid w:val="001E7501"/>
    <w:rsid w:val="001E751B"/>
    <w:rsid w:val="001E75E4"/>
    <w:rsid w:val="001E77C3"/>
    <w:rsid w:val="001E7867"/>
    <w:rsid w:val="001E7918"/>
    <w:rsid w:val="001E7AC3"/>
    <w:rsid w:val="001E7BDB"/>
    <w:rsid w:val="001E7F2D"/>
    <w:rsid w:val="001E7FE6"/>
    <w:rsid w:val="001F01DA"/>
    <w:rsid w:val="001F0261"/>
    <w:rsid w:val="001F080B"/>
    <w:rsid w:val="001F0C2F"/>
    <w:rsid w:val="001F0F09"/>
    <w:rsid w:val="001F0FDB"/>
    <w:rsid w:val="001F106F"/>
    <w:rsid w:val="001F116D"/>
    <w:rsid w:val="001F12CD"/>
    <w:rsid w:val="001F13FD"/>
    <w:rsid w:val="001F17F8"/>
    <w:rsid w:val="001F1856"/>
    <w:rsid w:val="001F1963"/>
    <w:rsid w:val="001F1B48"/>
    <w:rsid w:val="001F1FE1"/>
    <w:rsid w:val="001F23AC"/>
    <w:rsid w:val="001F2576"/>
    <w:rsid w:val="001F2627"/>
    <w:rsid w:val="001F2898"/>
    <w:rsid w:val="001F28A2"/>
    <w:rsid w:val="001F28C3"/>
    <w:rsid w:val="001F290F"/>
    <w:rsid w:val="001F2B90"/>
    <w:rsid w:val="001F2C07"/>
    <w:rsid w:val="001F2C38"/>
    <w:rsid w:val="001F2C67"/>
    <w:rsid w:val="001F2E8A"/>
    <w:rsid w:val="001F3122"/>
    <w:rsid w:val="001F3391"/>
    <w:rsid w:val="001F33DB"/>
    <w:rsid w:val="001F3492"/>
    <w:rsid w:val="001F35E1"/>
    <w:rsid w:val="001F39F4"/>
    <w:rsid w:val="001F3AE2"/>
    <w:rsid w:val="001F3B64"/>
    <w:rsid w:val="001F3ED7"/>
    <w:rsid w:val="001F4018"/>
    <w:rsid w:val="001F40B6"/>
    <w:rsid w:val="001F414E"/>
    <w:rsid w:val="001F41DF"/>
    <w:rsid w:val="001F43B4"/>
    <w:rsid w:val="001F44CD"/>
    <w:rsid w:val="001F4557"/>
    <w:rsid w:val="001F45CF"/>
    <w:rsid w:val="001F45E8"/>
    <w:rsid w:val="001F4700"/>
    <w:rsid w:val="001F47DC"/>
    <w:rsid w:val="001F488E"/>
    <w:rsid w:val="001F4E71"/>
    <w:rsid w:val="001F4F4B"/>
    <w:rsid w:val="001F50E5"/>
    <w:rsid w:val="001F574F"/>
    <w:rsid w:val="001F5860"/>
    <w:rsid w:val="001F59E4"/>
    <w:rsid w:val="001F59E7"/>
    <w:rsid w:val="001F5A8C"/>
    <w:rsid w:val="001F5B86"/>
    <w:rsid w:val="001F5CD3"/>
    <w:rsid w:val="001F5D65"/>
    <w:rsid w:val="001F5DCB"/>
    <w:rsid w:val="001F5E2A"/>
    <w:rsid w:val="001F5E7B"/>
    <w:rsid w:val="001F5FF3"/>
    <w:rsid w:val="001F636B"/>
    <w:rsid w:val="001F636D"/>
    <w:rsid w:val="001F646B"/>
    <w:rsid w:val="001F65CB"/>
    <w:rsid w:val="001F686B"/>
    <w:rsid w:val="001F68A1"/>
    <w:rsid w:val="001F6E21"/>
    <w:rsid w:val="001F6E25"/>
    <w:rsid w:val="001F6E83"/>
    <w:rsid w:val="001F6ED5"/>
    <w:rsid w:val="001F711C"/>
    <w:rsid w:val="001F7156"/>
    <w:rsid w:val="001F72A9"/>
    <w:rsid w:val="001F7470"/>
    <w:rsid w:val="001F79FC"/>
    <w:rsid w:val="001F7EEE"/>
    <w:rsid w:val="00200023"/>
    <w:rsid w:val="0020015E"/>
    <w:rsid w:val="002001ED"/>
    <w:rsid w:val="00200269"/>
    <w:rsid w:val="002002C8"/>
    <w:rsid w:val="00200388"/>
    <w:rsid w:val="00200399"/>
    <w:rsid w:val="002006DE"/>
    <w:rsid w:val="0020080A"/>
    <w:rsid w:val="00200D71"/>
    <w:rsid w:val="00200EB8"/>
    <w:rsid w:val="00200EF3"/>
    <w:rsid w:val="00200F90"/>
    <w:rsid w:val="00200FFA"/>
    <w:rsid w:val="00201091"/>
    <w:rsid w:val="002012DF"/>
    <w:rsid w:val="0020132D"/>
    <w:rsid w:val="00201868"/>
    <w:rsid w:val="00201BAD"/>
    <w:rsid w:val="00201C38"/>
    <w:rsid w:val="00201F29"/>
    <w:rsid w:val="00201FC5"/>
    <w:rsid w:val="002020AB"/>
    <w:rsid w:val="002022EE"/>
    <w:rsid w:val="00202385"/>
    <w:rsid w:val="00202563"/>
    <w:rsid w:val="00202586"/>
    <w:rsid w:val="002027CF"/>
    <w:rsid w:val="002029D8"/>
    <w:rsid w:val="00202ABD"/>
    <w:rsid w:val="00202BB7"/>
    <w:rsid w:val="00202D0B"/>
    <w:rsid w:val="00202E70"/>
    <w:rsid w:val="002032A8"/>
    <w:rsid w:val="002033D4"/>
    <w:rsid w:val="00203454"/>
    <w:rsid w:val="002034C8"/>
    <w:rsid w:val="002035C3"/>
    <w:rsid w:val="002035F4"/>
    <w:rsid w:val="0020369A"/>
    <w:rsid w:val="00203ADF"/>
    <w:rsid w:val="00203CCD"/>
    <w:rsid w:val="00203E99"/>
    <w:rsid w:val="00203F49"/>
    <w:rsid w:val="0020404E"/>
    <w:rsid w:val="002040EF"/>
    <w:rsid w:val="002041B1"/>
    <w:rsid w:val="00204360"/>
    <w:rsid w:val="0020436A"/>
    <w:rsid w:val="0020449D"/>
    <w:rsid w:val="0020463A"/>
    <w:rsid w:val="002046D9"/>
    <w:rsid w:val="002047CA"/>
    <w:rsid w:val="002047F3"/>
    <w:rsid w:val="002049A5"/>
    <w:rsid w:val="002049F6"/>
    <w:rsid w:val="00204BFF"/>
    <w:rsid w:val="00204FCF"/>
    <w:rsid w:val="00204FF8"/>
    <w:rsid w:val="002050D7"/>
    <w:rsid w:val="002050F5"/>
    <w:rsid w:val="0020520D"/>
    <w:rsid w:val="002053EF"/>
    <w:rsid w:val="002053F7"/>
    <w:rsid w:val="0020551F"/>
    <w:rsid w:val="002058A9"/>
    <w:rsid w:val="00205AFF"/>
    <w:rsid w:val="00205B56"/>
    <w:rsid w:val="00205CC8"/>
    <w:rsid w:val="0020610B"/>
    <w:rsid w:val="00206421"/>
    <w:rsid w:val="00206493"/>
    <w:rsid w:val="002067C0"/>
    <w:rsid w:val="00206881"/>
    <w:rsid w:val="00206896"/>
    <w:rsid w:val="002068E1"/>
    <w:rsid w:val="00206E4E"/>
    <w:rsid w:val="00206EF2"/>
    <w:rsid w:val="00206F7F"/>
    <w:rsid w:val="00206F92"/>
    <w:rsid w:val="00206FA2"/>
    <w:rsid w:val="00207120"/>
    <w:rsid w:val="0020723F"/>
    <w:rsid w:val="002072F8"/>
    <w:rsid w:val="002074E8"/>
    <w:rsid w:val="002076B1"/>
    <w:rsid w:val="00207709"/>
    <w:rsid w:val="00207946"/>
    <w:rsid w:val="002079C8"/>
    <w:rsid w:val="00207A92"/>
    <w:rsid w:val="00207C3D"/>
    <w:rsid w:val="00207CFE"/>
    <w:rsid w:val="00207E2B"/>
    <w:rsid w:val="00207F0B"/>
    <w:rsid w:val="00207F68"/>
    <w:rsid w:val="0021018D"/>
    <w:rsid w:val="002101C6"/>
    <w:rsid w:val="002102CF"/>
    <w:rsid w:val="00210305"/>
    <w:rsid w:val="0021036A"/>
    <w:rsid w:val="00210479"/>
    <w:rsid w:val="0021096C"/>
    <w:rsid w:val="00210B92"/>
    <w:rsid w:val="00210D9C"/>
    <w:rsid w:val="00210E1D"/>
    <w:rsid w:val="00210E9E"/>
    <w:rsid w:val="002115E3"/>
    <w:rsid w:val="002116E7"/>
    <w:rsid w:val="002117F5"/>
    <w:rsid w:val="00211A63"/>
    <w:rsid w:val="00211C19"/>
    <w:rsid w:val="00211CDF"/>
    <w:rsid w:val="00211FAB"/>
    <w:rsid w:val="00211FB1"/>
    <w:rsid w:val="0021205C"/>
    <w:rsid w:val="002122C6"/>
    <w:rsid w:val="0021236D"/>
    <w:rsid w:val="002124AE"/>
    <w:rsid w:val="002124C5"/>
    <w:rsid w:val="0021263C"/>
    <w:rsid w:val="00212860"/>
    <w:rsid w:val="0021296B"/>
    <w:rsid w:val="00212B5C"/>
    <w:rsid w:val="00212D8D"/>
    <w:rsid w:val="00212F83"/>
    <w:rsid w:val="00212F92"/>
    <w:rsid w:val="002130E2"/>
    <w:rsid w:val="0021317A"/>
    <w:rsid w:val="00213529"/>
    <w:rsid w:val="002135AD"/>
    <w:rsid w:val="00213640"/>
    <w:rsid w:val="0021377D"/>
    <w:rsid w:val="002137D5"/>
    <w:rsid w:val="00213919"/>
    <w:rsid w:val="00213B0D"/>
    <w:rsid w:val="00213B10"/>
    <w:rsid w:val="00213CB8"/>
    <w:rsid w:val="00213DD0"/>
    <w:rsid w:val="00213EA4"/>
    <w:rsid w:val="00213ED1"/>
    <w:rsid w:val="00213FB0"/>
    <w:rsid w:val="00214134"/>
    <w:rsid w:val="00214221"/>
    <w:rsid w:val="002142EC"/>
    <w:rsid w:val="00214412"/>
    <w:rsid w:val="0021454B"/>
    <w:rsid w:val="00214555"/>
    <w:rsid w:val="00214955"/>
    <w:rsid w:val="00214E0A"/>
    <w:rsid w:val="00214F8A"/>
    <w:rsid w:val="00215151"/>
    <w:rsid w:val="0021574C"/>
    <w:rsid w:val="002158FE"/>
    <w:rsid w:val="00215A17"/>
    <w:rsid w:val="00215DE3"/>
    <w:rsid w:val="00215E4B"/>
    <w:rsid w:val="0021615B"/>
    <w:rsid w:val="00216274"/>
    <w:rsid w:val="002164E4"/>
    <w:rsid w:val="0021689F"/>
    <w:rsid w:val="00216CE4"/>
    <w:rsid w:val="00216DC6"/>
    <w:rsid w:val="00216DEC"/>
    <w:rsid w:val="00216EF8"/>
    <w:rsid w:val="00216F0C"/>
    <w:rsid w:val="00216FAD"/>
    <w:rsid w:val="00216FBA"/>
    <w:rsid w:val="00217775"/>
    <w:rsid w:val="0021790E"/>
    <w:rsid w:val="00217C77"/>
    <w:rsid w:val="00217D83"/>
    <w:rsid w:val="00217E29"/>
    <w:rsid w:val="00217F16"/>
    <w:rsid w:val="002200C3"/>
    <w:rsid w:val="0022064B"/>
    <w:rsid w:val="002207B2"/>
    <w:rsid w:val="0022088F"/>
    <w:rsid w:val="00220981"/>
    <w:rsid w:val="00220B79"/>
    <w:rsid w:val="00220CA2"/>
    <w:rsid w:val="00220CB6"/>
    <w:rsid w:val="00220EBE"/>
    <w:rsid w:val="00221016"/>
    <w:rsid w:val="00221225"/>
    <w:rsid w:val="00221616"/>
    <w:rsid w:val="00221701"/>
    <w:rsid w:val="00221E29"/>
    <w:rsid w:val="00221EC3"/>
    <w:rsid w:val="00222046"/>
    <w:rsid w:val="0022215A"/>
    <w:rsid w:val="002221B3"/>
    <w:rsid w:val="00222587"/>
    <w:rsid w:val="002226D4"/>
    <w:rsid w:val="0022293F"/>
    <w:rsid w:val="00222A7C"/>
    <w:rsid w:val="00222AF1"/>
    <w:rsid w:val="00222C22"/>
    <w:rsid w:val="00222F2F"/>
    <w:rsid w:val="00222F8F"/>
    <w:rsid w:val="002233EE"/>
    <w:rsid w:val="00223577"/>
    <w:rsid w:val="00223590"/>
    <w:rsid w:val="0022382F"/>
    <w:rsid w:val="00223A32"/>
    <w:rsid w:val="00223C12"/>
    <w:rsid w:val="00223D5A"/>
    <w:rsid w:val="002244FA"/>
    <w:rsid w:val="00224695"/>
    <w:rsid w:val="002247BF"/>
    <w:rsid w:val="00224BE1"/>
    <w:rsid w:val="00224D19"/>
    <w:rsid w:val="00224EA0"/>
    <w:rsid w:val="00225330"/>
    <w:rsid w:val="002253BC"/>
    <w:rsid w:val="00225437"/>
    <w:rsid w:val="002255CB"/>
    <w:rsid w:val="002255CF"/>
    <w:rsid w:val="00225881"/>
    <w:rsid w:val="0022596F"/>
    <w:rsid w:val="00225CEC"/>
    <w:rsid w:val="00225D62"/>
    <w:rsid w:val="00225F29"/>
    <w:rsid w:val="0022619E"/>
    <w:rsid w:val="00226263"/>
    <w:rsid w:val="00226446"/>
    <w:rsid w:val="002265D0"/>
    <w:rsid w:val="0022670A"/>
    <w:rsid w:val="0022685C"/>
    <w:rsid w:val="0022694B"/>
    <w:rsid w:val="00226A10"/>
    <w:rsid w:val="00226F57"/>
    <w:rsid w:val="00227116"/>
    <w:rsid w:val="002273F0"/>
    <w:rsid w:val="002274BD"/>
    <w:rsid w:val="00227571"/>
    <w:rsid w:val="00227606"/>
    <w:rsid w:val="0022773D"/>
    <w:rsid w:val="0022777A"/>
    <w:rsid w:val="00227850"/>
    <w:rsid w:val="002278B2"/>
    <w:rsid w:val="00227E3A"/>
    <w:rsid w:val="00227ED8"/>
    <w:rsid w:val="00230412"/>
    <w:rsid w:val="0023053F"/>
    <w:rsid w:val="00230848"/>
    <w:rsid w:val="00230870"/>
    <w:rsid w:val="0023099F"/>
    <w:rsid w:val="00230A01"/>
    <w:rsid w:val="00230BDC"/>
    <w:rsid w:val="00230BEF"/>
    <w:rsid w:val="00230CA1"/>
    <w:rsid w:val="00231091"/>
    <w:rsid w:val="00231100"/>
    <w:rsid w:val="0023162E"/>
    <w:rsid w:val="00231BEB"/>
    <w:rsid w:val="00231C5B"/>
    <w:rsid w:val="00231CA2"/>
    <w:rsid w:val="00231CB5"/>
    <w:rsid w:val="00231E3A"/>
    <w:rsid w:val="0023241D"/>
    <w:rsid w:val="00232536"/>
    <w:rsid w:val="002325DC"/>
    <w:rsid w:val="00232749"/>
    <w:rsid w:val="0023287B"/>
    <w:rsid w:val="00232C3D"/>
    <w:rsid w:val="0023307B"/>
    <w:rsid w:val="00233173"/>
    <w:rsid w:val="002333D2"/>
    <w:rsid w:val="00233424"/>
    <w:rsid w:val="0023354B"/>
    <w:rsid w:val="00233B82"/>
    <w:rsid w:val="0023401A"/>
    <w:rsid w:val="0023430E"/>
    <w:rsid w:val="002343C0"/>
    <w:rsid w:val="002344AD"/>
    <w:rsid w:val="002349E9"/>
    <w:rsid w:val="002349EB"/>
    <w:rsid w:val="00234B44"/>
    <w:rsid w:val="00234D1C"/>
    <w:rsid w:val="00234D84"/>
    <w:rsid w:val="00234DDF"/>
    <w:rsid w:val="00235067"/>
    <w:rsid w:val="002350D7"/>
    <w:rsid w:val="0023530F"/>
    <w:rsid w:val="00235321"/>
    <w:rsid w:val="002355EE"/>
    <w:rsid w:val="002356D4"/>
    <w:rsid w:val="00235844"/>
    <w:rsid w:val="00235AC8"/>
    <w:rsid w:val="00235B40"/>
    <w:rsid w:val="00236219"/>
    <w:rsid w:val="00236601"/>
    <w:rsid w:val="002366B5"/>
    <w:rsid w:val="0023670B"/>
    <w:rsid w:val="00236767"/>
    <w:rsid w:val="0023683B"/>
    <w:rsid w:val="00236AC8"/>
    <w:rsid w:val="00236C0D"/>
    <w:rsid w:val="00236F1B"/>
    <w:rsid w:val="00237014"/>
    <w:rsid w:val="0023720D"/>
    <w:rsid w:val="00237258"/>
    <w:rsid w:val="002372F6"/>
    <w:rsid w:val="002373E0"/>
    <w:rsid w:val="00237439"/>
    <w:rsid w:val="00237884"/>
    <w:rsid w:val="00237946"/>
    <w:rsid w:val="00237B64"/>
    <w:rsid w:val="00237C09"/>
    <w:rsid w:val="00237E41"/>
    <w:rsid w:val="00237FC2"/>
    <w:rsid w:val="002403C9"/>
    <w:rsid w:val="0024045C"/>
    <w:rsid w:val="00240767"/>
    <w:rsid w:val="002409B6"/>
    <w:rsid w:val="00240CFE"/>
    <w:rsid w:val="00240D8C"/>
    <w:rsid w:val="00240FAF"/>
    <w:rsid w:val="0024133B"/>
    <w:rsid w:val="002416BD"/>
    <w:rsid w:val="002417BF"/>
    <w:rsid w:val="0024183F"/>
    <w:rsid w:val="00241D69"/>
    <w:rsid w:val="0024209C"/>
    <w:rsid w:val="002423AB"/>
    <w:rsid w:val="0024243B"/>
    <w:rsid w:val="0024249C"/>
    <w:rsid w:val="002424EC"/>
    <w:rsid w:val="00242517"/>
    <w:rsid w:val="00242631"/>
    <w:rsid w:val="002428D3"/>
    <w:rsid w:val="00242A5D"/>
    <w:rsid w:val="00242AE1"/>
    <w:rsid w:val="00242FCD"/>
    <w:rsid w:val="002430A2"/>
    <w:rsid w:val="00243337"/>
    <w:rsid w:val="00243405"/>
    <w:rsid w:val="0024340B"/>
    <w:rsid w:val="00243603"/>
    <w:rsid w:val="0024383B"/>
    <w:rsid w:val="0024387F"/>
    <w:rsid w:val="00243AD2"/>
    <w:rsid w:val="00243CDA"/>
    <w:rsid w:val="00243DDC"/>
    <w:rsid w:val="00243E2A"/>
    <w:rsid w:val="0024414C"/>
    <w:rsid w:val="002442F7"/>
    <w:rsid w:val="002443F8"/>
    <w:rsid w:val="00244592"/>
    <w:rsid w:val="0024465B"/>
    <w:rsid w:val="0024466B"/>
    <w:rsid w:val="0024471D"/>
    <w:rsid w:val="0024474C"/>
    <w:rsid w:val="002447BD"/>
    <w:rsid w:val="00244874"/>
    <w:rsid w:val="00244A18"/>
    <w:rsid w:val="00244CB3"/>
    <w:rsid w:val="00244ECC"/>
    <w:rsid w:val="00245360"/>
    <w:rsid w:val="002453BE"/>
    <w:rsid w:val="00245573"/>
    <w:rsid w:val="00245999"/>
    <w:rsid w:val="002459C0"/>
    <w:rsid w:val="00245A02"/>
    <w:rsid w:val="00245A3F"/>
    <w:rsid w:val="00245AFB"/>
    <w:rsid w:val="00245CC8"/>
    <w:rsid w:val="00245E6A"/>
    <w:rsid w:val="00245FC6"/>
    <w:rsid w:val="002460D0"/>
    <w:rsid w:val="00246220"/>
    <w:rsid w:val="00246326"/>
    <w:rsid w:val="00246577"/>
    <w:rsid w:val="002469C5"/>
    <w:rsid w:val="00246A06"/>
    <w:rsid w:val="00246AC1"/>
    <w:rsid w:val="00246CA5"/>
    <w:rsid w:val="00246E82"/>
    <w:rsid w:val="002470C5"/>
    <w:rsid w:val="00247152"/>
    <w:rsid w:val="0024792F"/>
    <w:rsid w:val="00247AA1"/>
    <w:rsid w:val="00247C4C"/>
    <w:rsid w:val="00247FD0"/>
    <w:rsid w:val="00250118"/>
    <w:rsid w:val="0025016B"/>
    <w:rsid w:val="002503E3"/>
    <w:rsid w:val="0025072C"/>
    <w:rsid w:val="002507E1"/>
    <w:rsid w:val="00250A6B"/>
    <w:rsid w:val="00250B4C"/>
    <w:rsid w:val="00250C04"/>
    <w:rsid w:val="00250D3C"/>
    <w:rsid w:val="00250D65"/>
    <w:rsid w:val="00250DFC"/>
    <w:rsid w:val="00250E2C"/>
    <w:rsid w:val="00250EFA"/>
    <w:rsid w:val="00250F72"/>
    <w:rsid w:val="00251652"/>
    <w:rsid w:val="0025180A"/>
    <w:rsid w:val="002518EF"/>
    <w:rsid w:val="00251971"/>
    <w:rsid w:val="00251B27"/>
    <w:rsid w:val="00251D1D"/>
    <w:rsid w:val="00251DC9"/>
    <w:rsid w:val="00251F2D"/>
    <w:rsid w:val="00251FBA"/>
    <w:rsid w:val="0025233B"/>
    <w:rsid w:val="00252372"/>
    <w:rsid w:val="00252447"/>
    <w:rsid w:val="00252824"/>
    <w:rsid w:val="0025289C"/>
    <w:rsid w:val="002529EB"/>
    <w:rsid w:val="00252C78"/>
    <w:rsid w:val="00252E27"/>
    <w:rsid w:val="00253354"/>
    <w:rsid w:val="002533C3"/>
    <w:rsid w:val="0025341F"/>
    <w:rsid w:val="00253663"/>
    <w:rsid w:val="002537C1"/>
    <w:rsid w:val="0025380A"/>
    <w:rsid w:val="002538B7"/>
    <w:rsid w:val="00253AA1"/>
    <w:rsid w:val="00253B77"/>
    <w:rsid w:val="00253B7B"/>
    <w:rsid w:val="00253EDF"/>
    <w:rsid w:val="00253F03"/>
    <w:rsid w:val="002540BB"/>
    <w:rsid w:val="00254199"/>
    <w:rsid w:val="00254276"/>
    <w:rsid w:val="0025441F"/>
    <w:rsid w:val="0025442B"/>
    <w:rsid w:val="0025476C"/>
    <w:rsid w:val="00254889"/>
    <w:rsid w:val="00254BC6"/>
    <w:rsid w:val="00254DD7"/>
    <w:rsid w:val="00254DE5"/>
    <w:rsid w:val="00254FD4"/>
    <w:rsid w:val="002551A1"/>
    <w:rsid w:val="00255380"/>
    <w:rsid w:val="00255391"/>
    <w:rsid w:val="002555E3"/>
    <w:rsid w:val="0025563F"/>
    <w:rsid w:val="00255D37"/>
    <w:rsid w:val="00255EAA"/>
    <w:rsid w:val="002560CB"/>
    <w:rsid w:val="0025617A"/>
    <w:rsid w:val="002563C3"/>
    <w:rsid w:val="002568E9"/>
    <w:rsid w:val="002568F0"/>
    <w:rsid w:val="002569F9"/>
    <w:rsid w:val="00256B79"/>
    <w:rsid w:val="00256CB4"/>
    <w:rsid w:val="00256D02"/>
    <w:rsid w:val="00256E66"/>
    <w:rsid w:val="00257179"/>
    <w:rsid w:val="0025721D"/>
    <w:rsid w:val="002572BF"/>
    <w:rsid w:val="00257751"/>
    <w:rsid w:val="00257A22"/>
    <w:rsid w:val="00257B45"/>
    <w:rsid w:val="00257D32"/>
    <w:rsid w:val="00257DC5"/>
    <w:rsid w:val="00257ED1"/>
    <w:rsid w:val="00257EFF"/>
    <w:rsid w:val="00260079"/>
    <w:rsid w:val="00260090"/>
    <w:rsid w:val="002604BB"/>
    <w:rsid w:val="002606A2"/>
    <w:rsid w:val="00260762"/>
    <w:rsid w:val="00260850"/>
    <w:rsid w:val="00260B89"/>
    <w:rsid w:val="00260B93"/>
    <w:rsid w:val="00260B9D"/>
    <w:rsid w:val="00260CDC"/>
    <w:rsid w:val="00260D4F"/>
    <w:rsid w:val="00260D8A"/>
    <w:rsid w:val="00260F21"/>
    <w:rsid w:val="00261048"/>
    <w:rsid w:val="002612E6"/>
    <w:rsid w:val="0026157F"/>
    <w:rsid w:val="002615DE"/>
    <w:rsid w:val="0026160C"/>
    <w:rsid w:val="002617F6"/>
    <w:rsid w:val="002619ED"/>
    <w:rsid w:val="002619EF"/>
    <w:rsid w:val="00261AAC"/>
    <w:rsid w:val="00261D10"/>
    <w:rsid w:val="00262077"/>
    <w:rsid w:val="002620DD"/>
    <w:rsid w:val="00262146"/>
    <w:rsid w:val="0026236D"/>
    <w:rsid w:val="0026242E"/>
    <w:rsid w:val="0026272E"/>
    <w:rsid w:val="002628C8"/>
    <w:rsid w:val="00262CBC"/>
    <w:rsid w:val="00263005"/>
    <w:rsid w:val="0026330E"/>
    <w:rsid w:val="00263790"/>
    <w:rsid w:val="00263C41"/>
    <w:rsid w:val="00263D62"/>
    <w:rsid w:val="00264156"/>
    <w:rsid w:val="002641ED"/>
    <w:rsid w:val="0026422C"/>
    <w:rsid w:val="002643C1"/>
    <w:rsid w:val="0026461D"/>
    <w:rsid w:val="002647E5"/>
    <w:rsid w:val="00264A0F"/>
    <w:rsid w:val="0026504E"/>
    <w:rsid w:val="00265086"/>
    <w:rsid w:val="002650CA"/>
    <w:rsid w:val="00265105"/>
    <w:rsid w:val="00265173"/>
    <w:rsid w:val="00265245"/>
    <w:rsid w:val="00265284"/>
    <w:rsid w:val="00265674"/>
    <w:rsid w:val="00265867"/>
    <w:rsid w:val="00265C92"/>
    <w:rsid w:val="00265ED2"/>
    <w:rsid w:val="00265FAE"/>
    <w:rsid w:val="0026626B"/>
    <w:rsid w:val="0026634C"/>
    <w:rsid w:val="00266733"/>
    <w:rsid w:val="00266B08"/>
    <w:rsid w:val="00266B5D"/>
    <w:rsid w:val="00266CBE"/>
    <w:rsid w:val="00266DA3"/>
    <w:rsid w:val="00266DBB"/>
    <w:rsid w:val="00266E1E"/>
    <w:rsid w:val="002670DD"/>
    <w:rsid w:val="0026731B"/>
    <w:rsid w:val="0026739A"/>
    <w:rsid w:val="002674D2"/>
    <w:rsid w:val="00267620"/>
    <w:rsid w:val="002676AF"/>
    <w:rsid w:val="0026798B"/>
    <w:rsid w:val="00267C2C"/>
    <w:rsid w:val="00267C81"/>
    <w:rsid w:val="00267EDA"/>
    <w:rsid w:val="00267F20"/>
    <w:rsid w:val="0027008F"/>
    <w:rsid w:val="002706F4"/>
    <w:rsid w:val="00271112"/>
    <w:rsid w:val="00271805"/>
    <w:rsid w:val="00271866"/>
    <w:rsid w:val="00271913"/>
    <w:rsid w:val="00271CBA"/>
    <w:rsid w:val="00271E28"/>
    <w:rsid w:val="002721F2"/>
    <w:rsid w:val="0027225D"/>
    <w:rsid w:val="002726D5"/>
    <w:rsid w:val="002726F1"/>
    <w:rsid w:val="002727D9"/>
    <w:rsid w:val="00272A55"/>
    <w:rsid w:val="00272B59"/>
    <w:rsid w:val="002732D9"/>
    <w:rsid w:val="0027337A"/>
    <w:rsid w:val="00273488"/>
    <w:rsid w:val="00273550"/>
    <w:rsid w:val="00273775"/>
    <w:rsid w:val="002739EC"/>
    <w:rsid w:val="00273A50"/>
    <w:rsid w:val="00273A6C"/>
    <w:rsid w:val="00273B12"/>
    <w:rsid w:val="00273BE0"/>
    <w:rsid w:val="00273D8A"/>
    <w:rsid w:val="00273FA3"/>
    <w:rsid w:val="002740A4"/>
    <w:rsid w:val="002746A5"/>
    <w:rsid w:val="002748C2"/>
    <w:rsid w:val="002748D2"/>
    <w:rsid w:val="00274BE0"/>
    <w:rsid w:val="00274C28"/>
    <w:rsid w:val="00274E3D"/>
    <w:rsid w:val="0027515A"/>
    <w:rsid w:val="00275372"/>
    <w:rsid w:val="00275431"/>
    <w:rsid w:val="0027548A"/>
    <w:rsid w:val="002754F4"/>
    <w:rsid w:val="00275518"/>
    <w:rsid w:val="00275519"/>
    <w:rsid w:val="002755C3"/>
    <w:rsid w:val="00275681"/>
    <w:rsid w:val="002756C2"/>
    <w:rsid w:val="002758AA"/>
    <w:rsid w:val="00275914"/>
    <w:rsid w:val="00275A12"/>
    <w:rsid w:val="00275BCA"/>
    <w:rsid w:val="00275C09"/>
    <w:rsid w:val="00275CCE"/>
    <w:rsid w:val="00275FAF"/>
    <w:rsid w:val="0027666D"/>
    <w:rsid w:val="00276679"/>
    <w:rsid w:val="00276760"/>
    <w:rsid w:val="002767BB"/>
    <w:rsid w:val="002767D9"/>
    <w:rsid w:val="002767FB"/>
    <w:rsid w:val="00276847"/>
    <w:rsid w:val="00276932"/>
    <w:rsid w:val="00276BE9"/>
    <w:rsid w:val="00276D24"/>
    <w:rsid w:val="00276F96"/>
    <w:rsid w:val="0027701D"/>
    <w:rsid w:val="002770CC"/>
    <w:rsid w:val="0027714C"/>
    <w:rsid w:val="00277250"/>
    <w:rsid w:val="0027741B"/>
    <w:rsid w:val="00277595"/>
    <w:rsid w:val="002776DF"/>
    <w:rsid w:val="00277A7B"/>
    <w:rsid w:val="00277AFB"/>
    <w:rsid w:val="00277D60"/>
    <w:rsid w:val="00277EB7"/>
    <w:rsid w:val="00280251"/>
    <w:rsid w:val="00280537"/>
    <w:rsid w:val="0028059E"/>
    <w:rsid w:val="002805CE"/>
    <w:rsid w:val="00280890"/>
    <w:rsid w:val="00280A78"/>
    <w:rsid w:val="00280B07"/>
    <w:rsid w:val="00280B2F"/>
    <w:rsid w:val="00280B60"/>
    <w:rsid w:val="00280C3E"/>
    <w:rsid w:val="00280C65"/>
    <w:rsid w:val="00280C76"/>
    <w:rsid w:val="0028132A"/>
    <w:rsid w:val="0028133F"/>
    <w:rsid w:val="00281360"/>
    <w:rsid w:val="002817E7"/>
    <w:rsid w:val="00281973"/>
    <w:rsid w:val="002819AF"/>
    <w:rsid w:val="002819DA"/>
    <w:rsid w:val="00281C6B"/>
    <w:rsid w:val="00281CBE"/>
    <w:rsid w:val="00281D4A"/>
    <w:rsid w:val="00281ED6"/>
    <w:rsid w:val="00282348"/>
    <w:rsid w:val="002824BC"/>
    <w:rsid w:val="0028288B"/>
    <w:rsid w:val="00282BE3"/>
    <w:rsid w:val="00282C74"/>
    <w:rsid w:val="00282C80"/>
    <w:rsid w:val="00282EDD"/>
    <w:rsid w:val="00283055"/>
    <w:rsid w:val="002833AF"/>
    <w:rsid w:val="002834FB"/>
    <w:rsid w:val="00283E5C"/>
    <w:rsid w:val="00283F55"/>
    <w:rsid w:val="00283FE2"/>
    <w:rsid w:val="002846AA"/>
    <w:rsid w:val="002848ED"/>
    <w:rsid w:val="002849B8"/>
    <w:rsid w:val="00284AF6"/>
    <w:rsid w:val="00284B9E"/>
    <w:rsid w:val="00284BF6"/>
    <w:rsid w:val="00284DF4"/>
    <w:rsid w:val="00284E7D"/>
    <w:rsid w:val="002852CD"/>
    <w:rsid w:val="0028552B"/>
    <w:rsid w:val="0028569C"/>
    <w:rsid w:val="00285A29"/>
    <w:rsid w:val="00285D0B"/>
    <w:rsid w:val="0028600E"/>
    <w:rsid w:val="00286367"/>
    <w:rsid w:val="0028639B"/>
    <w:rsid w:val="002866C0"/>
    <w:rsid w:val="00286946"/>
    <w:rsid w:val="00286993"/>
    <w:rsid w:val="00286C85"/>
    <w:rsid w:val="00286D1C"/>
    <w:rsid w:val="00286E07"/>
    <w:rsid w:val="00286F85"/>
    <w:rsid w:val="002870C6"/>
    <w:rsid w:val="00287205"/>
    <w:rsid w:val="002876FF"/>
    <w:rsid w:val="002877DA"/>
    <w:rsid w:val="002879F9"/>
    <w:rsid w:val="00287AAC"/>
    <w:rsid w:val="00287B9E"/>
    <w:rsid w:val="00290186"/>
    <w:rsid w:val="002901ED"/>
    <w:rsid w:val="00290411"/>
    <w:rsid w:val="00290511"/>
    <w:rsid w:val="00290541"/>
    <w:rsid w:val="002905EA"/>
    <w:rsid w:val="0029087F"/>
    <w:rsid w:val="00290A55"/>
    <w:rsid w:val="00290ABB"/>
    <w:rsid w:val="00290B0E"/>
    <w:rsid w:val="00290B8A"/>
    <w:rsid w:val="00290F19"/>
    <w:rsid w:val="00291003"/>
    <w:rsid w:val="0029105D"/>
    <w:rsid w:val="002910CB"/>
    <w:rsid w:val="002912F2"/>
    <w:rsid w:val="00291383"/>
    <w:rsid w:val="002914CA"/>
    <w:rsid w:val="0029166D"/>
    <w:rsid w:val="002916B0"/>
    <w:rsid w:val="002916F5"/>
    <w:rsid w:val="002918C6"/>
    <w:rsid w:val="00291A15"/>
    <w:rsid w:val="00291B39"/>
    <w:rsid w:val="00291B8D"/>
    <w:rsid w:val="00291C0C"/>
    <w:rsid w:val="00291C52"/>
    <w:rsid w:val="00291C95"/>
    <w:rsid w:val="00291CA4"/>
    <w:rsid w:val="00291CCA"/>
    <w:rsid w:val="00291D80"/>
    <w:rsid w:val="00291EE1"/>
    <w:rsid w:val="0029215E"/>
    <w:rsid w:val="002924FE"/>
    <w:rsid w:val="00292532"/>
    <w:rsid w:val="002928DF"/>
    <w:rsid w:val="00292975"/>
    <w:rsid w:val="00292B3A"/>
    <w:rsid w:val="00292C8F"/>
    <w:rsid w:val="00292CBC"/>
    <w:rsid w:val="00292F92"/>
    <w:rsid w:val="00292FFA"/>
    <w:rsid w:val="00292FFC"/>
    <w:rsid w:val="0029305B"/>
    <w:rsid w:val="002930D1"/>
    <w:rsid w:val="002931F3"/>
    <w:rsid w:val="00293237"/>
    <w:rsid w:val="0029364C"/>
    <w:rsid w:val="0029366F"/>
    <w:rsid w:val="002936E8"/>
    <w:rsid w:val="00293772"/>
    <w:rsid w:val="0029385B"/>
    <w:rsid w:val="0029390B"/>
    <w:rsid w:val="00293933"/>
    <w:rsid w:val="002939A6"/>
    <w:rsid w:val="00293B80"/>
    <w:rsid w:val="00293B86"/>
    <w:rsid w:val="00293C7D"/>
    <w:rsid w:val="00293D2C"/>
    <w:rsid w:val="00293E18"/>
    <w:rsid w:val="00293EA1"/>
    <w:rsid w:val="00293EC9"/>
    <w:rsid w:val="00294368"/>
    <w:rsid w:val="0029491A"/>
    <w:rsid w:val="00294985"/>
    <w:rsid w:val="00294AE9"/>
    <w:rsid w:val="00294C7E"/>
    <w:rsid w:val="00294E3B"/>
    <w:rsid w:val="0029540A"/>
    <w:rsid w:val="00295796"/>
    <w:rsid w:val="002957AA"/>
    <w:rsid w:val="00295876"/>
    <w:rsid w:val="00295AA9"/>
    <w:rsid w:val="00295BCA"/>
    <w:rsid w:val="00295E52"/>
    <w:rsid w:val="00295F2B"/>
    <w:rsid w:val="00296285"/>
    <w:rsid w:val="002962D0"/>
    <w:rsid w:val="0029644E"/>
    <w:rsid w:val="0029661A"/>
    <w:rsid w:val="002968C9"/>
    <w:rsid w:val="00296E9A"/>
    <w:rsid w:val="00296EFF"/>
    <w:rsid w:val="002972DA"/>
    <w:rsid w:val="0029735D"/>
    <w:rsid w:val="002974E8"/>
    <w:rsid w:val="002975B5"/>
    <w:rsid w:val="002978D7"/>
    <w:rsid w:val="00297B4A"/>
    <w:rsid w:val="00297F09"/>
    <w:rsid w:val="002A011E"/>
    <w:rsid w:val="002A029E"/>
    <w:rsid w:val="002A04B0"/>
    <w:rsid w:val="002A079E"/>
    <w:rsid w:val="002A08C8"/>
    <w:rsid w:val="002A0941"/>
    <w:rsid w:val="002A09D2"/>
    <w:rsid w:val="002A0D31"/>
    <w:rsid w:val="002A0E29"/>
    <w:rsid w:val="002A0EFA"/>
    <w:rsid w:val="002A13FF"/>
    <w:rsid w:val="002A1524"/>
    <w:rsid w:val="002A16F7"/>
    <w:rsid w:val="002A17AE"/>
    <w:rsid w:val="002A180B"/>
    <w:rsid w:val="002A181C"/>
    <w:rsid w:val="002A18C3"/>
    <w:rsid w:val="002A18DC"/>
    <w:rsid w:val="002A1BB3"/>
    <w:rsid w:val="002A1D89"/>
    <w:rsid w:val="002A2228"/>
    <w:rsid w:val="002A22C0"/>
    <w:rsid w:val="002A22EE"/>
    <w:rsid w:val="002A24BB"/>
    <w:rsid w:val="002A2584"/>
    <w:rsid w:val="002A25CC"/>
    <w:rsid w:val="002A26BB"/>
    <w:rsid w:val="002A271E"/>
    <w:rsid w:val="002A2897"/>
    <w:rsid w:val="002A2E21"/>
    <w:rsid w:val="002A2F24"/>
    <w:rsid w:val="002A342B"/>
    <w:rsid w:val="002A3618"/>
    <w:rsid w:val="002A36BE"/>
    <w:rsid w:val="002A37DC"/>
    <w:rsid w:val="002A39EF"/>
    <w:rsid w:val="002A3C1D"/>
    <w:rsid w:val="002A3CD6"/>
    <w:rsid w:val="002A3CEA"/>
    <w:rsid w:val="002A3E07"/>
    <w:rsid w:val="002A3EC0"/>
    <w:rsid w:val="002A4068"/>
    <w:rsid w:val="002A414C"/>
    <w:rsid w:val="002A41C8"/>
    <w:rsid w:val="002A4560"/>
    <w:rsid w:val="002A45DB"/>
    <w:rsid w:val="002A4839"/>
    <w:rsid w:val="002A49C1"/>
    <w:rsid w:val="002A4B5D"/>
    <w:rsid w:val="002A4DFB"/>
    <w:rsid w:val="002A5111"/>
    <w:rsid w:val="002A51A6"/>
    <w:rsid w:val="002A5374"/>
    <w:rsid w:val="002A5422"/>
    <w:rsid w:val="002A543F"/>
    <w:rsid w:val="002A59A9"/>
    <w:rsid w:val="002A59DE"/>
    <w:rsid w:val="002A5D64"/>
    <w:rsid w:val="002A65B0"/>
    <w:rsid w:val="002A6703"/>
    <w:rsid w:val="002A6734"/>
    <w:rsid w:val="002A6857"/>
    <w:rsid w:val="002A6992"/>
    <w:rsid w:val="002A6A16"/>
    <w:rsid w:val="002A6EAB"/>
    <w:rsid w:val="002A7244"/>
    <w:rsid w:val="002A7369"/>
    <w:rsid w:val="002A7668"/>
    <w:rsid w:val="002A7672"/>
    <w:rsid w:val="002A7934"/>
    <w:rsid w:val="002A7947"/>
    <w:rsid w:val="002A7B78"/>
    <w:rsid w:val="002A7BC4"/>
    <w:rsid w:val="002A7CCC"/>
    <w:rsid w:val="002B0081"/>
    <w:rsid w:val="002B04FF"/>
    <w:rsid w:val="002B05B5"/>
    <w:rsid w:val="002B06D9"/>
    <w:rsid w:val="002B091A"/>
    <w:rsid w:val="002B0ABB"/>
    <w:rsid w:val="002B0B6D"/>
    <w:rsid w:val="002B0D29"/>
    <w:rsid w:val="002B0D82"/>
    <w:rsid w:val="002B0F14"/>
    <w:rsid w:val="002B0F1C"/>
    <w:rsid w:val="002B0F76"/>
    <w:rsid w:val="002B10CA"/>
    <w:rsid w:val="002B11F9"/>
    <w:rsid w:val="002B12B2"/>
    <w:rsid w:val="002B12E9"/>
    <w:rsid w:val="002B180B"/>
    <w:rsid w:val="002B19FC"/>
    <w:rsid w:val="002B1CEC"/>
    <w:rsid w:val="002B1E1E"/>
    <w:rsid w:val="002B1F68"/>
    <w:rsid w:val="002B1F69"/>
    <w:rsid w:val="002B20B0"/>
    <w:rsid w:val="002B232A"/>
    <w:rsid w:val="002B233C"/>
    <w:rsid w:val="002B24D5"/>
    <w:rsid w:val="002B284E"/>
    <w:rsid w:val="002B2A04"/>
    <w:rsid w:val="002B303C"/>
    <w:rsid w:val="002B30F7"/>
    <w:rsid w:val="002B3193"/>
    <w:rsid w:val="002B352F"/>
    <w:rsid w:val="002B36EF"/>
    <w:rsid w:val="002B37D7"/>
    <w:rsid w:val="002B38D0"/>
    <w:rsid w:val="002B3A20"/>
    <w:rsid w:val="002B3DC8"/>
    <w:rsid w:val="002B3DCE"/>
    <w:rsid w:val="002B3F4C"/>
    <w:rsid w:val="002B4178"/>
    <w:rsid w:val="002B42B5"/>
    <w:rsid w:val="002B4632"/>
    <w:rsid w:val="002B492F"/>
    <w:rsid w:val="002B4C53"/>
    <w:rsid w:val="002B4D5B"/>
    <w:rsid w:val="002B4D65"/>
    <w:rsid w:val="002B4F02"/>
    <w:rsid w:val="002B4F4F"/>
    <w:rsid w:val="002B4FF9"/>
    <w:rsid w:val="002B50BF"/>
    <w:rsid w:val="002B50F2"/>
    <w:rsid w:val="002B5351"/>
    <w:rsid w:val="002B5391"/>
    <w:rsid w:val="002B544E"/>
    <w:rsid w:val="002B550D"/>
    <w:rsid w:val="002B574A"/>
    <w:rsid w:val="002B5FFF"/>
    <w:rsid w:val="002B61A2"/>
    <w:rsid w:val="002B643E"/>
    <w:rsid w:val="002B6469"/>
    <w:rsid w:val="002B6485"/>
    <w:rsid w:val="002B65A0"/>
    <w:rsid w:val="002B6A28"/>
    <w:rsid w:val="002B6E4A"/>
    <w:rsid w:val="002B7233"/>
    <w:rsid w:val="002B7328"/>
    <w:rsid w:val="002B733E"/>
    <w:rsid w:val="002B758B"/>
    <w:rsid w:val="002B7624"/>
    <w:rsid w:val="002B7655"/>
    <w:rsid w:val="002B79B9"/>
    <w:rsid w:val="002B7F3D"/>
    <w:rsid w:val="002C0483"/>
    <w:rsid w:val="002C069F"/>
    <w:rsid w:val="002C09A6"/>
    <w:rsid w:val="002C0ECD"/>
    <w:rsid w:val="002C113E"/>
    <w:rsid w:val="002C1161"/>
    <w:rsid w:val="002C12EC"/>
    <w:rsid w:val="002C1727"/>
    <w:rsid w:val="002C1728"/>
    <w:rsid w:val="002C17EC"/>
    <w:rsid w:val="002C1A0F"/>
    <w:rsid w:val="002C1AEF"/>
    <w:rsid w:val="002C1CC2"/>
    <w:rsid w:val="002C2306"/>
    <w:rsid w:val="002C2BC0"/>
    <w:rsid w:val="002C2CB3"/>
    <w:rsid w:val="002C2CFC"/>
    <w:rsid w:val="002C2D30"/>
    <w:rsid w:val="002C2F5F"/>
    <w:rsid w:val="002C32B5"/>
    <w:rsid w:val="002C3310"/>
    <w:rsid w:val="002C357A"/>
    <w:rsid w:val="002C3659"/>
    <w:rsid w:val="002C36E6"/>
    <w:rsid w:val="002C3887"/>
    <w:rsid w:val="002C407E"/>
    <w:rsid w:val="002C41DD"/>
    <w:rsid w:val="002C436C"/>
    <w:rsid w:val="002C458F"/>
    <w:rsid w:val="002C4806"/>
    <w:rsid w:val="002C49C2"/>
    <w:rsid w:val="002C4AA7"/>
    <w:rsid w:val="002C4AED"/>
    <w:rsid w:val="002C4D61"/>
    <w:rsid w:val="002C4E11"/>
    <w:rsid w:val="002C5528"/>
    <w:rsid w:val="002C5576"/>
    <w:rsid w:val="002C57F2"/>
    <w:rsid w:val="002C58D6"/>
    <w:rsid w:val="002C59A6"/>
    <w:rsid w:val="002C59CE"/>
    <w:rsid w:val="002C5A39"/>
    <w:rsid w:val="002C5A83"/>
    <w:rsid w:val="002C5B1D"/>
    <w:rsid w:val="002C5BB8"/>
    <w:rsid w:val="002C5C8B"/>
    <w:rsid w:val="002C5D22"/>
    <w:rsid w:val="002C5F12"/>
    <w:rsid w:val="002C606E"/>
    <w:rsid w:val="002C6297"/>
    <w:rsid w:val="002C63E4"/>
    <w:rsid w:val="002C6557"/>
    <w:rsid w:val="002C67A8"/>
    <w:rsid w:val="002C7136"/>
    <w:rsid w:val="002C7176"/>
    <w:rsid w:val="002C720B"/>
    <w:rsid w:val="002C7333"/>
    <w:rsid w:val="002C7449"/>
    <w:rsid w:val="002C7571"/>
    <w:rsid w:val="002C76D4"/>
    <w:rsid w:val="002C77A9"/>
    <w:rsid w:val="002C77EA"/>
    <w:rsid w:val="002C789E"/>
    <w:rsid w:val="002C78F8"/>
    <w:rsid w:val="002C7AB4"/>
    <w:rsid w:val="002C7AC6"/>
    <w:rsid w:val="002C7F20"/>
    <w:rsid w:val="002D0017"/>
    <w:rsid w:val="002D02C4"/>
    <w:rsid w:val="002D0302"/>
    <w:rsid w:val="002D06C5"/>
    <w:rsid w:val="002D086A"/>
    <w:rsid w:val="002D0C13"/>
    <w:rsid w:val="002D0C17"/>
    <w:rsid w:val="002D0FBA"/>
    <w:rsid w:val="002D107A"/>
    <w:rsid w:val="002D10D1"/>
    <w:rsid w:val="002D127D"/>
    <w:rsid w:val="002D12A6"/>
    <w:rsid w:val="002D12F5"/>
    <w:rsid w:val="002D1399"/>
    <w:rsid w:val="002D1553"/>
    <w:rsid w:val="002D1578"/>
    <w:rsid w:val="002D1A83"/>
    <w:rsid w:val="002D1ABB"/>
    <w:rsid w:val="002D1AF0"/>
    <w:rsid w:val="002D1D98"/>
    <w:rsid w:val="002D1DB1"/>
    <w:rsid w:val="002D1E22"/>
    <w:rsid w:val="002D1E59"/>
    <w:rsid w:val="002D1FB6"/>
    <w:rsid w:val="002D2047"/>
    <w:rsid w:val="002D20A6"/>
    <w:rsid w:val="002D2273"/>
    <w:rsid w:val="002D227B"/>
    <w:rsid w:val="002D2467"/>
    <w:rsid w:val="002D271C"/>
    <w:rsid w:val="002D28F1"/>
    <w:rsid w:val="002D292B"/>
    <w:rsid w:val="002D298E"/>
    <w:rsid w:val="002D2AF9"/>
    <w:rsid w:val="002D2E88"/>
    <w:rsid w:val="002D2F48"/>
    <w:rsid w:val="002D313E"/>
    <w:rsid w:val="002D3291"/>
    <w:rsid w:val="002D350D"/>
    <w:rsid w:val="002D352E"/>
    <w:rsid w:val="002D35FF"/>
    <w:rsid w:val="002D3900"/>
    <w:rsid w:val="002D3A9A"/>
    <w:rsid w:val="002D3C3C"/>
    <w:rsid w:val="002D3E77"/>
    <w:rsid w:val="002D419C"/>
    <w:rsid w:val="002D46B1"/>
    <w:rsid w:val="002D4782"/>
    <w:rsid w:val="002D4787"/>
    <w:rsid w:val="002D4AD8"/>
    <w:rsid w:val="002D4ADB"/>
    <w:rsid w:val="002D4FA7"/>
    <w:rsid w:val="002D51BD"/>
    <w:rsid w:val="002D54CF"/>
    <w:rsid w:val="002D599C"/>
    <w:rsid w:val="002D5ABC"/>
    <w:rsid w:val="002D6036"/>
    <w:rsid w:val="002D65C0"/>
    <w:rsid w:val="002D6613"/>
    <w:rsid w:val="002D6916"/>
    <w:rsid w:val="002D69FD"/>
    <w:rsid w:val="002D6AC2"/>
    <w:rsid w:val="002D6C8D"/>
    <w:rsid w:val="002D6D48"/>
    <w:rsid w:val="002D6F53"/>
    <w:rsid w:val="002D70FD"/>
    <w:rsid w:val="002D72D9"/>
    <w:rsid w:val="002D734A"/>
    <w:rsid w:val="002D746C"/>
    <w:rsid w:val="002D7575"/>
    <w:rsid w:val="002D77A4"/>
    <w:rsid w:val="002D7CCA"/>
    <w:rsid w:val="002D7D23"/>
    <w:rsid w:val="002E0008"/>
    <w:rsid w:val="002E022E"/>
    <w:rsid w:val="002E0441"/>
    <w:rsid w:val="002E0499"/>
    <w:rsid w:val="002E04A9"/>
    <w:rsid w:val="002E055B"/>
    <w:rsid w:val="002E0701"/>
    <w:rsid w:val="002E0762"/>
    <w:rsid w:val="002E0788"/>
    <w:rsid w:val="002E07A2"/>
    <w:rsid w:val="002E0824"/>
    <w:rsid w:val="002E09A5"/>
    <w:rsid w:val="002E0AFA"/>
    <w:rsid w:val="002E0D3D"/>
    <w:rsid w:val="002E0E1A"/>
    <w:rsid w:val="002E1001"/>
    <w:rsid w:val="002E1086"/>
    <w:rsid w:val="002E1277"/>
    <w:rsid w:val="002E1386"/>
    <w:rsid w:val="002E1A2D"/>
    <w:rsid w:val="002E1A6F"/>
    <w:rsid w:val="002E1C80"/>
    <w:rsid w:val="002E1E38"/>
    <w:rsid w:val="002E1FB9"/>
    <w:rsid w:val="002E240D"/>
    <w:rsid w:val="002E29A5"/>
    <w:rsid w:val="002E2AC1"/>
    <w:rsid w:val="002E2B4D"/>
    <w:rsid w:val="002E2C58"/>
    <w:rsid w:val="002E3167"/>
    <w:rsid w:val="002E32E7"/>
    <w:rsid w:val="002E3379"/>
    <w:rsid w:val="002E340A"/>
    <w:rsid w:val="002E36BA"/>
    <w:rsid w:val="002E378A"/>
    <w:rsid w:val="002E37CB"/>
    <w:rsid w:val="002E382A"/>
    <w:rsid w:val="002E3873"/>
    <w:rsid w:val="002E3BDA"/>
    <w:rsid w:val="002E3C1E"/>
    <w:rsid w:val="002E3E20"/>
    <w:rsid w:val="002E3E4A"/>
    <w:rsid w:val="002E3FC2"/>
    <w:rsid w:val="002E4087"/>
    <w:rsid w:val="002E41B0"/>
    <w:rsid w:val="002E42BB"/>
    <w:rsid w:val="002E43ED"/>
    <w:rsid w:val="002E4522"/>
    <w:rsid w:val="002E45EB"/>
    <w:rsid w:val="002E47EA"/>
    <w:rsid w:val="002E489E"/>
    <w:rsid w:val="002E498F"/>
    <w:rsid w:val="002E49FA"/>
    <w:rsid w:val="002E4BDE"/>
    <w:rsid w:val="002E4FD1"/>
    <w:rsid w:val="002E5008"/>
    <w:rsid w:val="002E515B"/>
    <w:rsid w:val="002E5180"/>
    <w:rsid w:val="002E52EE"/>
    <w:rsid w:val="002E53AD"/>
    <w:rsid w:val="002E54B3"/>
    <w:rsid w:val="002E5528"/>
    <w:rsid w:val="002E56A4"/>
    <w:rsid w:val="002E56E0"/>
    <w:rsid w:val="002E58FB"/>
    <w:rsid w:val="002E5AA8"/>
    <w:rsid w:val="002E5D2B"/>
    <w:rsid w:val="002E5FAF"/>
    <w:rsid w:val="002E5FDE"/>
    <w:rsid w:val="002E622A"/>
    <w:rsid w:val="002E627F"/>
    <w:rsid w:val="002E62D6"/>
    <w:rsid w:val="002E6472"/>
    <w:rsid w:val="002E6798"/>
    <w:rsid w:val="002E695D"/>
    <w:rsid w:val="002E6B04"/>
    <w:rsid w:val="002E6B41"/>
    <w:rsid w:val="002E6C76"/>
    <w:rsid w:val="002E6F7D"/>
    <w:rsid w:val="002E7047"/>
    <w:rsid w:val="002E7060"/>
    <w:rsid w:val="002E71D1"/>
    <w:rsid w:val="002E7740"/>
    <w:rsid w:val="002E78CE"/>
    <w:rsid w:val="002E7BB7"/>
    <w:rsid w:val="002F0068"/>
    <w:rsid w:val="002F0231"/>
    <w:rsid w:val="002F04BF"/>
    <w:rsid w:val="002F06E8"/>
    <w:rsid w:val="002F08AE"/>
    <w:rsid w:val="002F0ADA"/>
    <w:rsid w:val="002F0BE6"/>
    <w:rsid w:val="002F0DB8"/>
    <w:rsid w:val="002F0EC2"/>
    <w:rsid w:val="002F1258"/>
    <w:rsid w:val="002F158A"/>
    <w:rsid w:val="002F17F6"/>
    <w:rsid w:val="002F1851"/>
    <w:rsid w:val="002F18D7"/>
    <w:rsid w:val="002F190A"/>
    <w:rsid w:val="002F1DC5"/>
    <w:rsid w:val="002F20AB"/>
    <w:rsid w:val="002F21A2"/>
    <w:rsid w:val="002F222F"/>
    <w:rsid w:val="002F22E3"/>
    <w:rsid w:val="002F22EA"/>
    <w:rsid w:val="002F258C"/>
    <w:rsid w:val="002F272F"/>
    <w:rsid w:val="002F294B"/>
    <w:rsid w:val="002F29B4"/>
    <w:rsid w:val="002F2CF5"/>
    <w:rsid w:val="002F2EEA"/>
    <w:rsid w:val="002F301C"/>
    <w:rsid w:val="002F3046"/>
    <w:rsid w:val="002F30FC"/>
    <w:rsid w:val="002F3324"/>
    <w:rsid w:val="002F3798"/>
    <w:rsid w:val="002F3858"/>
    <w:rsid w:val="002F3892"/>
    <w:rsid w:val="002F38D3"/>
    <w:rsid w:val="002F3901"/>
    <w:rsid w:val="002F3ABC"/>
    <w:rsid w:val="002F3C4C"/>
    <w:rsid w:val="002F3E23"/>
    <w:rsid w:val="002F3E73"/>
    <w:rsid w:val="002F41C7"/>
    <w:rsid w:val="002F4307"/>
    <w:rsid w:val="002F47F2"/>
    <w:rsid w:val="002F48A2"/>
    <w:rsid w:val="002F4B47"/>
    <w:rsid w:val="002F4B88"/>
    <w:rsid w:val="002F4E6C"/>
    <w:rsid w:val="002F51FD"/>
    <w:rsid w:val="002F5207"/>
    <w:rsid w:val="002F55D5"/>
    <w:rsid w:val="002F5615"/>
    <w:rsid w:val="002F565D"/>
    <w:rsid w:val="002F566F"/>
    <w:rsid w:val="002F5843"/>
    <w:rsid w:val="002F5976"/>
    <w:rsid w:val="002F5AA9"/>
    <w:rsid w:val="002F5B93"/>
    <w:rsid w:val="002F5BBF"/>
    <w:rsid w:val="002F6204"/>
    <w:rsid w:val="002F6679"/>
    <w:rsid w:val="002F6859"/>
    <w:rsid w:val="002F686A"/>
    <w:rsid w:val="002F6BA6"/>
    <w:rsid w:val="002F70A5"/>
    <w:rsid w:val="002F713D"/>
    <w:rsid w:val="002F730D"/>
    <w:rsid w:val="002F731C"/>
    <w:rsid w:val="002F7427"/>
    <w:rsid w:val="002F78B3"/>
    <w:rsid w:val="002F7994"/>
    <w:rsid w:val="002F79A4"/>
    <w:rsid w:val="002F7E5D"/>
    <w:rsid w:val="002F7EE6"/>
    <w:rsid w:val="0030040B"/>
    <w:rsid w:val="0030067D"/>
    <w:rsid w:val="00300949"/>
    <w:rsid w:val="0030096B"/>
    <w:rsid w:val="00300B84"/>
    <w:rsid w:val="00300D02"/>
    <w:rsid w:val="00300DA8"/>
    <w:rsid w:val="00300E16"/>
    <w:rsid w:val="00300E55"/>
    <w:rsid w:val="00301243"/>
    <w:rsid w:val="00301830"/>
    <w:rsid w:val="00301880"/>
    <w:rsid w:val="00301922"/>
    <w:rsid w:val="00301A40"/>
    <w:rsid w:val="00301E31"/>
    <w:rsid w:val="00301F01"/>
    <w:rsid w:val="00301FC8"/>
    <w:rsid w:val="003020C7"/>
    <w:rsid w:val="00302389"/>
    <w:rsid w:val="003025DA"/>
    <w:rsid w:val="00302799"/>
    <w:rsid w:val="003027C8"/>
    <w:rsid w:val="003028F6"/>
    <w:rsid w:val="0030296B"/>
    <w:rsid w:val="00302CDB"/>
    <w:rsid w:val="00302EB7"/>
    <w:rsid w:val="0030309A"/>
    <w:rsid w:val="0030318C"/>
    <w:rsid w:val="003031B9"/>
    <w:rsid w:val="0030357E"/>
    <w:rsid w:val="003036E6"/>
    <w:rsid w:val="003037B2"/>
    <w:rsid w:val="00303881"/>
    <w:rsid w:val="00303918"/>
    <w:rsid w:val="00303F99"/>
    <w:rsid w:val="00304132"/>
    <w:rsid w:val="003045E8"/>
    <w:rsid w:val="00304638"/>
    <w:rsid w:val="003046BE"/>
    <w:rsid w:val="00304958"/>
    <w:rsid w:val="00304A00"/>
    <w:rsid w:val="00304B33"/>
    <w:rsid w:val="00304E4D"/>
    <w:rsid w:val="003050A7"/>
    <w:rsid w:val="0030520A"/>
    <w:rsid w:val="0030548A"/>
    <w:rsid w:val="0030558D"/>
    <w:rsid w:val="003056A6"/>
    <w:rsid w:val="0030587B"/>
    <w:rsid w:val="003058D2"/>
    <w:rsid w:val="00305C01"/>
    <w:rsid w:val="00305C2F"/>
    <w:rsid w:val="00305D69"/>
    <w:rsid w:val="0030612C"/>
    <w:rsid w:val="0030612F"/>
    <w:rsid w:val="003062D4"/>
    <w:rsid w:val="0030632F"/>
    <w:rsid w:val="00306357"/>
    <w:rsid w:val="00306FEA"/>
    <w:rsid w:val="003073B6"/>
    <w:rsid w:val="0030767C"/>
    <w:rsid w:val="00307949"/>
    <w:rsid w:val="00307ACB"/>
    <w:rsid w:val="00307E61"/>
    <w:rsid w:val="00310007"/>
    <w:rsid w:val="0031020E"/>
    <w:rsid w:val="00310226"/>
    <w:rsid w:val="003103DB"/>
    <w:rsid w:val="0031080D"/>
    <w:rsid w:val="00310D8F"/>
    <w:rsid w:val="00310FF9"/>
    <w:rsid w:val="00311D3C"/>
    <w:rsid w:val="00311E73"/>
    <w:rsid w:val="00311F8F"/>
    <w:rsid w:val="00311FBB"/>
    <w:rsid w:val="003120E5"/>
    <w:rsid w:val="003124F0"/>
    <w:rsid w:val="00312537"/>
    <w:rsid w:val="0031268E"/>
    <w:rsid w:val="0031282E"/>
    <w:rsid w:val="00312CA5"/>
    <w:rsid w:val="00312CB2"/>
    <w:rsid w:val="00312CFA"/>
    <w:rsid w:val="00312DBD"/>
    <w:rsid w:val="00312E4D"/>
    <w:rsid w:val="00312EE7"/>
    <w:rsid w:val="00312F42"/>
    <w:rsid w:val="00312F84"/>
    <w:rsid w:val="00313227"/>
    <w:rsid w:val="00313389"/>
    <w:rsid w:val="003133D5"/>
    <w:rsid w:val="003137CE"/>
    <w:rsid w:val="00313863"/>
    <w:rsid w:val="00313AE5"/>
    <w:rsid w:val="00313C80"/>
    <w:rsid w:val="00313CB5"/>
    <w:rsid w:val="00313EAB"/>
    <w:rsid w:val="00314699"/>
    <w:rsid w:val="00314779"/>
    <w:rsid w:val="00314B0D"/>
    <w:rsid w:val="00314B2F"/>
    <w:rsid w:val="00314F46"/>
    <w:rsid w:val="003151B9"/>
    <w:rsid w:val="003151F3"/>
    <w:rsid w:val="003153A7"/>
    <w:rsid w:val="0031573F"/>
    <w:rsid w:val="00315845"/>
    <w:rsid w:val="00315A73"/>
    <w:rsid w:val="00315B36"/>
    <w:rsid w:val="00315F20"/>
    <w:rsid w:val="00316182"/>
    <w:rsid w:val="003162C3"/>
    <w:rsid w:val="0031630A"/>
    <w:rsid w:val="0031643D"/>
    <w:rsid w:val="003165BA"/>
    <w:rsid w:val="00316650"/>
    <w:rsid w:val="0031673A"/>
    <w:rsid w:val="00316A43"/>
    <w:rsid w:val="00316BE5"/>
    <w:rsid w:val="00316C5E"/>
    <w:rsid w:val="00316CE0"/>
    <w:rsid w:val="00316CEC"/>
    <w:rsid w:val="00316D61"/>
    <w:rsid w:val="00316F7C"/>
    <w:rsid w:val="00317146"/>
    <w:rsid w:val="003171F2"/>
    <w:rsid w:val="00317268"/>
    <w:rsid w:val="003174E0"/>
    <w:rsid w:val="003174FC"/>
    <w:rsid w:val="00317546"/>
    <w:rsid w:val="003176A9"/>
    <w:rsid w:val="00317A1F"/>
    <w:rsid w:val="00317AA4"/>
    <w:rsid w:val="00317BD9"/>
    <w:rsid w:val="003200E5"/>
    <w:rsid w:val="00320550"/>
    <w:rsid w:val="00320689"/>
    <w:rsid w:val="00320A43"/>
    <w:rsid w:val="00320E08"/>
    <w:rsid w:val="00320FA6"/>
    <w:rsid w:val="003210B2"/>
    <w:rsid w:val="00321115"/>
    <w:rsid w:val="0032150B"/>
    <w:rsid w:val="00321698"/>
    <w:rsid w:val="003216CC"/>
    <w:rsid w:val="003219FA"/>
    <w:rsid w:val="00321B51"/>
    <w:rsid w:val="00321F4C"/>
    <w:rsid w:val="003220AC"/>
    <w:rsid w:val="003220F4"/>
    <w:rsid w:val="00322153"/>
    <w:rsid w:val="00322284"/>
    <w:rsid w:val="003225DD"/>
    <w:rsid w:val="003228C3"/>
    <w:rsid w:val="003228ED"/>
    <w:rsid w:val="00322A00"/>
    <w:rsid w:val="00322B09"/>
    <w:rsid w:val="00322B85"/>
    <w:rsid w:val="00322C76"/>
    <w:rsid w:val="00322DAE"/>
    <w:rsid w:val="00322E25"/>
    <w:rsid w:val="00322E74"/>
    <w:rsid w:val="0032338F"/>
    <w:rsid w:val="003234A1"/>
    <w:rsid w:val="003235CF"/>
    <w:rsid w:val="0032376A"/>
    <w:rsid w:val="00323810"/>
    <w:rsid w:val="00323DD2"/>
    <w:rsid w:val="00323FE9"/>
    <w:rsid w:val="00324041"/>
    <w:rsid w:val="00324183"/>
    <w:rsid w:val="0032424C"/>
    <w:rsid w:val="003246E4"/>
    <w:rsid w:val="00324792"/>
    <w:rsid w:val="00324AEE"/>
    <w:rsid w:val="00324B19"/>
    <w:rsid w:val="00324C39"/>
    <w:rsid w:val="00325129"/>
    <w:rsid w:val="003251ED"/>
    <w:rsid w:val="00325301"/>
    <w:rsid w:val="00325305"/>
    <w:rsid w:val="00325516"/>
    <w:rsid w:val="003257F1"/>
    <w:rsid w:val="00325864"/>
    <w:rsid w:val="003258B6"/>
    <w:rsid w:val="00325AD9"/>
    <w:rsid w:val="00325BF4"/>
    <w:rsid w:val="00325C86"/>
    <w:rsid w:val="00325E5D"/>
    <w:rsid w:val="00325F06"/>
    <w:rsid w:val="003262C8"/>
    <w:rsid w:val="00326396"/>
    <w:rsid w:val="003266B0"/>
    <w:rsid w:val="003267D9"/>
    <w:rsid w:val="003268B3"/>
    <w:rsid w:val="00326B2B"/>
    <w:rsid w:val="00326CB1"/>
    <w:rsid w:val="00326E37"/>
    <w:rsid w:val="00326F38"/>
    <w:rsid w:val="003270DB"/>
    <w:rsid w:val="00327351"/>
    <w:rsid w:val="003274BB"/>
    <w:rsid w:val="0032760A"/>
    <w:rsid w:val="003279D0"/>
    <w:rsid w:val="00327A13"/>
    <w:rsid w:val="00327A6A"/>
    <w:rsid w:val="00327E8E"/>
    <w:rsid w:val="00327FE9"/>
    <w:rsid w:val="003302DB"/>
    <w:rsid w:val="0033035E"/>
    <w:rsid w:val="00330405"/>
    <w:rsid w:val="00330580"/>
    <w:rsid w:val="00330814"/>
    <w:rsid w:val="00330A62"/>
    <w:rsid w:val="00330B03"/>
    <w:rsid w:val="00330B72"/>
    <w:rsid w:val="00330B75"/>
    <w:rsid w:val="00330C33"/>
    <w:rsid w:val="00330C88"/>
    <w:rsid w:val="00330D55"/>
    <w:rsid w:val="00331258"/>
    <w:rsid w:val="00331401"/>
    <w:rsid w:val="00331666"/>
    <w:rsid w:val="00331898"/>
    <w:rsid w:val="003319F7"/>
    <w:rsid w:val="00331B8F"/>
    <w:rsid w:val="00331BBA"/>
    <w:rsid w:val="00331D38"/>
    <w:rsid w:val="00331D4F"/>
    <w:rsid w:val="00331DF7"/>
    <w:rsid w:val="00331E6A"/>
    <w:rsid w:val="00331FBD"/>
    <w:rsid w:val="0033209E"/>
    <w:rsid w:val="003321A7"/>
    <w:rsid w:val="00332378"/>
    <w:rsid w:val="0033237C"/>
    <w:rsid w:val="00332532"/>
    <w:rsid w:val="00332619"/>
    <w:rsid w:val="00332A4F"/>
    <w:rsid w:val="00332ACF"/>
    <w:rsid w:val="00332CA9"/>
    <w:rsid w:val="00332D67"/>
    <w:rsid w:val="00332D6F"/>
    <w:rsid w:val="00332E0B"/>
    <w:rsid w:val="00332E55"/>
    <w:rsid w:val="00333357"/>
    <w:rsid w:val="0033336F"/>
    <w:rsid w:val="003333B5"/>
    <w:rsid w:val="003334A6"/>
    <w:rsid w:val="00333555"/>
    <w:rsid w:val="00333557"/>
    <w:rsid w:val="00333ABB"/>
    <w:rsid w:val="00333DCA"/>
    <w:rsid w:val="00334161"/>
    <w:rsid w:val="0033448A"/>
    <w:rsid w:val="00334744"/>
    <w:rsid w:val="003348D7"/>
    <w:rsid w:val="00334DE9"/>
    <w:rsid w:val="00334DED"/>
    <w:rsid w:val="00334E35"/>
    <w:rsid w:val="00335194"/>
    <w:rsid w:val="003352AF"/>
    <w:rsid w:val="00335431"/>
    <w:rsid w:val="003354CE"/>
    <w:rsid w:val="003358D1"/>
    <w:rsid w:val="00335A4F"/>
    <w:rsid w:val="00335D36"/>
    <w:rsid w:val="00335DE1"/>
    <w:rsid w:val="00335ED6"/>
    <w:rsid w:val="00335F54"/>
    <w:rsid w:val="0033603F"/>
    <w:rsid w:val="00336090"/>
    <w:rsid w:val="00336094"/>
    <w:rsid w:val="00336263"/>
    <w:rsid w:val="00336602"/>
    <w:rsid w:val="003369AC"/>
    <w:rsid w:val="00336A09"/>
    <w:rsid w:val="00336A10"/>
    <w:rsid w:val="00336AA2"/>
    <w:rsid w:val="00336BB7"/>
    <w:rsid w:val="00336CAD"/>
    <w:rsid w:val="00336F57"/>
    <w:rsid w:val="00337178"/>
    <w:rsid w:val="00337287"/>
    <w:rsid w:val="003374FD"/>
    <w:rsid w:val="00337583"/>
    <w:rsid w:val="0033767A"/>
    <w:rsid w:val="003376CE"/>
    <w:rsid w:val="0033778E"/>
    <w:rsid w:val="003377A3"/>
    <w:rsid w:val="003379CD"/>
    <w:rsid w:val="003379D3"/>
    <w:rsid w:val="00337C90"/>
    <w:rsid w:val="00337E9D"/>
    <w:rsid w:val="00337F5B"/>
    <w:rsid w:val="003403CF"/>
    <w:rsid w:val="003405CD"/>
    <w:rsid w:val="00340753"/>
    <w:rsid w:val="003408B6"/>
    <w:rsid w:val="00340C9A"/>
    <w:rsid w:val="00340D9F"/>
    <w:rsid w:val="00340DA8"/>
    <w:rsid w:val="00340E50"/>
    <w:rsid w:val="00340F1E"/>
    <w:rsid w:val="003411C6"/>
    <w:rsid w:val="0034121D"/>
    <w:rsid w:val="003412BE"/>
    <w:rsid w:val="00341350"/>
    <w:rsid w:val="00341511"/>
    <w:rsid w:val="00341535"/>
    <w:rsid w:val="0034161D"/>
    <w:rsid w:val="00341718"/>
    <w:rsid w:val="00341754"/>
    <w:rsid w:val="00341B86"/>
    <w:rsid w:val="00341C84"/>
    <w:rsid w:val="00341D58"/>
    <w:rsid w:val="00341E02"/>
    <w:rsid w:val="00342185"/>
    <w:rsid w:val="003421A2"/>
    <w:rsid w:val="003421A9"/>
    <w:rsid w:val="00342339"/>
    <w:rsid w:val="0034239A"/>
    <w:rsid w:val="003424F8"/>
    <w:rsid w:val="00342542"/>
    <w:rsid w:val="0034279B"/>
    <w:rsid w:val="00343028"/>
    <w:rsid w:val="00343071"/>
    <w:rsid w:val="003432D9"/>
    <w:rsid w:val="0034338B"/>
    <w:rsid w:val="00343423"/>
    <w:rsid w:val="003436E6"/>
    <w:rsid w:val="00343798"/>
    <w:rsid w:val="003437E1"/>
    <w:rsid w:val="0034391E"/>
    <w:rsid w:val="00343A41"/>
    <w:rsid w:val="00343A68"/>
    <w:rsid w:val="00343BBA"/>
    <w:rsid w:val="00343CDB"/>
    <w:rsid w:val="00343DAB"/>
    <w:rsid w:val="00343E54"/>
    <w:rsid w:val="003442DA"/>
    <w:rsid w:val="00344370"/>
    <w:rsid w:val="00344675"/>
    <w:rsid w:val="003448BD"/>
    <w:rsid w:val="003449EA"/>
    <w:rsid w:val="00344BE5"/>
    <w:rsid w:val="00344C4C"/>
    <w:rsid w:val="00344CC0"/>
    <w:rsid w:val="00344CC4"/>
    <w:rsid w:val="00344D3D"/>
    <w:rsid w:val="00344E3D"/>
    <w:rsid w:val="003451AB"/>
    <w:rsid w:val="003452B4"/>
    <w:rsid w:val="0034542B"/>
    <w:rsid w:val="00345564"/>
    <w:rsid w:val="00345768"/>
    <w:rsid w:val="00345861"/>
    <w:rsid w:val="00345B91"/>
    <w:rsid w:val="00345CB3"/>
    <w:rsid w:val="00346075"/>
    <w:rsid w:val="003462A4"/>
    <w:rsid w:val="003462E3"/>
    <w:rsid w:val="00346439"/>
    <w:rsid w:val="003467A8"/>
    <w:rsid w:val="003469F9"/>
    <w:rsid w:val="00346CD5"/>
    <w:rsid w:val="00346D28"/>
    <w:rsid w:val="00346F95"/>
    <w:rsid w:val="003470CA"/>
    <w:rsid w:val="00347272"/>
    <w:rsid w:val="003474A9"/>
    <w:rsid w:val="00347618"/>
    <w:rsid w:val="00347AF9"/>
    <w:rsid w:val="00347B5A"/>
    <w:rsid w:val="00347E48"/>
    <w:rsid w:val="00350020"/>
    <w:rsid w:val="0035009A"/>
    <w:rsid w:val="0035013D"/>
    <w:rsid w:val="0035022E"/>
    <w:rsid w:val="00350244"/>
    <w:rsid w:val="0035027C"/>
    <w:rsid w:val="00350618"/>
    <w:rsid w:val="0035071F"/>
    <w:rsid w:val="0035073F"/>
    <w:rsid w:val="0035077D"/>
    <w:rsid w:val="003507A7"/>
    <w:rsid w:val="003509B5"/>
    <w:rsid w:val="003509C2"/>
    <w:rsid w:val="00350DF3"/>
    <w:rsid w:val="00351BA7"/>
    <w:rsid w:val="00351D8D"/>
    <w:rsid w:val="00351E24"/>
    <w:rsid w:val="00351E59"/>
    <w:rsid w:val="00351FEB"/>
    <w:rsid w:val="003520F4"/>
    <w:rsid w:val="0035216B"/>
    <w:rsid w:val="00352405"/>
    <w:rsid w:val="003526E5"/>
    <w:rsid w:val="0035299B"/>
    <w:rsid w:val="00352B1B"/>
    <w:rsid w:val="00352B42"/>
    <w:rsid w:val="00352B66"/>
    <w:rsid w:val="00352BD7"/>
    <w:rsid w:val="00352F67"/>
    <w:rsid w:val="00353078"/>
    <w:rsid w:val="0035326C"/>
    <w:rsid w:val="00353376"/>
    <w:rsid w:val="00353442"/>
    <w:rsid w:val="00353F9D"/>
    <w:rsid w:val="0035424D"/>
    <w:rsid w:val="00354376"/>
    <w:rsid w:val="0035467E"/>
    <w:rsid w:val="0035485E"/>
    <w:rsid w:val="00354A86"/>
    <w:rsid w:val="00354CCE"/>
    <w:rsid w:val="00354D9D"/>
    <w:rsid w:val="00354EC2"/>
    <w:rsid w:val="00354FDE"/>
    <w:rsid w:val="0035514C"/>
    <w:rsid w:val="00355A0C"/>
    <w:rsid w:val="00355B5B"/>
    <w:rsid w:val="00355C15"/>
    <w:rsid w:val="00355C51"/>
    <w:rsid w:val="00355C5A"/>
    <w:rsid w:val="00355C9A"/>
    <w:rsid w:val="00355D36"/>
    <w:rsid w:val="00355D72"/>
    <w:rsid w:val="00355E10"/>
    <w:rsid w:val="00355F47"/>
    <w:rsid w:val="00356015"/>
    <w:rsid w:val="00356167"/>
    <w:rsid w:val="003561BF"/>
    <w:rsid w:val="003563D0"/>
    <w:rsid w:val="003565E2"/>
    <w:rsid w:val="00356905"/>
    <w:rsid w:val="00356A37"/>
    <w:rsid w:val="00356A97"/>
    <w:rsid w:val="00356B41"/>
    <w:rsid w:val="00356BEA"/>
    <w:rsid w:val="00356D83"/>
    <w:rsid w:val="00356EFA"/>
    <w:rsid w:val="00356F08"/>
    <w:rsid w:val="00357212"/>
    <w:rsid w:val="0035732C"/>
    <w:rsid w:val="0035794D"/>
    <w:rsid w:val="00357D01"/>
    <w:rsid w:val="00357E07"/>
    <w:rsid w:val="00357EBE"/>
    <w:rsid w:val="00357F1B"/>
    <w:rsid w:val="00357F38"/>
    <w:rsid w:val="00360151"/>
    <w:rsid w:val="00360674"/>
    <w:rsid w:val="00360942"/>
    <w:rsid w:val="00360AB4"/>
    <w:rsid w:val="00360BCB"/>
    <w:rsid w:val="00360BFC"/>
    <w:rsid w:val="00360D02"/>
    <w:rsid w:val="00360F83"/>
    <w:rsid w:val="00360FC9"/>
    <w:rsid w:val="0036101D"/>
    <w:rsid w:val="00361162"/>
    <w:rsid w:val="003613FC"/>
    <w:rsid w:val="00361543"/>
    <w:rsid w:val="00361554"/>
    <w:rsid w:val="003618B6"/>
    <w:rsid w:val="00361B0C"/>
    <w:rsid w:val="00361F59"/>
    <w:rsid w:val="0036210D"/>
    <w:rsid w:val="00362131"/>
    <w:rsid w:val="0036215A"/>
    <w:rsid w:val="003621B9"/>
    <w:rsid w:val="00362519"/>
    <w:rsid w:val="00362A04"/>
    <w:rsid w:val="00362C11"/>
    <w:rsid w:val="00362D1D"/>
    <w:rsid w:val="00362DCB"/>
    <w:rsid w:val="003632E8"/>
    <w:rsid w:val="0036330F"/>
    <w:rsid w:val="00363555"/>
    <w:rsid w:val="00363721"/>
    <w:rsid w:val="00363852"/>
    <w:rsid w:val="00363D33"/>
    <w:rsid w:val="00363DA6"/>
    <w:rsid w:val="00363EBC"/>
    <w:rsid w:val="0036419C"/>
    <w:rsid w:val="00364254"/>
    <w:rsid w:val="003649D7"/>
    <w:rsid w:val="00364C68"/>
    <w:rsid w:val="00364C8B"/>
    <w:rsid w:val="00364FF6"/>
    <w:rsid w:val="00365352"/>
    <w:rsid w:val="003654F6"/>
    <w:rsid w:val="0036598A"/>
    <w:rsid w:val="00365A54"/>
    <w:rsid w:val="00365CCB"/>
    <w:rsid w:val="00365D30"/>
    <w:rsid w:val="00365D45"/>
    <w:rsid w:val="00366172"/>
    <w:rsid w:val="0036622B"/>
    <w:rsid w:val="003662C9"/>
    <w:rsid w:val="003664AD"/>
    <w:rsid w:val="0036661C"/>
    <w:rsid w:val="003666CB"/>
    <w:rsid w:val="00366935"/>
    <w:rsid w:val="00366B3B"/>
    <w:rsid w:val="00366BC2"/>
    <w:rsid w:val="00366D22"/>
    <w:rsid w:val="00366E00"/>
    <w:rsid w:val="0036718B"/>
    <w:rsid w:val="00367205"/>
    <w:rsid w:val="003672A1"/>
    <w:rsid w:val="0036756E"/>
    <w:rsid w:val="003677C9"/>
    <w:rsid w:val="00367D92"/>
    <w:rsid w:val="0037011D"/>
    <w:rsid w:val="003702A4"/>
    <w:rsid w:val="00370383"/>
    <w:rsid w:val="00370389"/>
    <w:rsid w:val="00370560"/>
    <w:rsid w:val="0037083B"/>
    <w:rsid w:val="00370892"/>
    <w:rsid w:val="00370941"/>
    <w:rsid w:val="00370965"/>
    <w:rsid w:val="00370D15"/>
    <w:rsid w:val="00370ED0"/>
    <w:rsid w:val="003714CF"/>
    <w:rsid w:val="003716CE"/>
    <w:rsid w:val="003717D0"/>
    <w:rsid w:val="00371B54"/>
    <w:rsid w:val="00371E9D"/>
    <w:rsid w:val="00371F94"/>
    <w:rsid w:val="00372097"/>
    <w:rsid w:val="003721D1"/>
    <w:rsid w:val="003722F2"/>
    <w:rsid w:val="003725B2"/>
    <w:rsid w:val="00372637"/>
    <w:rsid w:val="00372684"/>
    <w:rsid w:val="00372941"/>
    <w:rsid w:val="00372A3B"/>
    <w:rsid w:val="00372DB6"/>
    <w:rsid w:val="00372DEB"/>
    <w:rsid w:val="003732E4"/>
    <w:rsid w:val="0037334F"/>
    <w:rsid w:val="00373427"/>
    <w:rsid w:val="003735BB"/>
    <w:rsid w:val="0037388C"/>
    <w:rsid w:val="00373B05"/>
    <w:rsid w:val="00373C56"/>
    <w:rsid w:val="00373C6F"/>
    <w:rsid w:val="00373C8B"/>
    <w:rsid w:val="00373D35"/>
    <w:rsid w:val="0037400C"/>
    <w:rsid w:val="00374017"/>
    <w:rsid w:val="00374713"/>
    <w:rsid w:val="00374C9B"/>
    <w:rsid w:val="00374E09"/>
    <w:rsid w:val="00375208"/>
    <w:rsid w:val="0037530E"/>
    <w:rsid w:val="00375939"/>
    <w:rsid w:val="00375A80"/>
    <w:rsid w:val="00375A91"/>
    <w:rsid w:val="00375B07"/>
    <w:rsid w:val="00375B95"/>
    <w:rsid w:val="00375BEE"/>
    <w:rsid w:val="00375C1C"/>
    <w:rsid w:val="00375D80"/>
    <w:rsid w:val="00376133"/>
    <w:rsid w:val="0037616E"/>
    <w:rsid w:val="003764A0"/>
    <w:rsid w:val="003764CA"/>
    <w:rsid w:val="00376753"/>
    <w:rsid w:val="003767A0"/>
    <w:rsid w:val="003768E3"/>
    <w:rsid w:val="00376977"/>
    <w:rsid w:val="00376A5C"/>
    <w:rsid w:val="00376C33"/>
    <w:rsid w:val="00376C49"/>
    <w:rsid w:val="00376C6F"/>
    <w:rsid w:val="00376D84"/>
    <w:rsid w:val="00376EE0"/>
    <w:rsid w:val="0037708D"/>
    <w:rsid w:val="003770C6"/>
    <w:rsid w:val="00377592"/>
    <w:rsid w:val="003777C4"/>
    <w:rsid w:val="00377AE4"/>
    <w:rsid w:val="00377C4A"/>
    <w:rsid w:val="00377CAD"/>
    <w:rsid w:val="00377E08"/>
    <w:rsid w:val="00380176"/>
    <w:rsid w:val="00380187"/>
    <w:rsid w:val="00380254"/>
    <w:rsid w:val="00380437"/>
    <w:rsid w:val="00380582"/>
    <w:rsid w:val="00380923"/>
    <w:rsid w:val="0038095F"/>
    <w:rsid w:val="00380BA5"/>
    <w:rsid w:val="00380C73"/>
    <w:rsid w:val="00380C74"/>
    <w:rsid w:val="00380CC9"/>
    <w:rsid w:val="00380D51"/>
    <w:rsid w:val="00380F14"/>
    <w:rsid w:val="00380F78"/>
    <w:rsid w:val="00380FD9"/>
    <w:rsid w:val="0038100A"/>
    <w:rsid w:val="003810F6"/>
    <w:rsid w:val="00381100"/>
    <w:rsid w:val="003812D8"/>
    <w:rsid w:val="00381594"/>
    <w:rsid w:val="003815CF"/>
    <w:rsid w:val="00381685"/>
    <w:rsid w:val="00381A6B"/>
    <w:rsid w:val="00381AFF"/>
    <w:rsid w:val="00381B09"/>
    <w:rsid w:val="00381BD2"/>
    <w:rsid w:val="00382002"/>
    <w:rsid w:val="003823D4"/>
    <w:rsid w:val="00382490"/>
    <w:rsid w:val="00382649"/>
    <w:rsid w:val="003827E4"/>
    <w:rsid w:val="003829E2"/>
    <w:rsid w:val="00382C56"/>
    <w:rsid w:val="00382CD7"/>
    <w:rsid w:val="00382D54"/>
    <w:rsid w:val="00382DAB"/>
    <w:rsid w:val="00383198"/>
    <w:rsid w:val="003833EA"/>
    <w:rsid w:val="00383525"/>
    <w:rsid w:val="003838AC"/>
    <w:rsid w:val="00383D1E"/>
    <w:rsid w:val="00383D66"/>
    <w:rsid w:val="00383EBF"/>
    <w:rsid w:val="00383F40"/>
    <w:rsid w:val="0038418F"/>
    <w:rsid w:val="00384256"/>
    <w:rsid w:val="003844C4"/>
    <w:rsid w:val="0038453B"/>
    <w:rsid w:val="003845A6"/>
    <w:rsid w:val="00384611"/>
    <w:rsid w:val="003846C4"/>
    <w:rsid w:val="003848A6"/>
    <w:rsid w:val="0038491A"/>
    <w:rsid w:val="0038495F"/>
    <w:rsid w:val="003849A2"/>
    <w:rsid w:val="00384A37"/>
    <w:rsid w:val="00384CDF"/>
    <w:rsid w:val="00384FEA"/>
    <w:rsid w:val="00385077"/>
    <w:rsid w:val="003850DD"/>
    <w:rsid w:val="0038527F"/>
    <w:rsid w:val="00385519"/>
    <w:rsid w:val="00385642"/>
    <w:rsid w:val="003859D6"/>
    <w:rsid w:val="00385C98"/>
    <w:rsid w:val="00385DFE"/>
    <w:rsid w:val="00386035"/>
    <w:rsid w:val="003860E3"/>
    <w:rsid w:val="00386137"/>
    <w:rsid w:val="00386389"/>
    <w:rsid w:val="003863BF"/>
    <w:rsid w:val="003866CC"/>
    <w:rsid w:val="003868EA"/>
    <w:rsid w:val="00386919"/>
    <w:rsid w:val="003869A1"/>
    <w:rsid w:val="00386C39"/>
    <w:rsid w:val="00386DF9"/>
    <w:rsid w:val="003872B4"/>
    <w:rsid w:val="003875D4"/>
    <w:rsid w:val="00387647"/>
    <w:rsid w:val="0038779E"/>
    <w:rsid w:val="00387A24"/>
    <w:rsid w:val="00387BBC"/>
    <w:rsid w:val="00387C69"/>
    <w:rsid w:val="00387D11"/>
    <w:rsid w:val="00387D9C"/>
    <w:rsid w:val="00387E2D"/>
    <w:rsid w:val="00390097"/>
    <w:rsid w:val="003900EF"/>
    <w:rsid w:val="00390219"/>
    <w:rsid w:val="003902B4"/>
    <w:rsid w:val="00390310"/>
    <w:rsid w:val="003904CC"/>
    <w:rsid w:val="003904F4"/>
    <w:rsid w:val="00390503"/>
    <w:rsid w:val="00390591"/>
    <w:rsid w:val="00390789"/>
    <w:rsid w:val="00390881"/>
    <w:rsid w:val="00390A85"/>
    <w:rsid w:val="00390D2D"/>
    <w:rsid w:val="00390D71"/>
    <w:rsid w:val="00390E60"/>
    <w:rsid w:val="003910E0"/>
    <w:rsid w:val="003910E5"/>
    <w:rsid w:val="0039135B"/>
    <w:rsid w:val="00391634"/>
    <w:rsid w:val="00391880"/>
    <w:rsid w:val="00391E57"/>
    <w:rsid w:val="00392054"/>
    <w:rsid w:val="003922C6"/>
    <w:rsid w:val="0039231F"/>
    <w:rsid w:val="00392556"/>
    <w:rsid w:val="00392684"/>
    <w:rsid w:val="00392721"/>
    <w:rsid w:val="0039273B"/>
    <w:rsid w:val="0039279B"/>
    <w:rsid w:val="0039289F"/>
    <w:rsid w:val="003928F2"/>
    <w:rsid w:val="00392EA6"/>
    <w:rsid w:val="00392EBC"/>
    <w:rsid w:val="00393034"/>
    <w:rsid w:val="00393036"/>
    <w:rsid w:val="003930A0"/>
    <w:rsid w:val="003930B5"/>
    <w:rsid w:val="003931BC"/>
    <w:rsid w:val="00393418"/>
    <w:rsid w:val="00393B73"/>
    <w:rsid w:val="00393BB9"/>
    <w:rsid w:val="00393EB5"/>
    <w:rsid w:val="00393F78"/>
    <w:rsid w:val="00394070"/>
    <w:rsid w:val="003944DB"/>
    <w:rsid w:val="00394756"/>
    <w:rsid w:val="00394858"/>
    <w:rsid w:val="00394C9B"/>
    <w:rsid w:val="00394CD5"/>
    <w:rsid w:val="00394E66"/>
    <w:rsid w:val="00394E77"/>
    <w:rsid w:val="00394FD4"/>
    <w:rsid w:val="003950BF"/>
    <w:rsid w:val="0039515C"/>
    <w:rsid w:val="00395204"/>
    <w:rsid w:val="00395401"/>
    <w:rsid w:val="0039591D"/>
    <w:rsid w:val="00395AC7"/>
    <w:rsid w:val="00395AE4"/>
    <w:rsid w:val="00395C36"/>
    <w:rsid w:val="00395CF0"/>
    <w:rsid w:val="00395EA4"/>
    <w:rsid w:val="00395ED8"/>
    <w:rsid w:val="00396396"/>
    <w:rsid w:val="0039656B"/>
    <w:rsid w:val="003965A4"/>
    <w:rsid w:val="003965FC"/>
    <w:rsid w:val="00396719"/>
    <w:rsid w:val="003968B1"/>
    <w:rsid w:val="00396AC6"/>
    <w:rsid w:val="00396BD0"/>
    <w:rsid w:val="00396C30"/>
    <w:rsid w:val="00396D86"/>
    <w:rsid w:val="0039738F"/>
    <w:rsid w:val="003974F7"/>
    <w:rsid w:val="003975E0"/>
    <w:rsid w:val="0039770F"/>
    <w:rsid w:val="00397AD3"/>
    <w:rsid w:val="00397BC0"/>
    <w:rsid w:val="00397E70"/>
    <w:rsid w:val="003A0060"/>
    <w:rsid w:val="003A02FD"/>
    <w:rsid w:val="003A054B"/>
    <w:rsid w:val="003A06F3"/>
    <w:rsid w:val="003A081E"/>
    <w:rsid w:val="003A09E6"/>
    <w:rsid w:val="003A0DCC"/>
    <w:rsid w:val="003A12CA"/>
    <w:rsid w:val="003A1320"/>
    <w:rsid w:val="003A1543"/>
    <w:rsid w:val="003A1589"/>
    <w:rsid w:val="003A1806"/>
    <w:rsid w:val="003A18AD"/>
    <w:rsid w:val="003A1CC1"/>
    <w:rsid w:val="003A1EE1"/>
    <w:rsid w:val="003A1F5E"/>
    <w:rsid w:val="003A21B3"/>
    <w:rsid w:val="003A234A"/>
    <w:rsid w:val="003A24C2"/>
    <w:rsid w:val="003A2567"/>
    <w:rsid w:val="003A2675"/>
    <w:rsid w:val="003A28A6"/>
    <w:rsid w:val="003A2976"/>
    <w:rsid w:val="003A2981"/>
    <w:rsid w:val="003A29CC"/>
    <w:rsid w:val="003A2B02"/>
    <w:rsid w:val="003A2F7E"/>
    <w:rsid w:val="003A2FBA"/>
    <w:rsid w:val="003A300D"/>
    <w:rsid w:val="003A32A9"/>
    <w:rsid w:val="003A32AB"/>
    <w:rsid w:val="003A32F4"/>
    <w:rsid w:val="003A354D"/>
    <w:rsid w:val="003A3584"/>
    <w:rsid w:val="003A37B2"/>
    <w:rsid w:val="003A384D"/>
    <w:rsid w:val="003A3C7A"/>
    <w:rsid w:val="003A3F82"/>
    <w:rsid w:val="003A3FC8"/>
    <w:rsid w:val="003A4199"/>
    <w:rsid w:val="003A4220"/>
    <w:rsid w:val="003A43FB"/>
    <w:rsid w:val="003A4511"/>
    <w:rsid w:val="003A4600"/>
    <w:rsid w:val="003A4727"/>
    <w:rsid w:val="003A4732"/>
    <w:rsid w:val="003A4835"/>
    <w:rsid w:val="003A4999"/>
    <w:rsid w:val="003A4AB8"/>
    <w:rsid w:val="003A4EBF"/>
    <w:rsid w:val="003A50A1"/>
    <w:rsid w:val="003A50B1"/>
    <w:rsid w:val="003A5247"/>
    <w:rsid w:val="003A5287"/>
    <w:rsid w:val="003A55A5"/>
    <w:rsid w:val="003A5A8B"/>
    <w:rsid w:val="003A5C2A"/>
    <w:rsid w:val="003A5D82"/>
    <w:rsid w:val="003A6093"/>
    <w:rsid w:val="003A6373"/>
    <w:rsid w:val="003A644E"/>
    <w:rsid w:val="003A66AE"/>
    <w:rsid w:val="003A66E5"/>
    <w:rsid w:val="003A672A"/>
    <w:rsid w:val="003A672C"/>
    <w:rsid w:val="003A68B9"/>
    <w:rsid w:val="003A6A0C"/>
    <w:rsid w:val="003A6B31"/>
    <w:rsid w:val="003A6D71"/>
    <w:rsid w:val="003A71D3"/>
    <w:rsid w:val="003A7215"/>
    <w:rsid w:val="003A72D5"/>
    <w:rsid w:val="003A749B"/>
    <w:rsid w:val="003A750F"/>
    <w:rsid w:val="003A76C2"/>
    <w:rsid w:val="003A7726"/>
    <w:rsid w:val="003A7C48"/>
    <w:rsid w:val="003B001A"/>
    <w:rsid w:val="003B00CA"/>
    <w:rsid w:val="003B00F1"/>
    <w:rsid w:val="003B01CD"/>
    <w:rsid w:val="003B0599"/>
    <w:rsid w:val="003B06DA"/>
    <w:rsid w:val="003B06E2"/>
    <w:rsid w:val="003B0A59"/>
    <w:rsid w:val="003B0BD9"/>
    <w:rsid w:val="003B0C50"/>
    <w:rsid w:val="003B0CF8"/>
    <w:rsid w:val="003B0D1B"/>
    <w:rsid w:val="003B0E99"/>
    <w:rsid w:val="003B0FF2"/>
    <w:rsid w:val="003B112E"/>
    <w:rsid w:val="003B1181"/>
    <w:rsid w:val="003B11BF"/>
    <w:rsid w:val="003B1407"/>
    <w:rsid w:val="003B1869"/>
    <w:rsid w:val="003B18D2"/>
    <w:rsid w:val="003B1A54"/>
    <w:rsid w:val="003B1A75"/>
    <w:rsid w:val="003B1B97"/>
    <w:rsid w:val="003B1BED"/>
    <w:rsid w:val="003B1C45"/>
    <w:rsid w:val="003B1DC0"/>
    <w:rsid w:val="003B20F4"/>
    <w:rsid w:val="003B25EA"/>
    <w:rsid w:val="003B2695"/>
    <w:rsid w:val="003B2747"/>
    <w:rsid w:val="003B29C3"/>
    <w:rsid w:val="003B2F70"/>
    <w:rsid w:val="003B3191"/>
    <w:rsid w:val="003B3285"/>
    <w:rsid w:val="003B35F1"/>
    <w:rsid w:val="003B3673"/>
    <w:rsid w:val="003B38FA"/>
    <w:rsid w:val="003B3B6C"/>
    <w:rsid w:val="003B3E2E"/>
    <w:rsid w:val="003B3E54"/>
    <w:rsid w:val="003B3EB4"/>
    <w:rsid w:val="003B407E"/>
    <w:rsid w:val="003B4357"/>
    <w:rsid w:val="003B4443"/>
    <w:rsid w:val="003B4458"/>
    <w:rsid w:val="003B4475"/>
    <w:rsid w:val="003B44F5"/>
    <w:rsid w:val="003B4C84"/>
    <w:rsid w:val="003B5084"/>
    <w:rsid w:val="003B5141"/>
    <w:rsid w:val="003B532E"/>
    <w:rsid w:val="003B55B6"/>
    <w:rsid w:val="003B5611"/>
    <w:rsid w:val="003B5C0E"/>
    <w:rsid w:val="003B5C98"/>
    <w:rsid w:val="003B5F3A"/>
    <w:rsid w:val="003B60A9"/>
    <w:rsid w:val="003B64DD"/>
    <w:rsid w:val="003B6718"/>
    <w:rsid w:val="003B68CF"/>
    <w:rsid w:val="003B6933"/>
    <w:rsid w:val="003B6F75"/>
    <w:rsid w:val="003B6FB5"/>
    <w:rsid w:val="003B7038"/>
    <w:rsid w:val="003B7224"/>
    <w:rsid w:val="003B7795"/>
    <w:rsid w:val="003B790A"/>
    <w:rsid w:val="003B7D4D"/>
    <w:rsid w:val="003B7D58"/>
    <w:rsid w:val="003B7E6F"/>
    <w:rsid w:val="003B7FDC"/>
    <w:rsid w:val="003C00CE"/>
    <w:rsid w:val="003C0200"/>
    <w:rsid w:val="003C02DB"/>
    <w:rsid w:val="003C0365"/>
    <w:rsid w:val="003C03D2"/>
    <w:rsid w:val="003C0490"/>
    <w:rsid w:val="003C04A4"/>
    <w:rsid w:val="003C0655"/>
    <w:rsid w:val="003C0DFA"/>
    <w:rsid w:val="003C11AF"/>
    <w:rsid w:val="003C12FE"/>
    <w:rsid w:val="003C1655"/>
    <w:rsid w:val="003C16C0"/>
    <w:rsid w:val="003C1797"/>
    <w:rsid w:val="003C1832"/>
    <w:rsid w:val="003C1A4C"/>
    <w:rsid w:val="003C1A7F"/>
    <w:rsid w:val="003C1AC2"/>
    <w:rsid w:val="003C1AC3"/>
    <w:rsid w:val="003C1B19"/>
    <w:rsid w:val="003C1CE7"/>
    <w:rsid w:val="003C1DAD"/>
    <w:rsid w:val="003C1E8C"/>
    <w:rsid w:val="003C1FA3"/>
    <w:rsid w:val="003C27F6"/>
    <w:rsid w:val="003C2C61"/>
    <w:rsid w:val="003C2DD2"/>
    <w:rsid w:val="003C2F0F"/>
    <w:rsid w:val="003C31B3"/>
    <w:rsid w:val="003C339F"/>
    <w:rsid w:val="003C3626"/>
    <w:rsid w:val="003C38BC"/>
    <w:rsid w:val="003C39A7"/>
    <w:rsid w:val="003C3E00"/>
    <w:rsid w:val="003C3ED1"/>
    <w:rsid w:val="003C3F76"/>
    <w:rsid w:val="003C41D4"/>
    <w:rsid w:val="003C438C"/>
    <w:rsid w:val="003C47D7"/>
    <w:rsid w:val="003C4809"/>
    <w:rsid w:val="003C481E"/>
    <w:rsid w:val="003C4A4B"/>
    <w:rsid w:val="003C4DA8"/>
    <w:rsid w:val="003C4EA4"/>
    <w:rsid w:val="003C4F50"/>
    <w:rsid w:val="003C5018"/>
    <w:rsid w:val="003C521C"/>
    <w:rsid w:val="003C5370"/>
    <w:rsid w:val="003C53FB"/>
    <w:rsid w:val="003C5474"/>
    <w:rsid w:val="003C5657"/>
    <w:rsid w:val="003C5675"/>
    <w:rsid w:val="003C5919"/>
    <w:rsid w:val="003C59D0"/>
    <w:rsid w:val="003C5A07"/>
    <w:rsid w:val="003C5B9A"/>
    <w:rsid w:val="003C5C9B"/>
    <w:rsid w:val="003C6493"/>
    <w:rsid w:val="003C68ED"/>
    <w:rsid w:val="003C6CB3"/>
    <w:rsid w:val="003C6CC5"/>
    <w:rsid w:val="003C6D2B"/>
    <w:rsid w:val="003C6E46"/>
    <w:rsid w:val="003C6F47"/>
    <w:rsid w:val="003C70CA"/>
    <w:rsid w:val="003C71C2"/>
    <w:rsid w:val="003C7268"/>
    <w:rsid w:val="003C7876"/>
    <w:rsid w:val="003C787A"/>
    <w:rsid w:val="003C7927"/>
    <w:rsid w:val="003C7980"/>
    <w:rsid w:val="003C7ABF"/>
    <w:rsid w:val="003C7D88"/>
    <w:rsid w:val="003C7FED"/>
    <w:rsid w:val="003D0142"/>
    <w:rsid w:val="003D034C"/>
    <w:rsid w:val="003D0449"/>
    <w:rsid w:val="003D044E"/>
    <w:rsid w:val="003D0622"/>
    <w:rsid w:val="003D09E8"/>
    <w:rsid w:val="003D0B58"/>
    <w:rsid w:val="003D0D6E"/>
    <w:rsid w:val="003D1132"/>
    <w:rsid w:val="003D1366"/>
    <w:rsid w:val="003D1AF6"/>
    <w:rsid w:val="003D1B65"/>
    <w:rsid w:val="003D1B82"/>
    <w:rsid w:val="003D1BBD"/>
    <w:rsid w:val="003D1D7E"/>
    <w:rsid w:val="003D2031"/>
    <w:rsid w:val="003D21C8"/>
    <w:rsid w:val="003D2259"/>
    <w:rsid w:val="003D227C"/>
    <w:rsid w:val="003D29CB"/>
    <w:rsid w:val="003D306A"/>
    <w:rsid w:val="003D322A"/>
    <w:rsid w:val="003D32C3"/>
    <w:rsid w:val="003D33CB"/>
    <w:rsid w:val="003D399C"/>
    <w:rsid w:val="003D3B82"/>
    <w:rsid w:val="003D3BBF"/>
    <w:rsid w:val="003D3FAE"/>
    <w:rsid w:val="003D4485"/>
    <w:rsid w:val="003D44D3"/>
    <w:rsid w:val="003D4505"/>
    <w:rsid w:val="003D451F"/>
    <w:rsid w:val="003D4AD1"/>
    <w:rsid w:val="003D4B2D"/>
    <w:rsid w:val="003D4BDB"/>
    <w:rsid w:val="003D4CB0"/>
    <w:rsid w:val="003D4CEB"/>
    <w:rsid w:val="003D4F93"/>
    <w:rsid w:val="003D511D"/>
    <w:rsid w:val="003D5342"/>
    <w:rsid w:val="003D5403"/>
    <w:rsid w:val="003D5680"/>
    <w:rsid w:val="003D578C"/>
    <w:rsid w:val="003D57D3"/>
    <w:rsid w:val="003D5A55"/>
    <w:rsid w:val="003D5BE8"/>
    <w:rsid w:val="003D5F6B"/>
    <w:rsid w:val="003D5F96"/>
    <w:rsid w:val="003D5FA4"/>
    <w:rsid w:val="003D6014"/>
    <w:rsid w:val="003D617A"/>
    <w:rsid w:val="003D61AC"/>
    <w:rsid w:val="003D6334"/>
    <w:rsid w:val="003D65A2"/>
    <w:rsid w:val="003D65A8"/>
    <w:rsid w:val="003D66C6"/>
    <w:rsid w:val="003D68A5"/>
    <w:rsid w:val="003D69DA"/>
    <w:rsid w:val="003D6B00"/>
    <w:rsid w:val="003D6C5E"/>
    <w:rsid w:val="003D6EF9"/>
    <w:rsid w:val="003D6F7C"/>
    <w:rsid w:val="003D71CE"/>
    <w:rsid w:val="003D72C2"/>
    <w:rsid w:val="003D7647"/>
    <w:rsid w:val="003D77F2"/>
    <w:rsid w:val="003D78C6"/>
    <w:rsid w:val="003D792B"/>
    <w:rsid w:val="003D7C5B"/>
    <w:rsid w:val="003D7F68"/>
    <w:rsid w:val="003D7F6F"/>
    <w:rsid w:val="003E0046"/>
    <w:rsid w:val="003E0144"/>
    <w:rsid w:val="003E0201"/>
    <w:rsid w:val="003E0258"/>
    <w:rsid w:val="003E04EC"/>
    <w:rsid w:val="003E0538"/>
    <w:rsid w:val="003E088B"/>
    <w:rsid w:val="003E0F8C"/>
    <w:rsid w:val="003E0FAC"/>
    <w:rsid w:val="003E10DB"/>
    <w:rsid w:val="003E17D9"/>
    <w:rsid w:val="003E1807"/>
    <w:rsid w:val="003E18C8"/>
    <w:rsid w:val="003E194A"/>
    <w:rsid w:val="003E1D09"/>
    <w:rsid w:val="003E1D7B"/>
    <w:rsid w:val="003E1F9B"/>
    <w:rsid w:val="003E1FBF"/>
    <w:rsid w:val="003E2081"/>
    <w:rsid w:val="003E215B"/>
    <w:rsid w:val="003E2B7E"/>
    <w:rsid w:val="003E2BDA"/>
    <w:rsid w:val="003E2DB5"/>
    <w:rsid w:val="003E3249"/>
    <w:rsid w:val="003E377A"/>
    <w:rsid w:val="003E3A47"/>
    <w:rsid w:val="003E3AC9"/>
    <w:rsid w:val="003E405B"/>
    <w:rsid w:val="003E4132"/>
    <w:rsid w:val="003E4574"/>
    <w:rsid w:val="003E46C4"/>
    <w:rsid w:val="003E47A9"/>
    <w:rsid w:val="003E4850"/>
    <w:rsid w:val="003E4952"/>
    <w:rsid w:val="003E4D44"/>
    <w:rsid w:val="003E4E3C"/>
    <w:rsid w:val="003E51F7"/>
    <w:rsid w:val="003E51F9"/>
    <w:rsid w:val="003E5330"/>
    <w:rsid w:val="003E5368"/>
    <w:rsid w:val="003E5375"/>
    <w:rsid w:val="003E5664"/>
    <w:rsid w:val="003E5CB6"/>
    <w:rsid w:val="003E6036"/>
    <w:rsid w:val="003E60DF"/>
    <w:rsid w:val="003E622B"/>
    <w:rsid w:val="003E63C2"/>
    <w:rsid w:val="003E63DF"/>
    <w:rsid w:val="003E6642"/>
    <w:rsid w:val="003E66ED"/>
    <w:rsid w:val="003E6EB1"/>
    <w:rsid w:val="003E6EFF"/>
    <w:rsid w:val="003E70CA"/>
    <w:rsid w:val="003E712C"/>
    <w:rsid w:val="003E71AA"/>
    <w:rsid w:val="003E76F0"/>
    <w:rsid w:val="003E7924"/>
    <w:rsid w:val="003E79B9"/>
    <w:rsid w:val="003E7B0D"/>
    <w:rsid w:val="003E7D47"/>
    <w:rsid w:val="003F044B"/>
    <w:rsid w:val="003F0485"/>
    <w:rsid w:val="003F0751"/>
    <w:rsid w:val="003F0813"/>
    <w:rsid w:val="003F0A85"/>
    <w:rsid w:val="003F0CE4"/>
    <w:rsid w:val="003F0E35"/>
    <w:rsid w:val="003F1423"/>
    <w:rsid w:val="003F14D9"/>
    <w:rsid w:val="003F151C"/>
    <w:rsid w:val="003F16F5"/>
    <w:rsid w:val="003F172E"/>
    <w:rsid w:val="003F174C"/>
    <w:rsid w:val="003F1E4D"/>
    <w:rsid w:val="003F1EB9"/>
    <w:rsid w:val="003F1FAC"/>
    <w:rsid w:val="003F243F"/>
    <w:rsid w:val="003F27B0"/>
    <w:rsid w:val="003F2C5D"/>
    <w:rsid w:val="003F2C98"/>
    <w:rsid w:val="003F3009"/>
    <w:rsid w:val="003F3071"/>
    <w:rsid w:val="003F3311"/>
    <w:rsid w:val="003F339E"/>
    <w:rsid w:val="003F3536"/>
    <w:rsid w:val="003F36AD"/>
    <w:rsid w:val="003F3888"/>
    <w:rsid w:val="003F3A1A"/>
    <w:rsid w:val="003F3C42"/>
    <w:rsid w:val="003F3C8D"/>
    <w:rsid w:val="003F3D3E"/>
    <w:rsid w:val="003F3E20"/>
    <w:rsid w:val="003F43CF"/>
    <w:rsid w:val="003F485E"/>
    <w:rsid w:val="003F4889"/>
    <w:rsid w:val="003F4A0F"/>
    <w:rsid w:val="003F4F9C"/>
    <w:rsid w:val="003F537B"/>
    <w:rsid w:val="003F576D"/>
    <w:rsid w:val="003F58A4"/>
    <w:rsid w:val="003F5A1F"/>
    <w:rsid w:val="003F5A6D"/>
    <w:rsid w:val="003F5BFA"/>
    <w:rsid w:val="003F5C8E"/>
    <w:rsid w:val="003F5E90"/>
    <w:rsid w:val="003F5EC1"/>
    <w:rsid w:val="003F5F53"/>
    <w:rsid w:val="003F5FBA"/>
    <w:rsid w:val="003F60D7"/>
    <w:rsid w:val="003F613B"/>
    <w:rsid w:val="003F6233"/>
    <w:rsid w:val="003F62FF"/>
    <w:rsid w:val="003F639F"/>
    <w:rsid w:val="003F64CB"/>
    <w:rsid w:val="003F675E"/>
    <w:rsid w:val="003F692B"/>
    <w:rsid w:val="003F6AB0"/>
    <w:rsid w:val="003F6BF3"/>
    <w:rsid w:val="003F6C2E"/>
    <w:rsid w:val="003F6E26"/>
    <w:rsid w:val="003F71CC"/>
    <w:rsid w:val="003F7386"/>
    <w:rsid w:val="003F7755"/>
    <w:rsid w:val="003F787A"/>
    <w:rsid w:val="003F7BDE"/>
    <w:rsid w:val="003F7C6E"/>
    <w:rsid w:val="004002BE"/>
    <w:rsid w:val="004004A4"/>
    <w:rsid w:val="00400531"/>
    <w:rsid w:val="00400879"/>
    <w:rsid w:val="004008E5"/>
    <w:rsid w:val="004009A1"/>
    <w:rsid w:val="00400A51"/>
    <w:rsid w:val="00400B5E"/>
    <w:rsid w:val="00400E32"/>
    <w:rsid w:val="00400E6B"/>
    <w:rsid w:val="00400FD3"/>
    <w:rsid w:val="004010B7"/>
    <w:rsid w:val="00401130"/>
    <w:rsid w:val="0040147B"/>
    <w:rsid w:val="00401725"/>
    <w:rsid w:val="004017CA"/>
    <w:rsid w:val="00401840"/>
    <w:rsid w:val="00401901"/>
    <w:rsid w:val="00401AAB"/>
    <w:rsid w:val="00401CA8"/>
    <w:rsid w:val="00401FA3"/>
    <w:rsid w:val="00401FD7"/>
    <w:rsid w:val="0040212B"/>
    <w:rsid w:val="0040217F"/>
    <w:rsid w:val="00402347"/>
    <w:rsid w:val="0040243D"/>
    <w:rsid w:val="004026A2"/>
    <w:rsid w:val="004028A3"/>
    <w:rsid w:val="00402BD5"/>
    <w:rsid w:val="00402EC4"/>
    <w:rsid w:val="00402F5A"/>
    <w:rsid w:val="00402F9A"/>
    <w:rsid w:val="004030B6"/>
    <w:rsid w:val="00403518"/>
    <w:rsid w:val="0040357C"/>
    <w:rsid w:val="00403650"/>
    <w:rsid w:val="00403A89"/>
    <w:rsid w:val="00403B02"/>
    <w:rsid w:val="00403B13"/>
    <w:rsid w:val="00403BD8"/>
    <w:rsid w:val="00403E23"/>
    <w:rsid w:val="00403EAA"/>
    <w:rsid w:val="00403EE1"/>
    <w:rsid w:val="004042DB"/>
    <w:rsid w:val="00404630"/>
    <w:rsid w:val="0040493E"/>
    <w:rsid w:val="00404DCB"/>
    <w:rsid w:val="00404FF0"/>
    <w:rsid w:val="0040517D"/>
    <w:rsid w:val="0040538A"/>
    <w:rsid w:val="00405ABF"/>
    <w:rsid w:val="00405B50"/>
    <w:rsid w:val="00405EF2"/>
    <w:rsid w:val="0040609E"/>
    <w:rsid w:val="004064C3"/>
    <w:rsid w:val="004066A2"/>
    <w:rsid w:val="00406701"/>
    <w:rsid w:val="004068D2"/>
    <w:rsid w:val="00406D3C"/>
    <w:rsid w:val="00406ED4"/>
    <w:rsid w:val="00406EE1"/>
    <w:rsid w:val="00406F66"/>
    <w:rsid w:val="0040707A"/>
    <w:rsid w:val="004070F2"/>
    <w:rsid w:val="00407380"/>
    <w:rsid w:val="00407490"/>
    <w:rsid w:val="0040749E"/>
    <w:rsid w:val="00407512"/>
    <w:rsid w:val="004075FC"/>
    <w:rsid w:val="004077C4"/>
    <w:rsid w:val="00407807"/>
    <w:rsid w:val="0040782C"/>
    <w:rsid w:val="004078C1"/>
    <w:rsid w:val="004078EE"/>
    <w:rsid w:val="00407AB3"/>
    <w:rsid w:val="00407B11"/>
    <w:rsid w:val="00407EC9"/>
    <w:rsid w:val="00407F08"/>
    <w:rsid w:val="004102C5"/>
    <w:rsid w:val="00410487"/>
    <w:rsid w:val="0041054F"/>
    <w:rsid w:val="00410731"/>
    <w:rsid w:val="0041075C"/>
    <w:rsid w:val="00410B91"/>
    <w:rsid w:val="00410C14"/>
    <w:rsid w:val="00411078"/>
    <w:rsid w:val="00411083"/>
    <w:rsid w:val="00411182"/>
    <w:rsid w:val="004111D1"/>
    <w:rsid w:val="0041120A"/>
    <w:rsid w:val="00411814"/>
    <w:rsid w:val="004118EF"/>
    <w:rsid w:val="00411A41"/>
    <w:rsid w:val="00411A7B"/>
    <w:rsid w:val="00411B22"/>
    <w:rsid w:val="00411CFF"/>
    <w:rsid w:val="00411DEB"/>
    <w:rsid w:val="00411ED6"/>
    <w:rsid w:val="00411F13"/>
    <w:rsid w:val="0041229D"/>
    <w:rsid w:val="004122DA"/>
    <w:rsid w:val="00412389"/>
    <w:rsid w:val="00412470"/>
    <w:rsid w:val="00412493"/>
    <w:rsid w:val="004124A9"/>
    <w:rsid w:val="0041262E"/>
    <w:rsid w:val="0041266D"/>
    <w:rsid w:val="00412685"/>
    <w:rsid w:val="0041281F"/>
    <w:rsid w:val="00412AD9"/>
    <w:rsid w:val="00412C6F"/>
    <w:rsid w:val="00412E27"/>
    <w:rsid w:val="00413081"/>
    <w:rsid w:val="00413383"/>
    <w:rsid w:val="004133F1"/>
    <w:rsid w:val="00413508"/>
    <w:rsid w:val="0041351B"/>
    <w:rsid w:val="00413735"/>
    <w:rsid w:val="00413B67"/>
    <w:rsid w:val="00413D9C"/>
    <w:rsid w:val="00413E61"/>
    <w:rsid w:val="00413E78"/>
    <w:rsid w:val="004141BB"/>
    <w:rsid w:val="00414201"/>
    <w:rsid w:val="0041462A"/>
    <w:rsid w:val="004147C6"/>
    <w:rsid w:val="00414967"/>
    <w:rsid w:val="00414BDD"/>
    <w:rsid w:val="00414FCE"/>
    <w:rsid w:val="00415151"/>
    <w:rsid w:val="0041525E"/>
    <w:rsid w:val="00415280"/>
    <w:rsid w:val="00415AE4"/>
    <w:rsid w:val="00415B15"/>
    <w:rsid w:val="00415DAE"/>
    <w:rsid w:val="00416304"/>
    <w:rsid w:val="004165A3"/>
    <w:rsid w:val="00416705"/>
    <w:rsid w:val="00416754"/>
    <w:rsid w:val="00416792"/>
    <w:rsid w:val="00416799"/>
    <w:rsid w:val="0041680E"/>
    <w:rsid w:val="0041690F"/>
    <w:rsid w:val="00416956"/>
    <w:rsid w:val="00416B25"/>
    <w:rsid w:val="00416BAB"/>
    <w:rsid w:val="00416C92"/>
    <w:rsid w:val="00416F0E"/>
    <w:rsid w:val="00417003"/>
    <w:rsid w:val="00417474"/>
    <w:rsid w:val="004176CC"/>
    <w:rsid w:val="004178A6"/>
    <w:rsid w:val="004179FE"/>
    <w:rsid w:val="00417A56"/>
    <w:rsid w:val="00417AE5"/>
    <w:rsid w:val="00417AF6"/>
    <w:rsid w:val="00417BC9"/>
    <w:rsid w:val="00417D7F"/>
    <w:rsid w:val="00417F96"/>
    <w:rsid w:val="00417FDB"/>
    <w:rsid w:val="00420105"/>
    <w:rsid w:val="00420ADB"/>
    <w:rsid w:val="00420B0C"/>
    <w:rsid w:val="00420B37"/>
    <w:rsid w:val="00420C73"/>
    <w:rsid w:val="00420D7F"/>
    <w:rsid w:val="00420EE7"/>
    <w:rsid w:val="00420FA7"/>
    <w:rsid w:val="00421005"/>
    <w:rsid w:val="0042102C"/>
    <w:rsid w:val="00421181"/>
    <w:rsid w:val="0042119D"/>
    <w:rsid w:val="0042130C"/>
    <w:rsid w:val="004213E9"/>
    <w:rsid w:val="0042154B"/>
    <w:rsid w:val="0042179F"/>
    <w:rsid w:val="004218CC"/>
    <w:rsid w:val="00421B04"/>
    <w:rsid w:val="00421D72"/>
    <w:rsid w:val="00421EB7"/>
    <w:rsid w:val="00421F80"/>
    <w:rsid w:val="004220EF"/>
    <w:rsid w:val="00422117"/>
    <w:rsid w:val="004225B2"/>
    <w:rsid w:val="004226EA"/>
    <w:rsid w:val="00422A1D"/>
    <w:rsid w:val="00422C61"/>
    <w:rsid w:val="00422E17"/>
    <w:rsid w:val="0042307A"/>
    <w:rsid w:val="004232FE"/>
    <w:rsid w:val="00423454"/>
    <w:rsid w:val="00423883"/>
    <w:rsid w:val="004239A6"/>
    <w:rsid w:val="00423F94"/>
    <w:rsid w:val="004241DA"/>
    <w:rsid w:val="00424270"/>
    <w:rsid w:val="00424430"/>
    <w:rsid w:val="0042484E"/>
    <w:rsid w:val="00424865"/>
    <w:rsid w:val="00424B6A"/>
    <w:rsid w:val="00424BF0"/>
    <w:rsid w:val="00424E87"/>
    <w:rsid w:val="00424F20"/>
    <w:rsid w:val="00424FD6"/>
    <w:rsid w:val="004251A0"/>
    <w:rsid w:val="0042529E"/>
    <w:rsid w:val="00425342"/>
    <w:rsid w:val="004254E9"/>
    <w:rsid w:val="00425610"/>
    <w:rsid w:val="004256B6"/>
    <w:rsid w:val="004257A5"/>
    <w:rsid w:val="00425A4D"/>
    <w:rsid w:val="00425C4D"/>
    <w:rsid w:val="0042609E"/>
    <w:rsid w:val="00426382"/>
    <w:rsid w:val="00426583"/>
    <w:rsid w:val="00426859"/>
    <w:rsid w:val="004269D6"/>
    <w:rsid w:val="004269F7"/>
    <w:rsid w:val="00426C55"/>
    <w:rsid w:val="00426DDA"/>
    <w:rsid w:val="0042702E"/>
    <w:rsid w:val="00427088"/>
    <w:rsid w:val="004271E3"/>
    <w:rsid w:val="004272DA"/>
    <w:rsid w:val="00427555"/>
    <w:rsid w:val="0042771B"/>
    <w:rsid w:val="0042798D"/>
    <w:rsid w:val="00427B1D"/>
    <w:rsid w:val="00427D60"/>
    <w:rsid w:val="00427DEF"/>
    <w:rsid w:val="00427EAD"/>
    <w:rsid w:val="00427F40"/>
    <w:rsid w:val="00430110"/>
    <w:rsid w:val="0043013C"/>
    <w:rsid w:val="0043066A"/>
    <w:rsid w:val="00430CC4"/>
    <w:rsid w:val="00430D43"/>
    <w:rsid w:val="00430D9D"/>
    <w:rsid w:val="00430EF0"/>
    <w:rsid w:val="00431066"/>
    <w:rsid w:val="004310F3"/>
    <w:rsid w:val="004311C3"/>
    <w:rsid w:val="004311CB"/>
    <w:rsid w:val="00431218"/>
    <w:rsid w:val="004312C8"/>
    <w:rsid w:val="004317FA"/>
    <w:rsid w:val="00431873"/>
    <w:rsid w:val="0043199E"/>
    <w:rsid w:val="004319BD"/>
    <w:rsid w:val="00431BED"/>
    <w:rsid w:val="00431D63"/>
    <w:rsid w:val="00432194"/>
    <w:rsid w:val="00432263"/>
    <w:rsid w:val="004322C8"/>
    <w:rsid w:val="00432724"/>
    <w:rsid w:val="00432790"/>
    <w:rsid w:val="00432999"/>
    <w:rsid w:val="004329D7"/>
    <w:rsid w:val="00432C6A"/>
    <w:rsid w:val="00432EBC"/>
    <w:rsid w:val="00432F69"/>
    <w:rsid w:val="00432FD2"/>
    <w:rsid w:val="0043304C"/>
    <w:rsid w:val="004332A7"/>
    <w:rsid w:val="00433434"/>
    <w:rsid w:val="00433457"/>
    <w:rsid w:val="0043385B"/>
    <w:rsid w:val="004338DE"/>
    <w:rsid w:val="0043396D"/>
    <w:rsid w:val="004339C4"/>
    <w:rsid w:val="00433B44"/>
    <w:rsid w:val="00433C57"/>
    <w:rsid w:val="00433CB7"/>
    <w:rsid w:val="00433D2E"/>
    <w:rsid w:val="00433DEB"/>
    <w:rsid w:val="00433FA4"/>
    <w:rsid w:val="00434102"/>
    <w:rsid w:val="0043416D"/>
    <w:rsid w:val="00434222"/>
    <w:rsid w:val="00434341"/>
    <w:rsid w:val="0043450A"/>
    <w:rsid w:val="0043488C"/>
    <w:rsid w:val="00434910"/>
    <w:rsid w:val="004349ED"/>
    <w:rsid w:val="00434AFA"/>
    <w:rsid w:val="00434DC5"/>
    <w:rsid w:val="00434EFB"/>
    <w:rsid w:val="00434F98"/>
    <w:rsid w:val="00434FBE"/>
    <w:rsid w:val="0043501A"/>
    <w:rsid w:val="004351FB"/>
    <w:rsid w:val="0043533A"/>
    <w:rsid w:val="0043534E"/>
    <w:rsid w:val="004353A1"/>
    <w:rsid w:val="00435554"/>
    <w:rsid w:val="00435628"/>
    <w:rsid w:val="0043576D"/>
    <w:rsid w:val="004357F7"/>
    <w:rsid w:val="0043580B"/>
    <w:rsid w:val="00435860"/>
    <w:rsid w:val="00435A99"/>
    <w:rsid w:val="00435BF9"/>
    <w:rsid w:val="00435EDB"/>
    <w:rsid w:val="00435F63"/>
    <w:rsid w:val="0043658C"/>
    <w:rsid w:val="00436739"/>
    <w:rsid w:val="00436748"/>
    <w:rsid w:val="00436A03"/>
    <w:rsid w:val="00436A6D"/>
    <w:rsid w:val="00436B78"/>
    <w:rsid w:val="00436B80"/>
    <w:rsid w:val="00436BFE"/>
    <w:rsid w:val="00436F7E"/>
    <w:rsid w:val="00437053"/>
    <w:rsid w:val="004370C9"/>
    <w:rsid w:val="0043776C"/>
    <w:rsid w:val="0043795E"/>
    <w:rsid w:val="00437AEA"/>
    <w:rsid w:val="00437DE8"/>
    <w:rsid w:val="0044017C"/>
    <w:rsid w:val="00440272"/>
    <w:rsid w:val="004406DB"/>
    <w:rsid w:val="004406EE"/>
    <w:rsid w:val="00440955"/>
    <w:rsid w:val="00440C6C"/>
    <w:rsid w:val="00440CBB"/>
    <w:rsid w:val="0044100E"/>
    <w:rsid w:val="00441032"/>
    <w:rsid w:val="00441DB4"/>
    <w:rsid w:val="00441DE7"/>
    <w:rsid w:val="00441E05"/>
    <w:rsid w:val="004422F3"/>
    <w:rsid w:val="00442403"/>
    <w:rsid w:val="00442441"/>
    <w:rsid w:val="00442614"/>
    <w:rsid w:val="004428CD"/>
    <w:rsid w:val="00442904"/>
    <w:rsid w:val="00442BE7"/>
    <w:rsid w:val="00442C19"/>
    <w:rsid w:val="00442C96"/>
    <w:rsid w:val="00442CC9"/>
    <w:rsid w:val="00442E68"/>
    <w:rsid w:val="004433C5"/>
    <w:rsid w:val="0044346D"/>
    <w:rsid w:val="00443514"/>
    <w:rsid w:val="0044363B"/>
    <w:rsid w:val="004436FB"/>
    <w:rsid w:val="0044374B"/>
    <w:rsid w:val="0044388D"/>
    <w:rsid w:val="00443993"/>
    <w:rsid w:val="00443B02"/>
    <w:rsid w:val="00443C14"/>
    <w:rsid w:val="00443EB8"/>
    <w:rsid w:val="00443EBE"/>
    <w:rsid w:val="00444041"/>
    <w:rsid w:val="004441C3"/>
    <w:rsid w:val="0044492A"/>
    <w:rsid w:val="00444ADD"/>
    <w:rsid w:val="00444B0B"/>
    <w:rsid w:val="0044532F"/>
    <w:rsid w:val="004453A7"/>
    <w:rsid w:val="00445742"/>
    <w:rsid w:val="0044590C"/>
    <w:rsid w:val="0044592A"/>
    <w:rsid w:val="004459D4"/>
    <w:rsid w:val="00445A11"/>
    <w:rsid w:val="00445A15"/>
    <w:rsid w:val="00445A23"/>
    <w:rsid w:val="00445B51"/>
    <w:rsid w:val="00445B94"/>
    <w:rsid w:val="00445BC2"/>
    <w:rsid w:val="00445E47"/>
    <w:rsid w:val="00445F9B"/>
    <w:rsid w:val="00446056"/>
    <w:rsid w:val="0044607F"/>
    <w:rsid w:val="004460FB"/>
    <w:rsid w:val="0044610C"/>
    <w:rsid w:val="004461AB"/>
    <w:rsid w:val="0044657E"/>
    <w:rsid w:val="00446726"/>
    <w:rsid w:val="004469D9"/>
    <w:rsid w:val="00446BC2"/>
    <w:rsid w:val="00446BDA"/>
    <w:rsid w:val="00446C4F"/>
    <w:rsid w:val="00446C66"/>
    <w:rsid w:val="00446FA8"/>
    <w:rsid w:val="0044716B"/>
    <w:rsid w:val="00447221"/>
    <w:rsid w:val="004474E6"/>
    <w:rsid w:val="004474FA"/>
    <w:rsid w:val="0044750A"/>
    <w:rsid w:val="004475AE"/>
    <w:rsid w:val="0044768A"/>
    <w:rsid w:val="004477AA"/>
    <w:rsid w:val="00447843"/>
    <w:rsid w:val="00447A57"/>
    <w:rsid w:val="00447AE3"/>
    <w:rsid w:val="00447BA4"/>
    <w:rsid w:val="00447BCD"/>
    <w:rsid w:val="00447FDC"/>
    <w:rsid w:val="00450174"/>
    <w:rsid w:val="004501D9"/>
    <w:rsid w:val="00450275"/>
    <w:rsid w:val="0045061D"/>
    <w:rsid w:val="0045079C"/>
    <w:rsid w:val="00450A46"/>
    <w:rsid w:val="00450A6B"/>
    <w:rsid w:val="00450A9A"/>
    <w:rsid w:val="00450F1B"/>
    <w:rsid w:val="00451205"/>
    <w:rsid w:val="00451339"/>
    <w:rsid w:val="004514D7"/>
    <w:rsid w:val="0045177D"/>
    <w:rsid w:val="004517CE"/>
    <w:rsid w:val="004519A4"/>
    <w:rsid w:val="004519BC"/>
    <w:rsid w:val="00451AC2"/>
    <w:rsid w:val="00451D6D"/>
    <w:rsid w:val="00451DB6"/>
    <w:rsid w:val="00451E3F"/>
    <w:rsid w:val="00451E52"/>
    <w:rsid w:val="00451F10"/>
    <w:rsid w:val="004522D1"/>
    <w:rsid w:val="00452491"/>
    <w:rsid w:val="004524BD"/>
    <w:rsid w:val="00452590"/>
    <w:rsid w:val="00452636"/>
    <w:rsid w:val="00452708"/>
    <w:rsid w:val="00452789"/>
    <w:rsid w:val="004527A4"/>
    <w:rsid w:val="00452981"/>
    <w:rsid w:val="00452A55"/>
    <w:rsid w:val="00452CC5"/>
    <w:rsid w:val="00452FC9"/>
    <w:rsid w:val="0045308E"/>
    <w:rsid w:val="0045309C"/>
    <w:rsid w:val="004535D3"/>
    <w:rsid w:val="0045360B"/>
    <w:rsid w:val="00453780"/>
    <w:rsid w:val="00453D54"/>
    <w:rsid w:val="00453EEF"/>
    <w:rsid w:val="00454017"/>
    <w:rsid w:val="00454211"/>
    <w:rsid w:val="00454221"/>
    <w:rsid w:val="0045443B"/>
    <w:rsid w:val="0045451A"/>
    <w:rsid w:val="00454AA5"/>
    <w:rsid w:val="00454D03"/>
    <w:rsid w:val="00454D4A"/>
    <w:rsid w:val="00454DBC"/>
    <w:rsid w:val="00454EDB"/>
    <w:rsid w:val="004551C9"/>
    <w:rsid w:val="004553BD"/>
    <w:rsid w:val="004553C7"/>
    <w:rsid w:val="00455445"/>
    <w:rsid w:val="00455509"/>
    <w:rsid w:val="004555BC"/>
    <w:rsid w:val="00455619"/>
    <w:rsid w:val="00455703"/>
    <w:rsid w:val="00455760"/>
    <w:rsid w:val="00455AC6"/>
    <w:rsid w:val="00455BE3"/>
    <w:rsid w:val="00455DB1"/>
    <w:rsid w:val="00455F18"/>
    <w:rsid w:val="004560F7"/>
    <w:rsid w:val="004561C5"/>
    <w:rsid w:val="0045675D"/>
    <w:rsid w:val="00456AF4"/>
    <w:rsid w:val="0045719D"/>
    <w:rsid w:val="004571FD"/>
    <w:rsid w:val="00457251"/>
    <w:rsid w:val="00457288"/>
    <w:rsid w:val="004575AB"/>
    <w:rsid w:val="0045764D"/>
    <w:rsid w:val="00457847"/>
    <w:rsid w:val="004578CA"/>
    <w:rsid w:val="00457951"/>
    <w:rsid w:val="00457B6F"/>
    <w:rsid w:val="00457BC8"/>
    <w:rsid w:val="00457DD0"/>
    <w:rsid w:val="00457E0E"/>
    <w:rsid w:val="00457E77"/>
    <w:rsid w:val="00457FD3"/>
    <w:rsid w:val="00460062"/>
    <w:rsid w:val="00460276"/>
    <w:rsid w:val="004602BA"/>
    <w:rsid w:val="00460345"/>
    <w:rsid w:val="004603AB"/>
    <w:rsid w:val="004605C4"/>
    <w:rsid w:val="0046064B"/>
    <w:rsid w:val="00460676"/>
    <w:rsid w:val="004606ED"/>
    <w:rsid w:val="0046089A"/>
    <w:rsid w:val="00460963"/>
    <w:rsid w:val="00460990"/>
    <w:rsid w:val="00460A91"/>
    <w:rsid w:val="00460C82"/>
    <w:rsid w:val="00460FED"/>
    <w:rsid w:val="00461033"/>
    <w:rsid w:val="004614D7"/>
    <w:rsid w:val="0046162C"/>
    <w:rsid w:val="00461723"/>
    <w:rsid w:val="0046188E"/>
    <w:rsid w:val="00461995"/>
    <w:rsid w:val="00461EC1"/>
    <w:rsid w:val="00461FF5"/>
    <w:rsid w:val="00462195"/>
    <w:rsid w:val="004621AE"/>
    <w:rsid w:val="0046242C"/>
    <w:rsid w:val="00462457"/>
    <w:rsid w:val="0046256D"/>
    <w:rsid w:val="004625EB"/>
    <w:rsid w:val="0046267F"/>
    <w:rsid w:val="004628C7"/>
    <w:rsid w:val="00462991"/>
    <w:rsid w:val="00462997"/>
    <w:rsid w:val="004629B0"/>
    <w:rsid w:val="00462A54"/>
    <w:rsid w:val="00462A7C"/>
    <w:rsid w:val="00462D98"/>
    <w:rsid w:val="00462E2F"/>
    <w:rsid w:val="00463315"/>
    <w:rsid w:val="004634C5"/>
    <w:rsid w:val="0046364B"/>
    <w:rsid w:val="00463787"/>
    <w:rsid w:val="00463D49"/>
    <w:rsid w:val="00463FC8"/>
    <w:rsid w:val="004642C0"/>
    <w:rsid w:val="00464417"/>
    <w:rsid w:val="004646B6"/>
    <w:rsid w:val="00464789"/>
    <w:rsid w:val="0046491A"/>
    <w:rsid w:val="0046492C"/>
    <w:rsid w:val="00464AE2"/>
    <w:rsid w:val="00464B96"/>
    <w:rsid w:val="00464D5D"/>
    <w:rsid w:val="00464F2D"/>
    <w:rsid w:val="00464F95"/>
    <w:rsid w:val="00465128"/>
    <w:rsid w:val="004651FE"/>
    <w:rsid w:val="00465362"/>
    <w:rsid w:val="00465995"/>
    <w:rsid w:val="004659C8"/>
    <w:rsid w:val="00465D6D"/>
    <w:rsid w:val="00465F38"/>
    <w:rsid w:val="004662CF"/>
    <w:rsid w:val="00466356"/>
    <w:rsid w:val="004663B8"/>
    <w:rsid w:val="0046658C"/>
    <w:rsid w:val="004665E5"/>
    <w:rsid w:val="00466AC3"/>
    <w:rsid w:val="00466C08"/>
    <w:rsid w:val="00466C58"/>
    <w:rsid w:val="00466CAC"/>
    <w:rsid w:val="00466F6A"/>
    <w:rsid w:val="004670DB"/>
    <w:rsid w:val="004670F9"/>
    <w:rsid w:val="00467179"/>
    <w:rsid w:val="004671EC"/>
    <w:rsid w:val="0046723F"/>
    <w:rsid w:val="00467358"/>
    <w:rsid w:val="004675BF"/>
    <w:rsid w:val="0046767E"/>
    <w:rsid w:val="004677D1"/>
    <w:rsid w:val="00467820"/>
    <w:rsid w:val="00467EA4"/>
    <w:rsid w:val="0047007D"/>
    <w:rsid w:val="0047041C"/>
    <w:rsid w:val="004705B1"/>
    <w:rsid w:val="004705E1"/>
    <w:rsid w:val="004706CC"/>
    <w:rsid w:val="0047073D"/>
    <w:rsid w:val="00470803"/>
    <w:rsid w:val="004709E4"/>
    <w:rsid w:val="00470A91"/>
    <w:rsid w:val="00470AC2"/>
    <w:rsid w:val="00470AED"/>
    <w:rsid w:val="00470BAB"/>
    <w:rsid w:val="00470E56"/>
    <w:rsid w:val="00470E62"/>
    <w:rsid w:val="00471041"/>
    <w:rsid w:val="004711E6"/>
    <w:rsid w:val="00471289"/>
    <w:rsid w:val="004713A3"/>
    <w:rsid w:val="0047176C"/>
    <w:rsid w:val="004717DB"/>
    <w:rsid w:val="004717DD"/>
    <w:rsid w:val="00471B1F"/>
    <w:rsid w:val="00471C1E"/>
    <w:rsid w:val="00471C46"/>
    <w:rsid w:val="00471C9F"/>
    <w:rsid w:val="00471DF4"/>
    <w:rsid w:val="00471E4A"/>
    <w:rsid w:val="004722C9"/>
    <w:rsid w:val="0047253F"/>
    <w:rsid w:val="00472A29"/>
    <w:rsid w:val="00472BBD"/>
    <w:rsid w:val="00472BFD"/>
    <w:rsid w:val="00472E9A"/>
    <w:rsid w:val="00472ED0"/>
    <w:rsid w:val="00473515"/>
    <w:rsid w:val="00473650"/>
    <w:rsid w:val="0047384F"/>
    <w:rsid w:val="00473A88"/>
    <w:rsid w:val="00473A9A"/>
    <w:rsid w:val="00473DC0"/>
    <w:rsid w:val="00473E99"/>
    <w:rsid w:val="00473EC7"/>
    <w:rsid w:val="00474009"/>
    <w:rsid w:val="00474053"/>
    <w:rsid w:val="00474872"/>
    <w:rsid w:val="004748C2"/>
    <w:rsid w:val="00474DCE"/>
    <w:rsid w:val="00474F1B"/>
    <w:rsid w:val="004750EC"/>
    <w:rsid w:val="00475299"/>
    <w:rsid w:val="00475301"/>
    <w:rsid w:val="0047531B"/>
    <w:rsid w:val="0047569E"/>
    <w:rsid w:val="004757AF"/>
    <w:rsid w:val="004757C2"/>
    <w:rsid w:val="0047584E"/>
    <w:rsid w:val="00475878"/>
    <w:rsid w:val="00475998"/>
    <w:rsid w:val="00475A4C"/>
    <w:rsid w:val="00475A97"/>
    <w:rsid w:val="00475B9C"/>
    <w:rsid w:val="00475E87"/>
    <w:rsid w:val="00476021"/>
    <w:rsid w:val="004761E4"/>
    <w:rsid w:val="004762F8"/>
    <w:rsid w:val="0047636D"/>
    <w:rsid w:val="0047639C"/>
    <w:rsid w:val="004763B8"/>
    <w:rsid w:val="004764CC"/>
    <w:rsid w:val="00476B11"/>
    <w:rsid w:val="00476C10"/>
    <w:rsid w:val="00476DFC"/>
    <w:rsid w:val="00476F97"/>
    <w:rsid w:val="004771E2"/>
    <w:rsid w:val="00477300"/>
    <w:rsid w:val="00477636"/>
    <w:rsid w:val="0047786C"/>
    <w:rsid w:val="00477D2D"/>
    <w:rsid w:val="00480090"/>
    <w:rsid w:val="004801D7"/>
    <w:rsid w:val="0048021B"/>
    <w:rsid w:val="00480413"/>
    <w:rsid w:val="004809BA"/>
    <w:rsid w:val="00480B47"/>
    <w:rsid w:val="00480FC4"/>
    <w:rsid w:val="004812FD"/>
    <w:rsid w:val="004813D0"/>
    <w:rsid w:val="004814E4"/>
    <w:rsid w:val="00481610"/>
    <w:rsid w:val="0048182A"/>
    <w:rsid w:val="00481AF2"/>
    <w:rsid w:val="00481B0D"/>
    <w:rsid w:val="00481B65"/>
    <w:rsid w:val="00481DAA"/>
    <w:rsid w:val="00481E71"/>
    <w:rsid w:val="00482278"/>
    <w:rsid w:val="00482400"/>
    <w:rsid w:val="00482475"/>
    <w:rsid w:val="00482493"/>
    <w:rsid w:val="00482764"/>
    <w:rsid w:val="00482D79"/>
    <w:rsid w:val="00483080"/>
    <w:rsid w:val="004831DC"/>
    <w:rsid w:val="0048327A"/>
    <w:rsid w:val="00483284"/>
    <w:rsid w:val="00483386"/>
    <w:rsid w:val="00483667"/>
    <w:rsid w:val="004836B3"/>
    <w:rsid w:val="004838FE"/>
    <w:rsid w:val="00483A84"/>
    <w:rsid w:val="00483ABE"/>
    <w:rsid w:val="00483AC0"/>
    <w:rsid w:val="00483B22"/>
    <w:rsid w:val="00483C6E"/>
    <w:rsid w:val="00484010"/>
    <w:rsid w:val="00484046"/>
    <w:rsid w:val="0048429F"/>
    <w:rsid w:val="0048457D"/>
    <w:rsid w:val="0048486A"/>
    <w:rsid w:val="0048488E"/>
    <w:rsid w:val="004848B2"/>
    <w:rsid w:val="00484969"/>
    <w:rsid w:val="00484B67"/>
    <w:rsid w:val="0048517D"/>
    <w:rsid w:val="0048541C"/>
    <w:rsid w:val="00485494"/>
    <w:rsid w:val="004855E0"/>
    <w:rsid w:val="00485738"/>
    <w:rsid w:val="00485749"/>
    <w:rsid w:val="004857E0"/>
    <w:rsid w:val="0048598C"/>
    <w:rsid w:val="00485A58"/>
    <w:rsid w:val="00485FF5"/>
    <w:rsid w:val="004864DA"/>
    <w:rsid w:val="004869E7"/>
    <w:rsid w:val="00486A75"/>
    <w:rsid w:val="00486B3C"/>
    <w:rsid w:val="00486E44"/>
    <w:rsid w:val="00486F49"/>
    <w:rsid w:val="00486F7C"/>
    <w:rsid w:val="00487180"/>
    <w:rsid w:val="0048726D"/>
    <w:rsid w:val="0048732A"/>
    <w:rsid w:val="00487619"/>
    <w:rsid w:val="00487649"/>
    <w:rsid w:val="00487746"/>
    <w:rsid w:val="004878AE"/>
    <w:rsid w:val="00487B41"/>
    <w:rsid w:val="00487C1B"/>
    <w:rsid w:val="00490378"/>
    <w:rsid w:val="0049037D"/>
    <w:rsid w:val="00490742"/>
    <w:rsid w:val="00490899"/>
    <w:rsid w:val="00490AD6"/>
    <w:rsid w:val="00490B58"/>
    <w:rsid w:val="00490BF0"/>
    <w:rsid w:val="00490FBF"/>
    <w:rsid w:val="004911EA"/>
    <w:rsid w:val="004915AA"/>
    <w:rsid w:val="00491698"/>
    <w:rsid w:val="0049189B"/>
    <w:rsid w:val="004918E6"/>
    <w:rsid w:val="00491BBD"/>
    <w:rsid w:val="00491DAB"/>
    <w:rsid w:val="00492120"/>
    <w:rsid w:val="00492382"/>
    <w:rsid w:val="0049239B"/>
    <w:rsid w:val="004924B3"/>
    <w:rsid w:val="0049250A"/>
    <w:rsid w:val="004925AC"/>
    <w:rsid w:val="004925E4"/>
    <w:rsid w:val="004928EA"/>
    <w:rsid w:val="004929B4"/>
    <w:rsid w:val="00492E6D"/>
    <w:rsid w:val="00492ED9"/>
    <w:rsid w:val="004931B5"/>
    <w:rsid w:val="004931B8"/>
    <w:rsid w:val="00493438"/>
    <w:rsid w:val="00493543"/>
    <w:rsid w:val="004936E3"/>
    <w:rsid w:val="00493746"/>
    <w:rsid w:val="004938C9"/>
    <w:rsid w:val="00493982"/>
    <w:rsid w:val="00493EC8"/>
    <w:rsid w:val="00493F33"/>
    <w:rsid w:val="004940A6"/>
    <w:rsid w:val="004946A4"/>
    <w:rsid w:val="004946FF"/>
    <w:rsid w:val="00494877"/>
    <w:rsid w:val="00494BEF"/>
    <w:rsid w:val="00495076"/>
    <w:rsid w:val="004950D5"/>
    <w:rsid w:val="004950EE"/>
    <w:rsid w:val="004955D3"/>
    <w:rsid w:val="00495D45"/>
    <w:rsid w:val="00495E06"/>
    <w:rsid w:val="00495EE1"/>
    <w:rsid w:val="00495FF7"/>
    <w:rsid w:val="004961C4"/>
    <w:rsid w:val="00496243"/>
    <w:rsid w:val="00496314"/>
    <w:rsid w:val="00496442"/>
    <w:rsid w:val="00496515"/>
    <w:rsid w:val="0049653D"/>
    <w:rsid w:val="0049659C"/>
    <w:rsid w:val="004965AE"/>
    <w:rsid w:val="004965AF"/>
    <w:rsid w:val="00496814"/>
    <w:rsid w:val="00496C42"/>
    <w:rsid w:val="00496D04"/>
    <w:rsid w:val="00497054"/>
    <w:rsid w:val="004970BB"/>
    <w:rsid w:val="00497426"/>
    <w:rsid w:val="0049746A"/>
    <w:rsid w:val="00497618"/>
    <w:rsid w:val="0049761C"/>
    <w:rsid w:val="0049761E"/>
    <w:rsid w:val="00497960"/>
    <w:rsid w:val="00497E91"/>
    <w:rsid w:val="00497F59"/>
    <w:rsid w:val="004A0180"/>
    <w:rsid w:val="004A038D"/>
    <w:rsid w:val="004A03A0"/>
    <w:rsid w:val="004A03AA"/>
    <w:rsid w:val="004A05A2"/>
    <w:rsid w:val="004A0DDB"/>
    <w:rsid w:val="004A0DFB"/>
    <w:rsid w:val="004A116C"/>
    <w:rsid w:val="004A116E"/>
    <w:rsid w:val="004A129E"/>
    <w:rsid w:val="004A12D0"/>
    <w:rsid w:val="004A139E"/>
    <w:rsid w:val="004A1408"/>
    <w:rsid w:val="004A153F"/>
    <w:rsid w:val="004A1B8E"/>
    <w:rsid w:val="004A1DA5"/>
    <w:rsid w:val="004A1F69"/>
    <w:rsid w:val="004A2640"/>
    <w:rsid w:val="004A2767"/>
    <w:rsid w:val="004A27A6"/>
    <w:rsid w:val="004A27AF"/>
    <w:rsid w:val="004A2851"/>
    <w:rsid w:val="004A2AD6"/>
    <w:rsid w:val="004A2C6E"/>
    <w:rsid w:val="004A2CBE"/>
    <w:rsid w:val="004A2D29"/>
    <w:rsid w:val="004A2F74"/>
    <w:rsid w:val="004A304A"/>
    <w:rsid w:val="004A3100"/>
    <w:rsid w:val="004A3112"/>
    <w:rsid w:val="004A3259"/>
    <w:rsid w:val="004A3279"/>
    <w:rsid w:val="004A337F"/>
    <w:rsid w:val="004A33A0"/>
    <w:rsid w:val="004A341A"/>
    <w:rsid w:val="004A3467"/>
    <w:rsid w:val="004A34CC"/>
    <w:rsid w:val="004A36C8"/>
    <w:rsid w:val="004A36E7"/>
    <w:rsid w:val="004A36FD"/>
    <w:rsid w:val="004A38D9"/>
    <w:rsid w:val="004A3DAD"/>
    <w:rsid w:val="004A4073"/>
    <w:rsid w:val="004A43BF"/>
    <w:rsid w:val="004A4A0B"/>
    <w:rsid w:val="004A4AC1"/>
    <w:rsid w:val="004A4BF0"/>
    <w:rsid w:val="004A4F3C"/>
    <w:rsid w:val="004A504E"/>
    <w:rsid w:val="004A51E3"/>
    <w:rsid w:val="004A522F"/>
    <w:rsid w:val="004A52E0"/>
    <w:rsid w:val="004A5872"/>
    <w:rsid w:val="004A598F"/>
    <w:rsid w:val="004A5B13"/>
    <w:rsid w:val="004A5C37"/>
    <w:rsid w:val="004A5F72"/>
    <w:rsid w:val="004A6094"/>
    <w:rsid w:val="004A61B4"/>
    <w:rsid w:val="004A63E7"/>
    <w:rsid w:val="004A642A"/>
    <w:rsid w:val="004A647C"/>
    <w:rsid w:val="004A65A6"/>
    <w:rsid w:val="004A6691"/>
    <w:rsid w:val="004A6815"/>
    <w:rsid w:val="004A6824"/>
    <w:rsid w:val="004A684F"/>
    <w:rsid w:val="004A68BF"/>
    <w:rsid w:val="004A68E5"/>
    <w:rsid w:val="004A6A82"/>
    <w:rsid w:val="004A6AC2"/>
    <w:rsid w:val="004A6B94"/>
    <w:rsid w:val="004A6D1A"/>
    <w:rsid w:val="004A6D89"/>
    <w:rsid w:val="004A714F"/>
    <w:rsid w:val="004A71BC"/>
    <w:rsid w:val="004A741D"/>
    <w:rsid w:val="004A7676"/>
    <w:rsid w:val="004A789D"/>
    <w:rsid w:val="004A79A3"/>
    <w:rsid w:val="004A7A90"/>
    <w:rsid w:val="004A7AEB"/>
    <w:rsid w:val="004A7BA2"/>
    <w:rsid w:val="004A7CE1"/>
    <w:rsid w:val="004B031F"/>
    <w:rsid w:val="004B037A"/>
    <w:rsid w:val="004B0433"/>
    <w:rsid w:val="004B0437"/>
    <w:rsid w:val="004B08D7"/>
    <w:rsid w:val="004B0B07"/>
    <w:rsid w:val="004B0BCB"/>
    <w:rsid w:val="004B0C86"/>
    <w:rsid w:val="004B0DA4"/>
    <w:rsid w:val="004B0EFA"/>
    <w:rsid w:val="004B1583"/>
    <w:rsid w:val="004B17F1"/>
    <w:rsid w:val="004B185C"/>
    <w:rsid w:val="004B1AB9"/>
    <w:rsid w:val="004B1AFD"/>
    <w:rsid w:val="004B1D4C"/>
    <w:rsid w:val="004B1DBB"/>
    <w:rsid w:val="004B1E4F"/>
    <w:rsid w:val="004B1E89"/>
    <w:rsid w:val="004B1F4B"/>
    <w:rsid w:val="004B1FEC"/>
    <w:rsid w:val="004B20AB"/>
    <w:rsid w:val="004B23B6"/>
    <w:rsid w:val="004B2560"/>
    <w:rsid w:val="004B2889"/>
    <w:rsid w:val="004B2898"/>
    <w:rsid w:val="004B28AD"/>
    <w:rsid w:val="004B2931"/>
    <w:rsid w:val="004B2960"/>
    <w:rsid w:val="004B29E5"/>
    <w:rsid w:val="004B2E05"/>
    <w:rsid w:val="004B32EF"/>
    <w:rsid w:val="004B335A"/>
    <w:rsid w:val="004B33FE"/>
    <w:rsid w:val="004B35B0"/>
    <w:rsid w:val="004B3890"/>
    <w:rsid w:val="004B38A0"/>
    <w:rsid w:val="004B3917"/>
    <w:rsid w:val="004B3A8E"/>
    <w:rsid w:val="004B3E61"/>
    <w:rsid w:val="004B3F0E"/>
    <w:rsid w:val="004B3F1B"/>
    <w:rsid w:val="004B4017"/>
    <w:rsid w:val="004B42C0"/>
    <w:rsid w:val="004B4703"/>
    <w:rsid w:val="004B4714"/>
    <w:rsid w:val="004B47F0"/>
    <w:rsid w:val="004B48C6"/>
    <w:rsid w:val="004B48CD"/>
    <w:rsid w:val="004B4A10"/>
    <w:rsid w:val="004B4C5E"/>
    <w:rsid w:val="004B4D7D"/>
    <w:rsid w:val="004B4F1F"/>
    <w:rsid w:val="004B4F60"/>
    <w:rsid w:val="004B503F"/>
    <w:rsid w:val="004B55DF"/>
    <w:rsid w:val="004B55E6"/>
    <w:rsid w:val="004B5646"/>
    <w:rsid w:val="004B5790"/>
    <w:rsid w:val="004B5948"/>
    <w:rsid w:val="004B5A0D"/>
    <w:rsid w:val="004B5AAB"/>
    <w:rsid w:val="004B5ADF"/>
    <w:rsid w:val="004B5C21"/>
    <w:rsid w:val="004B5C8D"/>
    <w:rsid w:val="004B5ED8"/>
    <w:rsid w:val="004B5EFE"/>
    <w:rsid w:val="004B602F"/>
    <w:rsid w:val="004B6176"/>
    <w:rsid w:val="004B61FD"/>
    <w:rsid w:val="004B63D3"/>
    <w:rsid w:val="004B689B"/>
    <w:rsid w:val="004B69F4"/>
    <w:rsid w:val="004B6AA5"/>
    <w:rsid w:val="004B6CA4"/>
    <w:rsid w:val="004B6CA5"/>
    <w:rsid w:val="004B6CC4"/>
    <w:rsid w:val="004B6D8D"/>
    <w:rsid w:val="004B6E08"/>
    <w:rsid w:val="004B6ECA"/>
    <w:rsid w:val="004B727F"/>
    <w:rsid w:val="004B72D5"/>
    <w:rsid w:val="004B754F"/>
    <w:rsid w:val="004B76D0"/>
    <w:rsid w:val="004B78A2"/>
    <w:rsid w:val="004B78F3"/>
    <w:rsid w:val="004B7930"/>
    <w:rsid w:val="004C00C5"/>
    <w:rsid w:val="004C0217"/>
    <w:rsid w:val="004C052E"/>
    <w:rsid w:val="004C05F1"/>
    <w:rsid w:val="004C07AB"/>
    <w:rsid w:val="004C0A94"/>
    <w:rsid w:val="004C0BDF"/>
    <w:rsid w:val="004C0E16"/>
    <w:rsid w:val="004C0E8E"/>
    <w:rsid w:val="004C1309"/>
    <w:rsid w:val="004C1935"/>
    <w:rsid w:val="004C1A10"/>
    <w:rsid w:val="004C1ACD"/>
    <w:rsid w:val="004C1BB9"/>
    <w:rsid w:val="004C1C30"/>
    <w:rsid w:val="004C217D"/>
    <w:rsid w:val="004C2425"/>
    <w:rsid w:val="004C24B5"/>
    <w:rsid w:val="004C268A"/>
    <w:rsid w:val="004C2730"/>
    <w:rsid w:val="004C298C"/>
    <w:rsid w:val="004C2B84"/>
    <w:rsid w:val="004C2F89"/>
    <w:rsid w:val="004C31B1"/>
    <w:rsid w:val="004C33D9"/>
    <w:rsid w:val="004C38DF"/>
    <w:rsid w:val="004C38FF"/>
    <w:rsid w:val="004C3B5F"/>
    <w:rsid w:val="004C3DC2"/>
    <w:rsid w:val="004C3EF8"/>
    <w:rsid w:val="004C402A"/>
    <w:rsid w:val="004C432E"/>
    <w:rsid w:val="004C435E"/>
    <w:rsid w:val="004C4668"/>
    <w:rsid w:val="004C4916"/>
    <w:rsid w:val="004C495E"/>
    <w:rsid w:val="004C4BD4"/>
    <w:rsid w:val="004C4C49"/>
    <w:rsid w:val="004C4FD3"/>
    <w:rsid w:val="004C5239"/>
    <w:rsid w:val="004C52CE"/>
    <w:rsid w:val="004C5445"/>
    <w:rsid w:val="004C5461"/>
    <w:rsid w:val="004C54A3"/>
    <w:rsid w:val="004C55A5"/>
    <w:rsid w:val="004C5661"/>
    <w:rsid w:val="004C5710"/>
    <w:rsid w:val="004C5956"/>
    <w:rsid w:val="004C5ABE"/>
    <w:rsid w:val="004C5CE3"/>
    <w:rsid w:val="004C5DF6"/>
    <w:rsid w:val="004C5F9F"/>
    <w:rsid w:val="004C61AC"/>
    <w:rsid w:val="004C6889"/>
    <w:rsid w:val="004C6901"/>
    <w:rsid w:val="004C69BE"/>
    <w:rsid w:val="004C69D3"/>
    <w:rsid w:val="004C69D6"/>
    <w:rsid w:val="004C6E99"/>
    <w:rsid w:val="004C70E9"/>
    <w:rsid w:val="004C72AB"/>
    <w:rsid w:val="004C758D"/>
    <w:rsid w:val="004C769B"/>
    <w:rsid w:val="004C78C3"/>
    <w:rsid w:val="004C7930"/>
    <w:rsid w:val="004C7B49"/>
    <w:rsid w:val="004C7CF6"/>
    <w:rsid w:val="004C7D22"/>
    <w:rsid w:val="004C7FAF"/>
    <w:rsid w:val="004D002E"/>
    <w:rsid w:val="004D02CA"/>
    <w:rsid w:val="004D0390"/>
    <w:rsid w:val="004D05F6"/>
    <w:rsid w:val="004D08D5"/>
    <w:rsid w:val="004D0CEE"/>
    <w:rsid w:val="004D0D7F"/>
    <w:rsid w:val="004D1065"/>
    <w:rsid w:val="004D10C7"/>
    <w:rsid w:val="004D117F"/>
    <w:rsid w:val="004D1283"/>
    <w:rsid w:val="004D1380"/>
    <w:rsid w:val="004D1C07"/>
    <w:rsid w:val="004D1D3D"/>
    <w:rsid w:val="004D1F59"/>
    <w:rsid w:val="004D228F"/>
    <w:rsid w:val="004D2294"/>
    <w:rsid w:val="004D22DE"/>
    <w:rsid w:val="004D22F8"/>
    <w:rsid w:val="004D2757"/>
    <w:rsid w:val="004D299D"/>
    <w:rsid w:val="004D2A0C"/>
    <w:rsid w:val="004D2AB8"/>
    <w:rsid w:val="004D2C59"/>
    <w:rsid w:val="004D2D39"/>
    <w:rsid w:val="004D2E1D"/>
    <w:rsid w:val="004D2FBB"/>
    <w:rsid w:val="004D3018"/>
    <w:rsid w:val="004D320D"/>
    <w:rsid w:val="004D33B3"/>
    <w:rsid w:val="004D34D0"/>
    <w:rsid w:val="004D358C"/>
    <w:rsid w:val="004D35DF"/>
    <w:rsid w:val="004D376E"/>
    <w:rsid w:val="004D37D0"/>
    <w:rsid w:val="004D3A2C"/>
    <w:rsid w:val="004D3D04"/>
    <w:rsid w:val="004D41B6"/>
    <w:rsid w:val="004D41E9"/>
    <w:rsid w:val="004D447A"/>
    <w:rsid w:val="004D47F8"/>
    <w:rsid w:val="004D4845"/>
    <w:rsid w:val="004D4BD5"/>
    <w:rsid w:val="004D4EA4"/>
    <w:rsid w:val="004D53CB"/>
    <w:rsid w:val="004D53DC"/>
    <w:rsid w:val="004D5403"/>
    <w:rsid w:val="004D58C1"/>
    <w:rsid w:val="004D5A85"/>
    <w:rsid w:val="004D5E36"/>
    <w:rsid w:val="004D5F51"/>
    <w:rsid w:val="004D644E"/>
    <w:rsid w:val="004D68BB"/>
    <w:rsid w:val="004D6A57"/>
    <w:rsid w:val="004D6A6D"/>
    <w:rsid w:val="004D6BC7"/>
    <w:rsid w:val="004D6D80"/>
    <w:rsid w:val="004D6ED2"/>
    <w:rsid w:val="004D6EEC"/>
    <w:rsid w:val="004D716F"/>
    <w:rsid w:val="004D72C8"/>
    <w:rsid w:val="004D733D"/>
    <w:rsid w:val="004D7637"/>
    <w:rsid w:val="004D7705"/>
    <w:rsid w:val="004D7B25"/>
    <w:rsid w:val="004D7B93"/>
    <w:rsid w:val="004D7DAB"/>
    <w:rsid w:val="004E00AD"/>
    <w:rsid w:val="004E02C1"/>
    <w:rsid w:val="004E031E"/>
    <w:rsid w:val="004E03A3"/>
    <w:rsid w:val="004E0A38"/>
    <w:rsid w:val="004E0B59"/>
    <w:rsid w:val="004E0D18"/>
    <w:rsid w:val="004E0E85"/>
    <w:rsid w:val="004E15A5"/>
    <w:rsid w:val="004E15A8"/>
    <w:rsid w:val="004E1664"/>
    <w:rsid w:val="004E16E6"/>
    <w:rsid w:val="004E1798"/>
    <w:rsid w:val="004E1B24"/>
    <w:rsid w:val="004E1C51"/>
    <w:rsid w:val="004E1C86"/>
    <w:rsid w:val="004E1FAA"/>
    <w:rsid w:val="004E2100"/>
    <w:rsid w:val="004E229A"/>
    <w:rsid w:val="004E2468"/>
    <w:rsid w:val="004E2484"/>
    <w:rsid w:val="004E272D"/>
    <w:rsid w:val="004E278D"/>
    <w:rsid w:val="004E27F8"/>
    <w:rsid w:val="004E288C"/>
    <w:rsid w:val="004E2D17"/>
    <w:rsid w:val="004E2ED1"/>
    <w:rsid w:val="004E2F06"/>
    <w:rsid w:val="004E300D"/>
    <w:rsid w:val="004E30DA"/>
    <w:rsid w:val="004E31C1"/>
    <w:rsid w:val="004E34C3"/>
    <w:rsid w:val="004E3515"/>
    <w:rsid w:val="004E3641"/>
    <w:rsid w:val="004E399B"/>
    <w:rsid w:val="004E3B62"/>
    <w:rsid w:val="004E3B6B"/>
    <w:rsid w:val="004E3E30"/>
    <w:rsid w:val="004E3F4A"/>
    <w:rsid w:val="004E4182"/>
    <w:rsid w:val="004E4492"/>
    <w:rsid w:val="004E460C"/>
    <w:rsid w:val="004E46A3"/>
    <w:rsid w:val="004E46D1"/>
    <w:rsid w:val="004E4791"/>
    <w:rsid w:val="004E4CD4"/>
    <w:rsid w:val="004E4CE1"/>
    <w:rsid w:val="004E4E09"/>
    <w:rsid w:val="004E4E29"/>
    <w:rsid w:val="004E4E7D"/>
    <w:rsid w:val="004E4EF9"/>
    <w:rsid w:val="004E4FB1"/>
    <w:rsid w:val="004E5062"/>
    <w:rsid w:val="004E50FC"/>
    <w:rsid w:val="004E514D"/>
    <w:rsid w:val="004E5245"/>
    <w:rsid w:val="004E5323"/>
    <w:rsid w:val="004E5716"/>
    <w:rsid w:val="004E5831"/>
    <w:rsid w:val="004E5843"/>
    <w:rsid w:val="004E58B9"/>
    <w:rsid w:val="004E5B1F"/>
    <w:rsid w:val="004E5BC3"/>
    <w:rsid w:val="004E5E56"/>
    <w:rsid w:val="004E5E6D"/>
    <w:rsid w:val="004E5EFB"/>
    <w:rsid w:val="004E60A0"/>
    <w:rsid w:val="004E6368"/>
    <w:rsid w:val="004E64E0"/>
    <w:rsid w:val="004E65D5"/>
    <w:rsid w:val="004E661D"/>
    <w:rsid w:val="004E665A"/>
    <w:rsid w:val="004E692A"/>
    <w:rsid w:val="004E6A4C"/>
    <w:rsid w:val="004E6BD6"/>
    <w:rsid w:val="004E6D4B"/>
    <w:rsid w:val="004E7116"/>
    <w:rsid w:val="004E71AE"/>
    <w:rsid w:val="004E768F"/>
    <w:rsid w:val="004E7937"/>
    <w:rsid w:val="004E7A77"/>
    <w:rsid w:val="004E7CDA"/>
    <w:rsid w:val="004E7E13"/>
    <w:rsid w:val="004E7EBC"/>
    <w:rsid w:val="004F0168"/>
    <w:rsid w:val="004F033E"/>
    <w:rsid w:val="004F036B"/>
    <w:rsid w:val="004F05DE"/>
    <w:rsid w:val="004F065F"/>
    <w:rsid w:val="004F0819"/>
    <w:rsid w:val="004F088E"/>
    <w:rsid w:val="004F094B"/>
    <w:rsid w:val="004F094D"/>
    <w:rsid w:val="004F0AD5"/>
    <w:rsid w:val="004F0D21"/>
    <w:rsid w:val="004F0E7E"/>
    <w:rsid w:val="004F0EC9"/>
    <w:rsid w:val="004F0EFC"/>
    <w:rsid w:val="004F1072"/>
    <w:rsid w:val="004F107C"/>
    <w:rsid w:val="004F12F8"/>
    <w:rsid w:val="004F1531"/>
    <w:rsid w:val="004F18E6"/>
    <w:rsid w:val="004F1BE3"/>
    <w:rsid w:val="004F1C92"/>
    <w:rsid w:val="004F1CB9"/>
    <w:rsid w:val="004F1CFE"/>
    <w:rsid w:val="004F1DD4"/>
    <w:rsid w:val="004F1DE5"/>
    <w:rsid w:val="004F1DFE"/>
    <w:rsid w:val="004F1ECF"/>
    <w:rsid w:val="004F2146"/>
    <w:rsid w:val="004F22B9"/>
    <w:rsid w:val="004F22DA"/>
    <w:rsid w:val="004F23C0"/>
    <w:rsid w:val="004F2447"/>
    <w:rsid w:val="004F2477"/>
    <w:rsid w:val="004F27DA"/>
    <w:rsid w:val="004F2989"/>
    <w:rsid w:val="004F29AD"/>
    <w:rsid w:val="004F2CC4"/>
    <w:rsid w:val="004F2FD2"/>
    <w:rsid w:val="004F30D1"/>
    <w:rsid w:val="004F30D9"/>
    <w:rsid w:val="004F3278"/>
    <w:rsid w:val="004F32CA"/>
    <w:rsid w:val="004F3311"/>
    <w:rsid w:val="004F33D6"/>
    <w:rsid w:val="004F33E9"/>
    <w:rsid w:val="004F3494"/>
    <w:rsid w:val="004F351B"/>
    <w:rsid w:val="004F35B8"/>
    <w:rsid w:val="004F3694"/>
    <w:rsid w:val="004F3A31"/>
    <w:rsid w:val="004F3F6E"/>
    <w:rsid w:val="004F423E"/>
    <w:rsid w:val="004F4696"/>
    <w:rsid w:val="004F4731"/>
    <w:rsid w:val="004F47E9"/>
    <w:rsid w:val="004F493F"/>
    <w:rsid w:val="004F4A35"/>
    <w:rsid w:val="004F4BC1"/>
    <w:rsid w:val="004F4D5A"/>
    <w:rsid w:val="004F502F"/>
    <w:rsid w:val="004F514F"/>
    <w:rsid w:val="004F5473"/>
    <w:rsid w:val="004F585E"/>
    <w:rsid w:val="004F5A1B"/>
    <w:rsid w:val="004F5AB2"/>
    <w:rsid w:val="004F5BB9"/>
    <w:rsid w:val="004F5D35"/>
    <w:rsid w:val="004F5F3D"/>
    <w:rsid w:val="004F619A"/>
    <w:rsid w:val="004F6365"/>
    <w:rsid w:val="004F63D3"/>
    <w:rsid w:val="004F644F"/>
    <w:rsid w:val="004F65B0"/>
    <w:rsid w:val="004F673F"/>
    <w:rsid w:val="004F690F"/>
    <w:rsid w:val="004F698B"/>
    <w:rsid w:val="004F6B51"/>
    <w:rsid w:val="004F6D6A"/>
    <w:rsid w:val="004F6D86"/>
    <w:rsid w:val="004F6DC8"/>
    <w:rsid w:val="004F6F26"/>
    <w:rsid w:val="004F6F40"/>
    <w:rsid w:val="004F6FA3"/>
    <w:rsid w:val="004F730D"/>
    <w:rsid w:val="004F742E"/>
    <w:rsid w:val="004F7940"/>
    <w:rsid w:val="004F7C42"/>
    <w:rsid w:val="004F7DB1"/>
    <w:rsid w:val="004F7DEF"/>
    <w:rsid w:val="004F7F88"/>
    <w:rsid w:val="004F7F8E"/>
    <w:rsid w:val="005005AB"/>
    <w:rsid w:val="005006E0"/>
    <w:rsid w:val="00500733"/>
    <w:rsid w:val="005007C0"/>
    <w:rsid w:val="00500B01"/>
    <w:rsid w:val="00500B1E"/>
    <w:rsid w:val="00500B3D"/>
    <w:rsid w:val="00500CE9"/>
    <w:rsid w:val="00500F6F"/>
    <w:rsid w:val="0050114F"/>
    <w:rsid w:val="0050121C"/>
    <w:rsid w:val="0050140D"/>
    <w:rsid w:val="00501415"/>
    <w:rsid w:val="00501447"/>
    <w:rsid w:val="0050155A"/>
    <w:rsid w:val="0050159C"/>
    <w:rsid w:val="00501712"/>
    <w:rsid w:val="005017D4"/>
    <w:rsid w:val="005017F7"/>
    <w:rsid w:val="00501931"/>
    <w:rsid w:val="0050193E"/>
    <w:rsid w:val="005019B0"/>
    <w:rsid w:val="005019B3"/>
    <w:rsid w:val="005019F9"/>
    <w:rsid w:val="00501C88"/>
    <w:rsid w:val="00501E28"/>
    <w:rsid w:val="005021DB"/>
    <w:rsid w:val="00502601"/>
    <w:rsid w:val="00502656"/>
    <w:rsid w:val="0050271E"/>
    <w:rsid w:val="00502727"/>
    <w:rsid w:val="005027A5"/>
    <w:rsid w:val="005027B7"/>
    <w:rsid w:val="00502A47"/>
    <w:rsid w:val="00502A90"/>
    <w:rsid w:val="00502B30"/>
    <w:rsid w:val="00502DE2"/>
    <w:rsid w:val="00502E41"/>
    <w:rsid w:val="00503222"/>
    <w:rsid w:val="00503474"/>
    <w:rsid w:val="005035D8"/>
    <w:rsid w:val="005036A5"/>
    <w:rsid w:val="00503752"/>
    <w:rsid w:val="005039B3"/>
    <w:rsid w:val="00503D4A"/>
    <w:rsid w:val="00503DA4"/>
    <w:rsid w:val="005041C7"/>
    <w:rsid w:val="005043B9"/>
    <w:rsid w:val="00504996"/>
    <w:rsid w:val="00504B4C"/>
    <w:rsid w:val="00504B85"/>
    <w:rsid w:val="00504C98"/>
    <w:rsid w:val="005051D1"/>
    <w:rsid w:val="00505375"/>
    <w:rsid w:val="005059B7"/>
    <w:rsid w:val="00505A06"/>
    <w:rsid w:val="00505F75"/>
    <w:rsid w:val="005061CD"/>
    <w:rsid w:val="00506231"/>
    <w:rsid w:val="0050626C"/>
    <w:rsid w:val="00506317"/>
    <w:rsid w:val="0050648E"/>
    <w:rsid w:val="005066D2"/>
    <w:rsid w:val="005067D7"/>
    <w:rsid w:val="005068DC"/>
    <w:rsid w:val="0050691D"/>
    <w:rsid w:val="00506AA6"/>
    <w:rsid w:val="00506C70"/>
    <w:rsid w:val="00506C7A"/>
    <w:rsid w:val="00506DD3"/>
    <w:rsid w:val="00506FA3"/>
    <w:rsid w:val="00507040"/>
    <w:rsid w:val="005070FD"/>
    <w:rsid w:val="005071EA"/>
    <w:rsid w:val="0050790F"/>
    <w:rsid w:val="00507995"/>
    <w:rsid w:val="00507D36"/>
    <w:rsid w:val="00507EAA"/>
    <w:rsid w:val="00507EC5"/>
    <w:rsid w:val="00510114"/>
    <w:rsid w:val="005103AD"/>
    <w:rsid w:val="005104C7"/>
    <w:rsid w:val="0051055D"/>
    <w:rsid w:val="00510678"/>
    <w:rsid w:val="00510B65"/>
    <w:rsid w:val="00510C27"/>
    <w:rsid w:val="00510EA8"/>
    <w:rsid w:val="00511005"/>
    <w:rsid w:val="0051104F"/>
    <w:rsid w:val="005111C0"/>
    <w:rsid w:val="00511388"/>
    <w:rsid w:val="005114B7"/>
    <w:rsid w:val="005114DB"/>
    <w:rsid w:val="005114DD"/>
    <w:rsid w:val="00511501"/>
    <w:rsid w:val="005115DB"/>
    <w:rsid w:val="00511822"/>
    <w:rsid w:val="0051187C"/>
    <w:rsid w:val="00511C70"/>
    <w:rsid w:val="00511E82"/>
    <w:rsid w:val="005123DC"/>
    <w:rsid w:val="00512460"/>
    <w:rsid w:val="005127C4"/>
    <w:rsid w:val="00512981"/>
    <w:rsid w:val="00512D14"/>
    <w:rsid w:val="00512D42"/>
    <w:rsid w:val="00512E39"/>
    <w:rsid w:val="00512E82"/>
    <w:rsid w:val="00513520"/>
    <w:rsid w:val="00513723"/>
    <w:rsid w:val="00513746"/>
    <w:rsid w:val="005137AB"/>
    <w:rsid w:val="0051399D"/>
    <w:rsid w:val="00513D01"/>
    <w:rsid w:val="00513D06"/>
    <w:rsid w:val="00513D6C"/>
    <w:rsid w:val="00513D84"/>
    <w:rsid w:val="00513EAB"/>
    <w:rsid w:val="005140E4"/>
    <w:rsid w:val="0051410B"/>
    <w:rsid w:val="0051439E"/>
    <w:rsid w:val="00514424"/>
    <w:rsid w:val="0051443E"/>
    <w:rsid w:val="005144A9"/>
    <w:rsid w:val="00514501"/>
    <w:rsid w:val="00514598"/>
    <w:rsid w:val="00514607"/>
    <w:rsid w:val="005146AC"/>
    <w:rsid w:val="005147F4"/>
    <w:rsid w:val="005148F7"/>
    <w:rsid w:val="00514928"/>
    <w:rsid w:val="00514937"/>
    <w:rsid w:val="0051494B"/>
    <w:rsid w:val="00514ACD"/>
    <w:rsid w:val="00514CA7"/>
    <w:rsid w:val="0051510C"/>
    <w:rsid w:val="00515152"/>
    <w:rsid w:val="005153A4"/>
    <w:rsid w:val="0051549F"/>
    <w:rsid w:val="005155E1"/>
    <w:rsid w:val="0051585C"/>
    <w:rsid w:val="005158D4"/>
    <w:rsid w:val="005159DC"/>
    <w:rsid w:val="00515B0C"/>
    <w:rsid w:val="00515E90"/>
    <w:rsid w:val="00515F4D"/>
    <w:rsid w:val="00515FE6"/>
    <w:rsid w:val="0051606B"/>
    <w:rsid w:val="00516314"/>
    <w:rsid w:val="00516408"/>
    <w:rsid w:val="005165F2"/>
    <w:rsid w:val="0051676B"/>
    <w:rsid w:val="00516EEA"/>
    <w:rsid w:val="00516FAC"/>
    <w:rsid w:val="0051727F"/>
    <w:rsid w:val="00517292"/>
    <w:rsid w:val="00517453"/>
    <w:rsid w:val="00517A46"/>
    <w:rsid w:val="00517B8E"/>
    <w:rsid w:val="00517B93"/>
    <w:rsid w:val="00517F38"/>
    <w:rsid w:val="0052019E"/>
    <w:rsid w:val="0052084F"/>
    <w:rsid w:val="00520AAD"/>
    <w:rsid w:val="00520D07"/>
    <w:rsid w:val="00520D18"/>
    <w:rsid w:val="00520DF9"/>
    <w:rsid w:val="00520EA0"/>
    <w:rsid w:val="0052116D"/>
    <w:rsid w:val="00521383"/>
    <w:rsid w:val="00521555"/>
    <w:rsid w:val="00521639"/>
    <w:rsid w:val="00521785"/>
    <w:rsid w:val="00521914"/>
    <w:rsid w:val="00521BF3"/>
    <w:rsid w:val="00521C0B"/>
    <w:rsid w:val="00521C44"/>
    <w:rsid w:val="00521C7F"/>
    <w:rsid w:val="0052203A"/>
    <w:rsid w:val="00522059"/>
    <w:rsid w:val="00522679"/>
    <w:rsid w:val="0052271F"/>
    <w:rsid w:val="00522750"/>
    <w:rsid w:val="00522768"/>
    <w:rsid w:val="005227F9"/>
    <w:rsid w:val="0052289C"/>
    <w:rsid w:val="00522961"/>
    <w:rsid w:val="0052298D"/>
    <w:rsid w:val="00522DA0"/>
    <w:rsid w:val="00522FC1"/>
    <w:rsid w:val="0052303A"/>
    <w:rsid w:val="00523118"/>
    <w:rsid w:val="00523187"/>
    <w:rsid w:val="0052343A"/>
    <w:rsid w:val="0052350A"/>
    <w:rsid w:val="00523631"/>
    <w:rsid w:val="005237DE"/>
    <w:rsid w:val="005237F4"/>
    <w:rsid w:val="0052398C"/>
    <w:rsid w:val="005239E1"/>
    <w:rsid w:val="00523CF4"/>
    <w:rsid w:val="00523F5A"/>
    <w:rsid w:val="00524146"/>
    <w:rsid w:val="005241EF"/>
    <w:rsid w:val="00524546"/>
    <w:rsid w:val="00524673"/>
    <w:rsid w:val="005249D8"/>
    <w:rsid w:val="00524A02"/>
    <w:rsid w:val="00524A45"/>
    <w:rsid w:val="00524AAF"/>
    <w:rsid w:val="00524C27"/>
    <w:rsid w:val="00524D3E"/>
    <w:rsid w:val="00524DE1"/>
    <w:rsid w:val="00524E6E"/>
    <w:rsid w:val="00524FFB"/>
    <w:rsid w:val="005250AC"/>
    <w:rsid w:val="005250EB"/>
    <w:rsid w:val="00525146"/>
    <w:rsid w:val="00525501"/>
    <w:rsid w:val="005258DD"/>
    <w:rsid w:val="00525EEC"/>
    <w:rsid w:val="00526179"/>
    <w:rsid w:val="00526228"/>
    <w:rsid w:val="00526317"/>
    <w:rsid w:val="005265C0"/>
    <w:rsid w:val="00526646"/>
    <w:rsid w:val="00526866"/>
    <w:rsid w:val="00526887"/>
    <w:rsid w:val="00526A44"/>
    <w:rsid w:val="00526B15"/>
    <w:rsid w:val="00526DEE"/>
    <w:rsid w:val="00526E4E"/>
    <w:rsid w:val="00526EE6"/>
    <w:rsid w:val="00526FFF"/>
    <w:rsid w:val="00527035"/>
    <w:rsid w:val="005274B4"/>
    <w:rsid w:val="00527543"/>
    <w:rsid w:val="0052758C"/>
    <w:rsid w:val="00527958"/>
    <w:rsid w:val="005279C2"/>
    <w:rsid w:val="005279D9"/>
    <w:rsid w:val="00527BCC"/>
    <w:rsid w:val="00527C19"/>
    <w:rsid w:val="00527C1B"/>
    <w:rsid w:val="00527E6F"/>
    <w:rsid w:val="00530537"/>
    <w:rsid w:val="005307A6"/>
    <w:rsid w:val="00530845"/>
    <w:rsid w:val="00530B79"/>
    <w:rsid w:val="00530E12"/>
    <w:rsid w:val="00530E17"/>
    <w:rsid w:val="00530E3C"/>
    <w:rsid w:val="0053137F"/>
    <w:rsid w:val="0053196D"/>
    <w:rsid w:val="00531A94"/>
    <w:rsid w:val="00531E97"/>
    <w:rsid w:val="00531EA2"/>
    <w:rsid w:val="00531EFC"/>
    <w:rsid w:val="00532093"/>
    <w:rsid w:val="005320CE"/>
    <w:rsid w:val="005322B1"/>
    <w:rsid w:val="005323A0"/>
    <w:rsid w:val="005323B2"/>
    <w:rsid w:val="0053255C"/>
    <w:rsid w:val="00532A38"/>
    <w:rsid w:val="00532DA4"/>
    <w:rsid w:val="00532DC3"/>
    <w:rsid w:val="00532E59"/>
    <w:rsid w:val="00532F06"/>
    <w:rsid w:val="00533086"/>
    <w:rsid w:val="005331AC"/>
    <w:rsid w:val="005333C4"/>
    <w:rsid w:val="00533437"/>
    <w:rsid w:val="005335A9"/>
    <w:rsid w:val="00533728"/>
    <w:rsid w:val="005339FF"/>
    <w:rsid w:val="00533D15"/>
    <w:rsid w:val="00533E99"/>
    <w:rsid w:val="00533EA7"/>
    <w:rsid w:val="005340A2"/>
    <w:rsid w:val="00534266"/>
    <w:rsid w:val="005342F9"/>
    <w:rsid w:val="00534464"/>
    <w:rsid w:val="00534510"/>
    <w:rsid w:val="00534516"/>
    <w:rsid w:val="00534712"/>
    <w:rsid w:val="00534858"/>
    <w:rsid w:val="00534C05"/>
    <w:rsid w:val="00534D9B"/>
    <w:rsid w:val="00534ECE"/>
    <w:rsid w:val="00534EF8"/>
    <w:rsid w:val="00534F0F"/>
    <w:rsid w:val="00535287"/>
    <w:rsid w:val="0053571B"/>
    <w:rsid w:val="00535806"/>
    <w:rsid w:val="00535875"/>
    <w:rsid w:val="00535993"/>
    <w:rsid w:val="00535A1F"/>
    <w:rsid w:val="00535F89"/>
    <w:rsid w:val="00535F95"/>
    <w:rsid w:val="00536064"/>
    <w:rsid w:val="005361DC"/>
    <w:rsid w:val="005362D7"/>
    <w:rsid w:val="005363D7"/>
    <w:rsid w:val="005364F2"/>
    <w:rsid w:val="0053679D"/>
    <w:rsid w:val="00536836"/>
    <w:rsid w:val="00536BC5"/>
    <w:rsid w:val="00536D38"/>
    <w:rsid w:val="00536D6B"/>
    <w:rsid w:val="00536E84"/>
    <w:rsid w:val="00536EDC"/>
    <w:rsid w:val="005373B4"/>
    <w:rsid w:val="00537444"/>
    <w:rsid w:val="005374E8"/>
    <w:rsid w:val="00537593"/>
    <w:rsid w:val="00537674"/>
    <w:rsid w:val="005379B8"/>
    <w:rsid w:val="00537AC7"/>
    <w:rsid w:val="00537CFA"/>
    <w:rsid w:val="00537F98"/>
    <w:rsid w:val="005400C6"/>
    <w:rsid w:val="005402B2"/>
    <w:rsid w:val="0054039C"/>
    <w:rsid w:val="0054079B"/>
    <w:rsid w:val="00540820"/>
    <w:rsid w:val="00540A2D"/>
    <w:rsid w:val="00540AB0"/>
    <w:rsid w:val="00540BCD"/>
    <w:rsid w:val="00540D25"/>
    <w:rsid w:val="00540E4A"/>
    <w:rsid w:val="005410A5"/>
    <w:rsid w:val="0054184E"/>
    <w:rsid w:val="005419BD"/>
    <w:rsid w:val="00541BE3"/>
    <w:rsid w:val="00541E31"/>
    <w:rsid w:val="00541F4C"/>
    <w:rsid w:val="005422EE"/>
    <w:rsid w:val="00542302"/>
    <w:rsid w:val="005426B9"/>
    <w:rsid w:val="00542CF5"/>
    <w:rsid w:val="00542D08"/>
    <w:rsid w:val="005431E9"/>
    <w:rsid w:val="00543268"/>
    <w:rsid w:val="005432D5"/>
    <w:rsid w:val="00543309"/>
    <w:rsid w:val="005433E7"/>
    <w:rsid w:val="00543948"/>
    <w:rsid w:val="00543BDA"/>
    <w:rsid w:val="00543D21"/>
    <w:rsid w:val="00543D36"/>
    <w:rsid w:val="00543EBC"/>
    <w:rsid w:val="00543EEA"/>
    <w:rsid w:val="00543F5B"/>
    <w:rsid w:val="00544436"/>
    <w:rsid w:val="0054452F"/>
    <w:rsid w:val="00544649"/>
    <w:rsid w:val="005446D6"/>
    <w:rsid w:val="00544BD0"/>
    <w:rsid w:val="00544F2A"/>
    <w:rsid w:val="00545314"/>
    <w:rsid w:val="005456E8"/>
    <w:rsid w:val="00545721"/>
    <w:rsid w:val="0054591F"/>
    <w:rsid w:val="0054596D"/>
    <w:rsid w:val="00545A99"/>
    <w:rsid w:val="00545CC4"/>
    <w:rsid w:val="00545ED8"/>
    <w:rsid w:val="00545FA4"/>
    <w:rsid w:val="00546630"/>
    <w:rsid w:val="00546677"/>
    <w:rsid w:val="00546679"/>
    <w:rsid w:val="0054684B"/>
    <w:rsid w:val="00546956"/>
    <w:rsid w:val="0054698A"/>
    <w:rsid w:val="00546C07"/>
    <w:rsid w:val="00546C11"/>
    <w:rsid w:val="00546ED7"/>
    <w:rsid w:val="00546F96"/>
    <w:rsid w:val="00546FF9"/>
    <w:rsid w:val="00547012"/>
    <w:rsid w:val="0054706F"/>
    <w:rsid w:val="00547257"/>
    <w:rsid w:val="00547268"/>
    <w:rsid w:val="0054735B"/>
    <w:rsid w:val="00547381"/>
    <w:rsid w:val="005473AB"/>
    <w:rsid w:val="0054749F"/>
    <w:rsid w:val="00547619"/>
    <w:rsid w:val="0054788E"/>
    <w:rsid w:val="00547B46"/>
    <w:rsid w:val="00547C67"/>
    <w:rsid w:val="00547EE4"/>
    <w:rsid w:val="0055005C"/>
    <w:rsid w:val="005503B7"/>
    <w:rsid w:val="0055049A"/>
    <w:rsid w:val="00550542"/>
    <w:rsid w:val="005505C2"/>
    <w:rsid w:val="00550847"/>
    <w:rsid w:val="00550A8A"/>
    <w:rsid w:val="00550CB2"/>
    <w:rsid w:val="00550F78"/>
    <w:rsid w:val="0055106F"/>
    <w:rsid w:val="00551382"/>
    <w:rsid w:val="00551483"/>
    <w:rsid w:val="005516C1"/>
    <w:rsid w:val="00551703"/>
    <w:rsid w:val="005517CF"/>
    <w:rsid w:val="00551819"/>
    <w:rsid w:val="00551BBA"/>
    <w:rsid w:val="00551BDA"/>
    <w:rsid w:val="00551D6F"/>
    <w:rsid w:val="00551E44"/>
    <w:rsid w:val="00551FA9"/>
    <w:rsid w:val="005521EE"/>
    <w:rsid w:val="00552233"/>
    <w:rsid w:val="0055246F"/>
    <w:rsid w:val="005524C8"/>
    <w:rsid w:val="00552532"/>
    <w:rsid w:val="0055260A"/>
    <w:rsid w:val="00552A52"/>
    <w:rsid w:val="00552AEA"/>
    <w:rsid w:val="00552B5C"/>
    <w:rsid w:val="00552D15"/>
    <w:rsid w:val="00552D69"/>
    <w:rsid w:val="00553364"/>
    <w:rsid w:val="005536BC"/>
    <w:rsid w:val="00553856"/>
    <w:rsid w:val="0055390F"/>
    <w:rsid w:val="0055395E"/>
    <w:rsid w:val="00553C3A"/>
    <w:rsid w:val="00553D53"/>
    <w:rsid w:val="00553E8E"/>
    <w:rsid w:val="005540CC"/>
    <w:rsid w:val="00554148"/>
    <w:rsid w:val="0055414C"/>
    <w:rsid w:val="0055417A"/>
    <w:rsid w:val="005541EA"/>
    <w:rsid w:val="00554261"/>
    <w:rsid w:val="005545C8"/>
    <w:rsid w:val="00554A59"/>
    <w:rsid w:val="00554A70"/>
    <w:rsid w:val="00554CD2"/>
    <w:rsid w:val="00554CDA"/>
    <w:rsid w:val="00554DAA"/>
    <w:rsid w:val="00554F77"/>
    <w:rsid w:val="00555117"/>
    <w:rsid w:val="00555329"/>
    <w:rsid w:val="0055532C"/>
    <w:rsid w:val="0055555A"/>
    <w:rsid w:val="00555728"/>
    <w:rsid w:val="005559DE"/>
    <w:rsid w:val="00555BCF"/>
    <w:rsid w:val="00555C0A"/>
    <w:rsid w:val="00555C4D"/>
    <w:rsid w:val="00555D9A"/>
    <w:rsid w:val="00555E54"/>
    <w:rsid w:val="005564BB"/>
    <w:rsid w:val="00556511"/>
    <w:rsid w:val="005566B9"/>
    <w:rsid w:val="005566C1"/>
    <w:rsid w:val="0055682D"/>
    <w:rsid w:val="00556C84"/>
    <w:rsid w:val="00556F58"/>
    <w:rsid w:val="00557005"/>
    <w:rsid w:val="00557193"/>
    <w:rsid w:val="005574B9"/>
    <w:rsid w:val="00557A23"/>
    <w:rsid w:val="00557C8D"/>
    <w:rsid w:val="00557CCA"/>
    <w:rsid w:val="00557FC2"/>
    <w:rsid w:val="0056035D"/>
    <w:rsid w:val="00560689"/>
    <w:rsid w:val="005607DA"/>
    <w:rsid w:val="00560A07"/>
    <w:rsid w:val="00560A7F"/>
    <w:rsid w:val="00560BB5"/>
    <w:rsid w:val="00560E6F"/>
    <w:rsid w:val="00560FC6"/>
    <w:rsid w:val="00561187"/>
    <w:rsid w:val="00561218"/>
    <w:rsid w:val="0056157A"/>
    <w:rsid w:val="005616E9"/>
    <w:rsid w:val="005618D3"/>
    <w:rsid w:val="00561963"/>
    <w:rsid w:val="00561A89"/>
    <w:rsid w:val="00561F3D"/>
    <w:rsid w:val="00562187"/>
    <w:rsid w:val="005621AE"/>
    <w:rsid w:val="00562239"/>
    <w:rsid w:val="00562286"/>
    <w:rsid w:val="00562490"/>
    <w:rsid w:val="005624F9"/>
    <w:rsid w:val="00562535"/>
    <w:rsid w:val="005626C1"/>
    <w:rsid w:val="00562CE9"/>
    <w:rsid w:val="00562EE0"/>
    <w:rsid w:val="00563188"/>
    <w:rsid w:val="0056334E"/>
    <w:rsid w:val="0056347D"/>
    <w:rsid w:val="00563698"/>
    <w:rsid w:val="00563707"/>
    <w:rsid w:val="0056370C"/>
    <w:rsid w:val="0056371D"/>
    <w:rsid w:val="00563D25"/>
    <w:rsid w:val="00563D38"/>
    <w:rsid w:val="00563F35"/>
    <w:rsid w:val="00563FC4"/>
    <w:rsid w:val="00564850"/>
    <w:rsid w:val="00564C25"/>
    <w:rsid w:val="00564C75"/>
    <w:rsid w:val="00564D34"/>
    <w:rsid w:val="00564E52"/>
    <w:rsid w:val="005651F7"/>
    <w:rsid w:val="005654D6"/>
    <w:rsid w:val="00565687"/>
    <w:rsid w:val="005657F6"/>
    <w:rsid w:val="005658DF"/>
    <w:rsid w:val="0056590A"/>
    <w:rsid w:val="00565F0D"/>
    <w:rsid w:val="005660B6"/>
    <w:rsid w:val="00566167"/>
    <w:rsid w:val="00566354"/>
    <w:rsid w:val="0056641F"/>
    <w:rsid w:val="005664E2"/>
    <w:rsid w:val="0056659D"/>
    <w:rsid w:val="005665F9"/>
    <w:rsid w:val="005666B8"/>
    <w:rsid w:val="0056671B"/>
    <w:rsid w:val="00566765"/>
    <w:rsid w:val="0056678E"/>
    <w:rsid w:val="00566896"/>
    <w:rsid w:val="00566A63"/>
    <w:rsid w:val="00566CA3"/>
    <w:rsid w:val="00566E26"/>
    <w:rsid w:val="00566E45"/>
    <w:rsid w:val="00567703"/>
    <w:rsid w:val="0056778B"/>
    <w:rsid w:val="00567F69"/>
    <w:rsid w:val="005701C6"/>
    <w:rsid w:val="00570481"/>
    <w:rsid w:val="005704C2"/>
    <w:rsid w:val="005704EE"/>
    <w:rsid w:val="00570568"/>
    <w:rsid w:val="00570624"/>
    <w:rsid w:val="005706E7"/>
    <w:rsid w:val="00570748"/>
    <w:rsid w:val="005708CB"/>
    <w:rsid w:val="005709C5"/>
    <w:rsid w:val="00570A08"/>
    <w:rsid w:val="00570AA1"/>
    <w:rsid w:val="00570B6C"/>
    <w:rsid w:val="00570E64"/>
    <w:rsid w:val="00571466"/>
    <w:rsid w:val="00571499"/>
    <w:rsid w:val="0057165E"/>
    <w:rsid w:val="00571906"/>
    <w:rsid w:val="00571BC4"/>
    <w:rsid w:val="00571DBC"/>
    <w:rsid w:val="00571FF8"/>
    <w:rsid w:val="00572215"/>
    <w:rsid w:val="005723D9"/>
    <w:rsid w:val="00572401"/>
    <w:rsid w:val="0057268D"/>
    <w:rsid w:val="00572741"/>
    <w:rsid w:val="005727F2"/>
    <w:rsid w:val="00572852"/>
    <w:rsid w:val="00572966"/>
    <w:rsid w:val="005729CF"/>
    <w:rsid w:val="00572F2D"/>
    <w:rsid w:val="00572F8B"/>
    <w:rsid w:val="00572FF9"/>
    <w:rsid w:val="00573016"/>
    <w:rsid w:val="005730F7"/>
    <w:rsid w:val="00573111"/>
    <w:rsid w:val="00573223"/>
    <w:rsid w:val="005733DA"/>
    <w:rsid w:val="00573429"/>
    <w:rsid w:val="00573762"/>
    <w:rsid w:val="0057378B"/>
    <w:rsid w:val="005737DE"/>
    <w:rsid w:val="00573A3C"/>
    <w:rsid w:val="00573BA8"/>
    <w:rsid w:val="00573BBC"/>
    <w:rsid w:val="00573D66"/>
    <w:rsid w:val="00573DEA"/>
    <w:rsid w:val="00573F52"/>
    <w:rsid w:val="00573FB7"/>
    <w:rsid w:val="00574091"/>
    <w:rsid w:val="0057409A"/>
    <w:rsid w:val="005740A1"/>
    <w:rsid w:val="00574245"/>
    <w:rsid w:val="00574360"/>
    <w:rsid w:val="00574510"/>
    <w:rsid w:val="00574720"/>
    <w:rsid w:val="00574785"/>
    <w:rsid w:val="00574845"/>
    <w:rsid w:val="005749AD"/>
    <w:rsid w:val="00574DC4"/>
    <w:rsid w:val="00574F2E"/>
    <w:rsid w:val="00574FA1"/>
    <w:rsid w:val="00575261"/>
    <w:rsid w:val="0057531A"/>
    <w:rsid w:val="005753C5"/>
    <w:rsid w:val="00575BED"/>
    <w:rsid w:val="00575DE5"/>
    <w:rsid w:val="00575FB6"/>
    <w:rsid w:val="00576080"/>
    <w:rsid w:val="005763CF"/>
    <w:rsid w:val="005765B0"/>
    <w:rsid w:val="00576685"/>
    <w:rsid w:val="0057679E"/>
    <w:rsid w:val="005767B3"/>
    <w:rsid w:val="00576A67"/>
    <w:rsid w:val="00576AED"/>
    <w:rsid w:val="00576CBD"/>
    <w:rsid w:val="005774E8"/>
    <w:rsid w:val="00577581"/>
    <w:rsid w:val="005779EA"/>
    <w:rsid w:val="00577C51"/>
    <w:rsid w:val="00577CD3"/>
    <w:rsid w:val="00580538"/>
    <w:rsid w:val="005805F9"/>
    <w:rsid w:val="005807A9"/>
    <w:rsid w:val="005808A6"/>
    <w:rsid w:val="00580916"/>
    <w:rsid w:val="00580CAC"/>
    <w:rsid w:val="00580E26"/>
    <w:rsid w:val="00581230"/>
    <w:rsid w:val="00581343"/>
    <w:rsid w:val="00581557"/>
    <w:rsid w:val="00581916"/>
    <w:rsid w:val="00581B13"/>
    <w:rsid w:val="00581BAB"/>
    <w:rsid w:val="00581C41"/>
    <w:rsid w:val="00581EB9"/>
    <w:rsid w:val="00581EF4"/>
    <w:rsid w:val="00582180"/>
    <w:rsid w:val="005821A6"/>
    <w:rsid w:val="005823A0"/>
    <w:rsid w:val="00582403"/>
    <w:rsid w:val="00582502"/>
    <w:rsid w:val="00582600"/>
    <w:rsid w:val="00582605"/>
    <w:rsid w:val="005827F3"/>
    <w:rsid w:val="005828DF"/>
    <w:rsid w:val="0058291C"/>
    <w:rsid w:val="00582992"/>
    <w:rsid w:val="00582BAD"/>
    <w:rsid w:val="00582BBF"/>
    <w:rsid w:val="00582C0F"/>
    <w:rsid w:val="00582C6A"/>
    <w:rsid w:val="00582D36"/>
    <w:rsid w:val="00582DA9"/>
    <w:rsid w:val="00582EB6"/>
    <w:rsid w:val="00582F3D"/>
    <w:rsid w:val="00583150"/>
    <w:rsid w:val="00583313"/>
    <w:rsid w:val="005833ED"/>
    <w:rsid w:val="00583487"/>
    <w:rsid w:val="005834C2"/>
    <w:rsid w:val="005835C9"/>
    <w:rsid w:val="00583660"/>
    <w:rsid w:val="005839A4"/>
    <w:rsid w:val="00583BA0"/>
    <w:rsid w:val="00583C14"/>
    <w:rsid w:val="00583C38"/>
    <w:rsid w:val="00583FF5"/>
    <w:rsid w:val="00584167"/>
    <w:rsid w:val="005847F0"/>
    <w:rsid w:val="00584D78"/>
    <w:rsid w:val="005851D2"/>
    <w:rsid w:val="00585336"/>
    <w:rsid w:val="005857F4"/>
    <w:rsid w:val="00585AC2"/>
    <w:rsid w:val="00586062"/>
    <w:rsid w:val="00586088"/>
    <w:rsid w:val="00586128"/>
    <w:rsid w:val="0058634F"/>
    <w:rsid w:val="0058641E"/>
    <w:rsid w:val="005864F3"/>
    <w:rsid w:val="0058655F"/>
    <w:rsid w:val="005865A5"/>
    <w:rsid w:val="00586699"/>
    <w:rsid w:val="005866EA"/>
    <w:rsid w:val="0058677A"/>
    <w:rsid w:val="00586896"/>
    <w:rsid w:val="00586914"/>
    <w:rsid w:val="00586D1C"/>
    <w:rsid w:val="00586D7B"/>
    <w:rsid w:val="005871D8"/>
    <w:rsid w:val="005871EA"/>
    <w:rsid w:val="005873A9"/>
    <w:rsid w:val="00587442"/>
    <w:rsid w:val="00587477"/>
    <w:rsid w:val="0058756F"/>
    <w:rsid w:val="005877E3"/>
    <w:rsid w:val="0058786E"/>
    <w:rsid w:val="005878B6"/>
    <w:rsid w:val="00587A1B"/>
    <w:rsid w:val="00587CE9"/>
    <w:rsid w:val="00587D7B"/>
    <w:rsid w:val="00587D87"/>
    <w:rsid w:val="00587E5C"/>
    <w:rsid w:val="00587F75"/>
    <w:rsid w:val="0059028C"/>
    <w:rsid w:val="0059071F"/>
    <w:rsid w:val="00590742"/>
    <w:rsid w:val="00590784"/>
    <w:rsid w:val="0059088C"/>
    <w:rsid w:val="005908BC"/>
    <w:rsid w:val="005909E5"/>
    <w:rsid w:val="00590B03"/>
    <w:rsid w:val="00590C55"/>
    <w:rsid w:val="00590D3F"/>
    <w:rsid w:val="00590F11"/>
    <w:rsid w:val="005910A6"/>
    <w:rsid w:val="0059122C"/>
    <w:rsid w:val="00591365"/>
    <w:rsid w:val="00591394"/>
    <w:rsid w:val="005913D1"/>
    <w:rsid w:val="00591482"/>
    <w:rsid w:val="00591596"/>
    <w:rsid w:val="0059163E"/>
    <w:rsid w:val="00591672"/>
    <w:rsid w:val="0059176A"/>
    <w:rsid w:val="00591797"/>
    <w:rsid w:val="005919B9"/>
    <w:rsid w:val="005919F3"/>
    <w:rsid w:val="00591A6B"/>
    <w:rsid w:val="00591BF5"/>
    <w:rsid w:val="00591C17"/>
    <w:rsid w:val="00591E55"/>
    <w:rsid w:val="00591ED4"/>
    <w:rsid w:val="00591FCF"/>
    <w:rsid w:val="00592161"/>
    <w:rsid w:val="005926B1"/>
    <w:rsid w:val="005926E2"/>
    <w:rsid w:val="00592848"/>
    <w:rsid w:val="005929C0"/>
    <w:rsid w:val="00592AF6"/>
    <w:rsid w:val="00592D49"/>
    <w:rsid w:val="005936EF"/>
    <w:rsid w:val="00593800"/>
    <w:rsid w:val="00593888"/>
    <w:rsid w:val="00593DA1"/>
    <w:rsid w:val="00593DAB"/>
    <w:rsid w:val="00593EBE"/>
    <w:rsid w:val="00594054"/>
    <w:rsid w:val="005940CD"/>
    <w:rsid w:val="00594288"/>
    <w:rsid w:val="005944DE"/>
    <w:rsid w:val="005945A0"/>
    <w:rsid w:val="00594CFB"/>
    <w:rsid w:val="00594DEE"/>
    <w:rsid w:val="00594E76"/>
    <w:rsid w:val="00594ECC"/>
    <w:rsid w:val="005950A5"/>
    <w:rsid w:val="005951E6"/>
    <w:rsid w:val="0059522C"/>
    <w:rsid w:val="0059528E"/>
    <w:rsid w:val="0059549E"/>
    <w:rsid w:val="005955E5"/>
    <w:rsid w:val="0059575B"/>
    <w:rsid w:val="00595C73"/>
    <w:rsid w:val="00596089"/>
    <w:rsid w:val="00596179"/>
    <w:rsid w:val="005962A6"/>
    <w:rsid w:val="0059645B"/>
    <w:rsid w:val="00596AAB"/>
    <w:rsid w:val="00596C60"/>
    <w:rsid w:val="00596E3A"/>
    <w:rsid w:val="005977D4"/>
    <w:rsid w:val="005979E2"/>
    <w:rsid w:val="00597ACC"/>
    <w:rsid w:val="00597D5C"/>
    <w:rsid w:val="005A0033"/>
    <w:rsid w:val="005A006C"/>
    <w:rsid w:val="005A025B"/>
    <w:rsid w:val="005A0361"/>
    <w:rsid w:val="005A03CB"/>
    <w:rsid w:val="005A03EA"/>
    <w:rsid w:val="005A0493"/>
    <w:rsid w:val="005A074B"/>
    <w:rsid w:val="005A0D03"/>
    <w:rsid w:val="005A0F3E"/>
    <w:rsid w:val="005A0F75"/>
    <w:rsid w:val="005A11F8"/>
    <w:rsid w:val="005A126B"/>
    <w:rsid w:val="005A153E"/>
    <w:rsid w:val="005A1566"/>
    <w:rsid w:val="005A16BF"/>
    <w:rsid w:val="005A1A70"/>
    <w:rsid w:val="005A1D5B"/>
    <w:rsid w:val="005A1E70"/>
    <w:rsid w:val="005A1F3A"/>
    <w:rsid w:val="005A1F93"/>
    <w:rsid w:val="005A204A"/>
    <w:rsid w:val="005A2731"/>
    <w:rsid w:val="005A2D88"/>
    <w:rsid w:val="005A3271"/>
    <w:rsid w:val="005A327B"/>
    <w:rsid w:val="005A3384"/>
    <w:rsid w:val="005A35EE"/>
    <w:rsid w:val="005A3786"/>
    <w:rsid w:val="005A38BC"/>
    <w:rsid w:val="005A3B16"/>
    <w:rsid w:val="005A3F73"/>
    <w:rsid w:val="005A3F9E"/>
    <w:rsid w:val="005A4411"/>
    <w:rsid w:val="005A4655"/>
    <w:rsid w:val="005A485F"/>
    <w:rsid w:val="005A49E2"/>
    <w:rsid w:val="005A4AF0"/>
    <w:rsid w:val="005A4B54"/>
    <w:rsid w:val="005A4C31"/>
    <w:rsid w:val="005A4F7D"/>
    <w:rsid w:val="005A50B6"/>
    <w:rsid w:val="005A5167"/>
    <w:rsid w:val="005A5507"/>
    <w:rsid w:val="005A5783"/>
    <w:rsid w:val="005A593D"/>
    <w:rsid w:val="005A5D57"/>
    <w:rsid w:val="005A5DAE"/>
    <w:rsid w:val="005A5E28"/>
    <w:rsid w:val="005A5EC1"/>
    <w:rsid w:val="005A5FF4"/>
    <w:rsid w:val="005A62BE"/>
    <w:rsid w:val="005A62DF"/>
    <w:rsid w:val="005A66D8"/>
    <w:rsid w:val="005A689D"/>
    <w:rsid w:val="005A68CA"/>
    <w:rsid w:val="005A69AF"/>
    <w:rsid w:val="005A6A4C"/>
    <w:rsid w:val="005A6C3B"/>
    <w:rsid w:val="005A6C6A"/>
    <w:rsid w:val="005A6D29"/>
    <w:rsid w:val="005A6F59"/>
    <w:rsid w:val="005A6FC5"/>
    <w:rsid w:val="005A753C"/>
    <w:rsid w:val="005A7573"/>
    <w:rsid w:val="005A75E5"/>
    <w:rsid w:val="005A7607"/>
    <w:rsid w:val="005A7650"/>
    <w:rsid w:val="005A7666"/>
    <w:rsid w:val="005A7738"/>
    <w:rsid w:val="005A79E9"/>
    <w:rsid w:val="005B01CD"/>
    <w:rsid w:val="005B03D7"/>
    <w:rsid w:val="005B05AA"/>
    <w:rsid w:val="005B0645"/>
    <w:rsid w:val="005B06BD"/>
    <w:rsid w:val="005B0B9D"/>
    <w:rsid w:val="005B0DB9"/>
    <w:rsid w:val="005B1360"/>
    <w:rsid w:val="005B14C1"/>
    <w:rsid w:val="005B158B"/>
    <w:rsid w:val="005B1907"/>
    <w:rsid w:val="005B1926"/>
    <w:rsid w:val="005B19B4"/>
    <w:rsid w:val="005B1AC6"/>
    <w:rsid w:val="005B20BD"/>
    <w:rsid w:val="005B22E6"/>
    <w:rsid w:val="005B2568"/>
    <w:rsid w:val="005B2958"/>
    <w:rsid w:val="005B3305"/>
    <w:rsid w:val="005B365D"/>
    <w:rsid w:val="005B36B8"/>
    <w:rsid w:val="005B375C"/>
    <w:rsid w:val="005B39EF"/>
    <w:rsid w:val="005B3C2D"/>
    <w:rsid w:val="005B3CF0"/>
    <w:rsid w:val="005B3D91"/>
    <w:rsid w:val="005B3F39"/>
    <w:rsid w:val="005B4026"/>
    <w:rsid w:val="005B42EB"/>
    <w:rsid w:val="005B42EC"/>
    <w:rsid w:val="005B4417"/>
    <w:rsid w:val="005B47D8"/>
    <w:rsid w:val="005B492C"/>
    <w:rsid w:val="005B49EA"/>
    <w:rsid w:val="005B4A97"/>
    <w:rsid w:val="005B4AE5"/>
    <w:rsid w:val="005B4CC4"/>
    <w:rsid w:val="005B4D0C"/>
    <w:rsid w:val="005B4E0A"/>
    <w:rsid w:val="005B5110"/>
    <w:rsid w:val="005B58B8"/>
    <w:rsid w:val="005B59B8"/>
    <w:rsid w:val="005B5CD5"/>
    <w:rsid w:val="005B5CFC"/>
    <w:rsid w:val="005B5E5A"/>
    <w:rsid w:val="005B6091"/>
    <w:rsid w:val="005B60A8"/>
    <w:rsid w:val="005B60B2"/>
    <w:rsid w:val="005B6351"/>
    <w:rsid w:val="005B63B0"/>
    <w:rsid w:val="005B65BD"/>
    <w:rsid w:val="005B674F"/>
    <w:rsid w:val="005B6765"/>
    <w:rsid w:val="005B67C1"/>
    <w:rsid w:val="005B6AB0"/>
    <w:rsid w:val="005B6B62"/>
    <w:rsid w:val="005B6C73"/>
    <w:rsid w:val="005B6DAF"/>
    <w:rsid w:val="005B6F2C"/>
    <w:rsid w:val="005B703B"/>
    <w:rsid w:val="005B7135"/>
    <w:rsid w:val="005B71C5"/>
    <w:rsid w:val="005B727A"/>
    <w:rsid w:val="005B72A9"/>
    <w:rsid w:val="005B75EF"/>
    <w:rsid w:val="005B765A"/>
    <w:rsid w:val="005B77D7"/>
    <w:rsid w:val="005B793B"/>
    <w:rsid w:val="005B79BF"/>
    <w:rsid w:val="005B7A52"/>
    <w:rsid w:val="005B7B1D"/>
    <w:rsid w:val="005B7BC9"/>
    <w:rsid w:val="005B7D50"/>
    <w:rsid w:val="005C0423"/>
    <w:rsid w:val="005C074A"/>
    <w:rsid w:val="005C0932"/>
    <w:rsid w:val="005C0CDE"/>
    <w:rsid w:val="005C0E57"/>
    <w:rsid w:val="005C0ECE"/>
    <w:rsid w:val="005C0F24"/>
    <w:rsid w:val="005C1143"/>
    <w:rsid w:val="005C13BC"/>
    <w:rsid w:val="005C1548"/>
    <w:rsid w:val="005C15CA"/>
    <w:rsid w:val="005C1614"/>
    <w:rsid w:val="005C1668"/>
    <w:rsid w:val="005C16CC"/>
    <w:rsid w:val="005C1A46"/>
    <w:rsid w:val="005C2015"/>
    <w:rsid w:val="005C21C0"/>
    <w:rsid w:val="005C23E8"/>
    <w:rsid w:val="005C2500"/>
    <w:rsid w:val="005C2894"/>
    <w:rsid w:val="005C2988"/>
    <w:rsid w:val="005C2EE6"/>
    <w:rsid w:val="005C2FA4"/>
    <w:rsid w:val="005C3315"/>
    <w:rsid w:val="005C3343"/>
    <w:rsid w:val="005C3385"/>
    <w:rsid w:val="005C341A"/>
    <w:rsid w:val="005C3614"/>
    <w:rsid w:val="005C3AC4"/>
    <w:rsid w:val="005C3AD3"/>
    <w:rsid w:val="005C3BC9"/>
    <w:rsid w:val="005C3C6B"/>
    <w:rsid w:val="005C4273"/>
    <w:rsid w:val="005C4347"/>
    <w:rsid w:val="005C4363"/>
    <w:rsid w:val="005C4597"/>
    <w:rsid w:val="005C46F3"/>
    <w:rsid w:val="005C4A28"/>
    <w:rsid w:val="005C4A4B"/>
    <w:rsid w:val="005C4B22"/>
    <w:rsid w:val="005C4C93"/>
    <w:rsid w:val="005C4D17"/>
    <w:rsid w:val="005C4F8A"/>
    <w:rsid w:val="005C5819"/>
    <w:rsid w:val="005C593D"/>
    <w:rsid w:val="005C5CBA"/>
    <w:rsid w:val="005C5D25"/>
    <w:rsid w:val="005C6332"/>
    <w:rsid w:val="005C6436"/>
    <w:rsid w:val="005C657B"/>
    <w:rsid w:val="005C65A4"/>
    <w:rsid w:val="005C660D"/>
    <w:rsid w:val="005C66D9"/>
    <w:rsid w:val="005C676A"/>
    <w:rsid w:val="005C6933"/>
    <w:rsid w:val="005C6CAD"/>
    <w:rsid w:val="005C6F1F"/>
    <w:rsid w:val="005C7280"/>
    <w:rsid w:val="005C734A"/>
    <w:rsid w:val="005C7570"/>
    <w:rsid w:val="005C769A"/>
    <w:rsid w:val="005C77D6"/>
    <w:rsid w:val="005C7A19"/>
    <w:rsid w:val="005C7D33"/>
    <w:rsid w:val="005C7DC1"/>
    <w:rsid w:val="005D02B7"/>
    <w:rsid w:val="005D040F"/>
    <w:rsid w:val="005D06D2"/>
    <w:rsid w:val="005D0B14"/>
    <w:rsid w:val="005D0DAF"/>
    <w:rsid w:val="005D0FE9"/>
    <w:rsid w:val="005D1072"/>
    <w:rsid w:val="005D1234"/>
    <w:rsid w:val="005D17E7"/>
    <w:rsid w:val="005D19CE"/>
    <w:rsid w:val="005D1DDE"/>
    <w:rsid w:val="005D1F38"/>
    <w:rsid w:val="005D1F87"/>
    <w:rsid w:val="005D23C0"/>
    <w:rsid w:val="005D246A"/>
    <w:rsid w:val="005D2F2E"/>
    <w:rsid w:val="005D3197"/>
    <w:rsid w:val="005D32C0"/>
    <w:rsid w:val="005D32F7"/>
    <w:rsid w:val="005D33C9"/>
    <w:rsid w:val="005D33CF"/>
    <w:rsid w:val="005D3707"/>
    <w:rsid w:val="005D3770"/>
    <w:rsid w:val="005D38CB"/>
    <w:rsid w:val="005D3CB2"/>
    <w:rsid w:val="005D3E7A"/>
    <w:rsid w:val="005D41D1"/>
    <w:rsid w:val="005D433E"/>
    <w:rsid w:val="005D4808"/>
    <w:rsid w:val="005D4998"/>
    <w:rsid w:val="005D4CB7"/>
    <w:rsid w:val="005D4E4B"/>
    <w:rsid w:val="005D50A0"/>
    <w:rsid w:val="005D54CF"/>
    <w:rsid w:val="005D5741"/>
    <w:rsid w:val="005D5758"/>
    <w:rsid w:val="005D589B"/>
    <w:rsid w:val="005D5B7A"/>
    <w:rsid w:val="005D5D86"/>
    <w:rsid w:val="005D5DA9"/>
    <w:rsid w:val="005D5F41"/>
    <w:rsid w:val="005D5F4F"/>
    <w:rsid w:val="005D5F86"/>
    <w:rsid w:val="005D612E"/>
    <w:rsid w:val="005D61FB"/>
    <w:rsid w:val="005D62AC"/>
    <w:rsid w:val="005D62FA"/>
    <w:rsid w:val="005D648D"/>
    <w:rsid w:val="005D659D"/>
    <w:rsid w:val="005D65F8"/>
    <w:rsid w:val="005D666B"/>
    <w:rsid w:val="005D689F"/>
    <w:rsid w:val="005D6A42"/>
    <w:rsid w:val="005D6B1A"/>
    <w:rsid w:val="005D6B94"/>
    <w:rsid w:val="005D6C21"/>
    <w:rsid w:val="005D6DAD"/>
    <w:rsid w:val="005D6F10"/>
    <w:rsid w:val="005D7047"/>
    <w:rsid w:val="005D7058"/>
    <w:rsid w:val="005D742C"/>
    <w:rsid w:val="005D7B8C"/>
    <w:rsid w:val="005D7BB4"/>
    <w:rsid w:val="005D7D30"/>
    <w:rsid w:val="005D7D3D"/>
    <w:rsid w:val="005D7E21"/>
    <w:rsid w:val="005D7F6C"/>
    <w:rsid w:val="005E004E"/>
    <w:rsid w:val="005E02CE"/>
    <w:rsid w:val="005E0405"/>
    <w:rsid w:val="005E0435"/>
    <w:rsid w:val="005E052A"/>
    <w:rsid w:val="005E0534"/>
    <w:rsid w:val="005E053D"/>
    <w:rsid w:val="005E08F8"/>
    <w:rsid w:val="005E0D5C"/>
    <w:rsid w:val="005E0E83"/>
    <w:rsid w:val="005E108C"/>
    <w:rsid w:val="005E15C1"/>
    <w:rsid w:val="005E16A3"/>
    <w:rsid w:val="005E1A85"/>
    <w:rsid w:val="005E1B06"/>
    <w:rsid w:val="005E1E12"/>
    <w:rsid w:val="005E1F10"/>
    <w:rsid w:val="005E1F23"/>
    <w:rsid w:val="005E2170"/>
    <w:rsid w:val="005E285B"/>
    <w:rsid w:val="005E2A46"/>
    <w:rsid w:val="005E2AA7"/>
    <w:rsid w:val="005E2B00"/>
    <w:rsid w:val="005E2B86"/>
    <w:rsid w:val="005E2C72"/>
    <w:rsid w:val="005E2D39"/>
    <w:rsid w:val="005E2E67"/>
    <w:rsid w:val="005E2EE7"/>
    <w:rsid w:val="005E301F"/>
    <w:rsid w:val="005E3112"/>
    <w:rsid w:val="005E3231"/>
    <w:rsid w:val="005E3451"/>
    <w:rsid w:val="005E35B0"/>
    <w:rsid w:val="005E3620"/>
    <w:rsid w:val="005E385D"/>
    <w:rsid w:val="005E3D37"/>
    <w:rsid w:val="005E3ED4"/>
    <w:rsid w:val="005E3EF5"/>
    <w:rsid w:val="005E41A9"/>
    <w:rsid w:val="005E44D2"/>
    <w:rsid w:val="005E459D"/>
    <w:rsid w:val="005E47AE"/>
    <w:rsid w:val="005E4D55"/>
    <w:rsid w:val="005E4D94"/>
    <w:rsid w:val="005E4EAA"/>
    <w:rsid w:val="005E51FC"/>
    <w:rsid w:val="005E52E6"/>
    <w:rsid w:val="005E5362"/>
    <w:rsid w:val="005E53D1"/>
    <w:rsid w:val="005E54FF"/>
    <w:rsid w:val="005E5519"/>
    <w:rsid w:val="005E5639"/>
    <w:rsid w:val="005E5D0E"/>
    <w:rsid w:val="005E645E"/>
    <w:rsid w:val="005E64B3"/>
    <w:rsid w:val="005E64EA"/>
    <w:rsid w:val="005E65CD"/>
    <w:rsid w:val="005E6720"/>
    <w:rsid w:val="005E6746"/>
    <w:rsid w:val="005E6A6B"/>
    <w:rsid w:val="005E6C3B"/>
    <w:rsid w:val="005E6D51"/>
    <w:rsid w:val="005E6EDA"/>
    <w:rsid w:val="005E70EF"/>
    <w:rsid w:val="005E73A3"/>
    <w:rsid w:val="005E7451"/>
    <w:rsid w:val="005E74AC"/>
    <w:rsid w:val="005E7704"/>
    <w:rsid w:val="005E7713"/>
    <w:rsid w:val="005E77B1"/>
    <w:rsid w:val="005E7BF2"/>
    <w:rsid w:val="005E7CD9"/>
    <w:rsid w:val="005E7D64"/>
    <w:rsid w:val="005E7E68"/>
    <w:rsid w:val="005E7F14"/>
    <w:rsid w:val="005E7F29"/>
    <w:rsid w:val="005F00C8"/>
    <w:rsid w:val="005F028F"/>
    <w:rsid w:val="005F0300"/>
    <w:rsid w:val="005F0584"/>
    <w:rsid w:val="005F07AA"/>
    <w:rsid w:val="005F0966"/>
    <w:rsid w:val="005F0A14"/>
    <w:rsid w:val="005F0A8F"/>
    <w:rsid w:val="005F0ABC"/>
    <w:rsid w:val="005F0B8F"/>
    <w:rsid w:val="005F0CB9"/>
    <w:rsid w:val="005F0EB8"/>
    <w:rsid w:val="005F1146"/>
    <w:rsid w:val="005F133C"/>
    <w:rsid w:val="005F135F"/>
    <w:rsid w:val="005F1440"/>
    <w:rsid w:val="005F1546"/>
    <w:rsid w:val="005F1A9B"/>
    <w:rsid w:val="005F1B2C"/>
    <w:rsid w:val="005F1B35"/>
    <w:rsid w:val="005F1B58"/>
    <w:rsid w:val="005F1CBD"/>
    <w:rsid w:val="005F2017"/>
    <w:rsid w:val="005F20FE"/>
    <w:rsid w:val="005F2343"/>
    <w:rsid w:val="005F2504"/>
    <w:rsid w:val="005F26F3"/>
    <w:rsid w:val="005F27ED"/>
    <w:rsid w:val="005F29B7"/>
    <w:rsid w:val="005F2A6C"/>
    <w:rsid w:val="005F2D5B"/>
    <w:rsid w:val="005F2F51"/>
    <w:rsid w:val="005F342C"/>
    <w:rsid w:val="005F3431"/>
    <w:rsid w:val="005F3551"/>
    <w:rsid w:val="005F3647"/>
    <w:rsid w:val="005F3649"/>
    <w:rsid w:val="005F369F"/>
    <w:rsid w:val="005F3753"/>
    <w:rsid w:val="005F3992"/>
    <w:rsid w:val="005F3A95"/>
    <w:rsid w:val="005F3B93"/>
    <w:rsid w:val="005F42B0"/>
    <w:rsid w:val="005F4348"/>
    <w:rsid w:val="005F4563"/>
    <w:rsid w:val="005F4630"/>
    <w:rsid w:val="005F47AD"/>
    <w:rsid w:val="005F480A"/>
    <w:rsid w:val="005F4AF8"/>
    <w:rsid w:val="005F4C4B"/>
    <w:rsid w:val="005F4DEE"/>
    <w:rsid w:val="005F4F32"/>
    <w:rsid w:val="005F4F3B"/>
    <w:rsid w:val="005F4FCD"/>
    <w:rsid w:val="005F5047"/>
    <w:rsid w:val="005F50C6"/>
    <w:rsid w:val="005F5269"/>
    <w:rsid w:val="005F58FE"/>
    <w:rsid w:val="005F5A01"/>
    <w:rsid w:val="005F5E20"/>
    <w:rsid w:val="005F5E54"/>
    <w:rsid w:val="005F5EC2"/>
    <w:rsid w:val="005F5FD5"/>
    <w:rsid w:val="005F6063"/>
    <w:rsid w:val="005F62B5"/>
    <w:rsid w:val="005F62C3"/>
    <w:rsid w:val="005F6840"/>
    <w:rsid w:val="005F68D7"/>
    <w:rsid w:val="005F6A59"/>
    <w:rsid w:val="005F6B71"/>
    <w:rsid w:val="005F6DCE"/>
    <w:rsid w:val="005F715C"/>
    <w:rsid w:val="005F7161"/>
    <w:rsid w:val="005F7532"/>
    <w:rsid w:val="005F753F"/>
    <w:rsid w:val="005F7631"/>
    <w:rsid w:val="005F7808"/>
    <w:rsid w:val="005F7947"/>
    <w:rsid w:val="005F7DF9"/>
    <w:rsid w:val="00600014"/>
    <w:rsid w:val="00600207"/>
    <w:rsid w:val="0060020E"/>
    <w:rsid w:val="00600648"/>
    <w:rsid w:val="006007F3"/>
    <w:rsid w:val="0060096F"/>
    <w:rsid w:val="00600BF9"/>
    <w:rsid w:val="00600F3D"/>
    <w:rsid w:val="00600FD2"/>
    <w:rsid w:val="00601133"/>
    <w:rsid w:val="006012C8"/>
    <w:rsid w:val="006012FB"/>
    <w:rsid w:val="00601375"/>
    <w:rsid w:val="00601433"/>
    <w:rsid w:val="0060197A"/>
    <w:rsid w:val="006019DF"/>
    <w:rsid w:val="00601AEF"/>
    <w:rsid w:val="00601C4C"/>
    <w:rsid w:val="00601F63"/>
    <w:rsid w:val="00601FE9"/>
    <w:rsid w:val="006020AC"/>
    <w:rsid w:val="0060245B"/>
    <w:rsid w:val="00602756"/>
    <w:rsid w:val="006029FC"/>
    <w:rsid w:val="00602B40"/>
    <w:rsid w:val="00602DAA"/>
    <w:rsid w:val="00602E34"/>
    <w:rsid w:val="00602E99"/>
    <w:rsid w:val="00602F5E"/>
    <w:rsid w:val="00602F9B"/>
    <w:rsid w:val="00603158"/>
    <w:rsid w:val="00603440"/>
    <w:rsid w:val="00603536"/>
    <w:rsid w:val="006035C2"/>
    <w:rsid w:val="006037A1"/>
    <w:rsid w:val="0060397D"/>
    <w:rsid w:val="00603C55"/>
    <w:rsid w:val="00603C6E"/>
    <w:rsid w:val="00603C72"/>
    <w:rsid w:val="00603DA2"/>
    <w:rsid w:val="00604202"/>
    <w:rsid w:val="00604336"/>
    <w:rsid w:val="006043CF"/>
    <w:rsid w:val="00604406"/>
    <w:rsid w:val="0060442A"/>
    <w:rsid w:val="0060454A"/>
    <w:rsid w:val="00604984"/>
    <w:rsid w:val="00604A87"/>
    <w:rsid w:val="00604ACD"/>
    <w:rsid w:val="00604B99"/>
    <w:rsid w:val="00604DF6"/>
    <w:rsid w:val="00604E09"/>
    <w:rsid w:val="00604EB4"/>
    <w:rsid w:val="0060501C"/>
    <w:rsid w:val="00605072"/>
    <w:rsid w:val="00605378"/>
    <w:rsid w:val="00605395"/>
    <w:rsid w:val="006053F7"/>
    <w:rsid w:val="006055B6"/>
    <w:rsid w:val="006059D5"/>
    <w:rsid w:val="00605A72"/>
    <w:rsid w:val="00605A77"/>
    <w:rsid w:val="00605C79"/>
    <w:rsid w:val="00605CA4"/>
    <w:rsid w:val="00605D3F"/>
    <w:rsid w:val="00605D64"/>
    <w:rsid w:val="00605E1A"/>
    <w:rsid w:val="0060604E"/>
    <w:rsid w:val="00606278"/>
    <w:rsid w:val="00606314"/>
    <w:rsid w:val="0060658B"/>
    <w:rsid w:val="0060677E"/>
    <w:rsid w:val="006067C7"/>
    <w:rsid w:val="00606A38"/>
    <w:rsid w:val="00606C8D"/>
    <w:rsid w:val="0060705C"/>
    <w:rsid w:val="00607085"/>
    <w:rsid w:val="006071BE"/>
    <w:rsid w:val="0060727E"/>
    <w:rsid w:val="00607343"/>
    <w:rsid w:val="0060764F"/>
    <w:rsid w:val="00607781"/>
    <w:rsid w:val="00607964"/>
    <w:rsid w:val="00607AEC"/>
    <w:rsid w:val="00607DBC"/>
    <w:rsid w:val="00607FCD"/>
    <w:rsid w:val="00610133"/>
    <w:rsid w:val="00610472"/>
    <w:rsid w:val="00610473"/>
    <w:rsid w:val="00610542"/>
    <w:rsid w:val="006105C4"/>
    <w:rsid w:val="0061065C"/>
    <w:rsid w:val="0061088D"/>
    <w:rsid w:val="006109D9"/>
    <w:rsid w:val="00610AA0"/>
    <w:rsid w:val="00610BC4"/>
    <w:rsid w:val="00610BD4"/>
    <w:rsid w:val="00610C78"/>
    <w:rsid w:val="00610CE0"/>
    <w:rsid w:val="00610DC7"/>
    <w:rsid w:val="00610F2F"/>
    <w:rsid w:val="006113F4"/>
    <w:rsid w:val="00611596"/>
    <w:rsid w:val="006116ED"/>
    <w:rsid w:val="00611929"/>
    <w:rsid w:val="00611AE7"/>
    <w:rsid w:val="00611B6D"/>
    <w:rsid w:val="00611BA7"/>
    <w:rsid w:val="00611CAC"/>
    <w:rsid w:val="0061221E"/>
    <w:rsid w:val="00612229"/>
    <w:rsid w:val="006124EC"/>
    <w:rsid w:val="00612995"/>
    <w:rsid w:val="006129F9"/>
    <w:rsid w:val="00612ACE"/>
    <w:rsid w:val="00612C27"/>
    <w:rsid w:val="00612D71"/>
    <w:rsid w:val="00612E1C"/>
    <w:rsid w:val="00613003"/>
    <w:rsid w:val="00613336"/>
    <w:rsid w:val="00613422"/>
    <w:rsid w:val="00613573"/>
    <w:rsid w:val="00613879"/>
    <w:rsid w:val="00613918"/>
    <w:rsid w:val="0061395B"/>
    <w:rsid w:val="00613B8C"/>
    <w:rsid w:val="00613F05"/>
    <w:rsid w:val="00614077"/>
    <w:rsid w:val="0061407B"/>
    <w:rsid w:val="00614093"/>
    <w:rsid w:val="00614207"/>
    <w:rsid w:val="00614374"/>
    <w:rsid w:val="00614480"/>
    <w:rsid w:val="0061483B"/>
    <w:rsid w:val="00614B36"/>
    <w:rsid w:val="00614B60"/>
    <w:rsid w:val="00614B7B"/>
    <w:rsid w:val="00614D1E"/>
    <w:rsid w:val="00615060"/>
    <w:rsid w:val="0061529A"/>
    <w:rsid w:val="00615341"/>
    <w:rsid w:val="006156EB"/>
    <w:rsid w:val="006157B5"/>
    <w:rsid w:val="00615841"/>
    <w:rsid w:val="00615943"/>
    <w:rsid w:val="00615991"/>
    <w:rsid w:val="00615E8C"/>
    <w:rsid w:val="00615F0A"/>
    <w:rsid w:val="00615F90"/>
    <w:rsid w:val="00616212"/>
    <w:rsid w:val="00616314"/>
    <w:rsid w:val="006164C3"/>
    <w:rsid w:val="00616593"/>
    <w:rsid w:val="00616A61"/>
    <w:rsid w:val="00616B9E"/>
    <w:rsid w:val="00616C3A"/>
    <w:rsid w:val="00616CDF"/>
    <w:rsid w:val="00616D12"/>
    <w:rsid w:val="00616D38"/>
    <w:rsid w:val="00616D40"/>
    <w:rsid w:val="00616DC7"/>
    <w:rsid w:val="00616E84"/>
    <w:rsid w:val="00616EAF"/>
    <w:rsid w:val="00616EC5"/>
    <w:rsid w:val="00616F54"/>
    <w:rsid w:val="00616F97"/>
    <w:rsid w:val="006170CF"/>
    <w:rsid w:val="006171B1"/>
    <w:rsid w:val="006171F5"/>
    <w:rsid w:val="006174F8"/>
    <w:rsid w:val="006176B0"/>
    <w:rsid w:val="006179B4"/>
    <w:rsid w:val="00617ABB"/>
    <w:rsid w:val="00617BCB"/>
    <w:rsid w:val="00617EC8"/>
    <w:rsid w:val="00620261"/>
    <w:rsid w:val="0062069B"/>
    <w:rsid w:val="006206B7"/>
    <w:rsid w:val="0062083C"/>
    <w:rsid w:val="006208A3"/>
    <w:rsid w:val="00620C8A"/>
    <w:rsid w:val="00620CEF"/>
    <w:rsid w:val="00620E35"/>
    <w:rsid w:val="00620F79"/>
    <w:rsid w:val="006211B6"/>
    <w:rsid w:val="0062150E"/>
    <w:rsid w:val="00621929"/>
    <w:rsid w:val="00621A49"/>
    <w:rsid w:val="006220F6"/>
    <w:rsid w:val="0062221F"/>
    <w:rsid w:val="00622227"/>
    <w:rsid w:val="006226B0"/>
    <w:rsid w:val="00622772"/>
    <w:rsid w:val="00622978"/>
    <w:rsid w:val="006229AE"/>
    <w:rsid w:val="00622BA4"/>
    <w:rsid w:val="00622C36"/>
    <w:rsid w:val="00622EF4"/>
    <w:rsid w:val="00622F09"/>
    <w:rsid w:val="00623091"/>
    <w:rsid w:val="006230D9"/>
    <w:rsid w:val="0062363E"/>
    <w:rsid w:val="00623703"/>
    <w:rsid w:val="00623806"/>
    <w:rsid w:val="00623B57"/>
    <w:rsid w:val="00623C52"/>
    <w:rsid w:val="00623D0F"/>
    <w:rsid w:val="00623D15"/>
    <w:rsid w:val="006242E4"/>
    <w:rsid w:val="0062433E"/>
    <w:rsid w:val="006245F7"/>
    <w:rsid w:val="00624665"/>
    <w:rsid w:val="00624708"/>
    <w:rsid w:val="00624D5E"/>
    <w:rsid w:val="0062504C"/>
    <w:rsid w:val="006254C9"/>
    <w:rsid w:val="0062568F"/>
    <w:rsid w:val="00625700"/>
    <w:rsid w:val="00625794"/>
    <w:rsid w:val="0062592A"/>
    <w:rsid w:val="006259F9"/>
    <w:rsid w:val="00625A48"/>
    <w:rsid w:val="00625AC5"/>
    <w:rsid w:val="00625E8A"/>
    <w:rsid w:val="00625F66"/>
    <w:rsid w:val="00626503"/>
    <w:rsid w:val="00626592"/>
    <w:rsid w:val="006267D5"/>
    <w:rsid w:val="006267DA"/>
    <w:rsid w:val="006269FC"/>
    <w:rsid w:val="00626B93"/>
    <w:rsid w:val="00626F32"/>
    <w:rsid w:val="00626FBA"/>
    <w:rsid w:val="0062712C"/>
    <w:rsid w:val="006274AF"/>
    <w:rsid w:val="00627620"/>
    <w:rsid w:val="00627B90"/>
    <w:rsid w:val="00627C02"/>
    <w:rsid w:val="00627F40"/>
    <w:rsid w:val="00630038"/>
    <w:rsid w:val="006301B0"/>
    <w:rsid w:val="006301FC"/>
    <w:rsid w:val="00630391"/>
    <w:rsid w:val="00630A39"/>
    <w:rsid w:val="00630BA5"/>
    <w:rsid w:val="00630CA6"/>
    <w:rsid w:val="006312D8"/>
    <w:rsid w:val="00631621"/>
    <w:rsid w:val="006316AF"/>
    <w:rsid w:val="006316DE"/>
    <w:rsid w:val="00631B5A"/>
    <w:rsid w:val="00631BBA"/>
    <w:rsid w:val="00631C82"/>
    <w:rsid w:val="00631E53"/>
    <w:rsid w:val="006323C7"/>
    <w:rsid w:val="0063243D"/>
    <w:rsid w:val="0063274B"/>
    <w:rsid w:val="006328B7"/>
    <w:rsid w:val="00632A7A"/>
    <w:rsid w:val="00632C66"/>
    <w:rsid w:val="00632DA3"/>
    <w:rsid w:val="00632DE9"/>
    <w:rsid w:val="006330CF"/>
    <w:rsid w:val="0063337B"/>
    <w:rsid w:val="006334E8"/>
    <w:rsid w:val="0063353C"/>
    <w:rsid w:val="0063354D"/>
    <w:rsid w:val="006336E1"/>
    <w:rsid w:val="00633709"/>
    <w:rsid w:val="00633AA7"/>
    <w:rsid w:val="00633C69"/>
    <w:rsid w:val="00633C8D"/>
    <w:rsid w:val="00633E39"/>
    <w:rsid w:val="00633EC4"/>
    <w:rsid w:val="0063411B"/>
    <w:rsid w:val="00634276"/>
    <w:rsid w:val="00634518"/>
    <w:rsid w:val="006345F8"/>
    <w:rsid w:val="00634703"/>
    <w:rsid w:val="006348CF"/>
    <w:rsid w:val="00634B8F"/>
    <w:rsid w:val="00634E77"/>
    <w:rsid w:val="00634EBB"/>
    <w:rsid w:val="00634ECF"/>
    <w:rsid w:val="00634FC0"/>
    <w:rsid w:val="00634FCA"/>
    <w:rsid w:val="00635075"/>
    <w:rsid w:val="0063514D"/>
    <w:rsid w:val="00635382"/>
    <w:rsid w:val="006356E7"/>
    <w:rsid w:val="006357E2"/>
    <w:rsid w:val="00635801"/>
    <w:rsid w:val="00636121"/>
    <w:rsid w:val="006363D3"/>
    <w:rsid w:val="00636509"/>
    <w:rsid w:val="006367E9"/>
    <w:rsid w:val="006369B6"/>
    <w:rsid w:val="00636C6C"/>
    <w:rsid w:val="00636D3C"/>
    <w:rsid w:val="00636DFF"/>
    <w:rsid w:val="006370CC"/>
    <w:rsid w:val="00637576"/>
    <w:rsid w:val="00637812"/>
    <w:rsid w:val="00637DFC"/>
    <w:rsid w:val="00640295"/>
    <w:rsid w:val="00640355"/>
    <w:rsid w:val="0064037F"/>
    <w:rsid w:val="00640688"/>
    <w:rsid w:val="00640750"/>
    <w:rsid w:val="006408E4"/>
    <w:rsid w:val="006409C8"/>
    <w:rsid w:val="00640A55"/>
    <w:rsid w:val="00640A70"/>
    <w:rsid w:val="00640C0A"/>
    <w:rsid w:val="00640C8C"/>
    <w:rsid w:val="00640D32"/>
    <w:rsid w:val="00641042"/>
    <w:rsid w:val="006410E8"/>
    <w:rsid w:val="006412E0"/>
    <w:rsid w:val="006414F9"/>
    <w:rsid w:val="00641546"/>
    <w:rsid w:val="0064163D"/>
    <w:rsid w:val="006416B4"/>
    <w:rsid w:val="00641A30"/>
    <w:rsid w:val="00641A8C"/>
    <w:rsid w:val="00641B48"/>
    <w:rsid w:val="00641F5B"/>
    <w:rsid w:val="00642087"/>
    <w:rsid w:val="00642656"/>
    <w:rsid w:val="006426A3"/>
    <w:rsid w:val="006427C5"/>
    <w:rsid w:val="00642843"/>
    <w:rsid w:val="006428E4"/>
    <w:rsid w:val="00642ADD"/>
    <w:rsid w:val="00642C75"/>
    <w:rsid w:val="00642E31"/>
    <w:rsid w:val="00642FF2"/>
    <w:rsid w:val="00643068"/>
    <w:rsid w:val="006432FD"/>
    <w:rsid w:val="006433B8"/>
    <w:rsid w:val="0064340C"/>
    <w:rsid w:val="0064340D"/>
    <w:rsid w:val="0064360E"/>
    <w:rsid w:val="0064361F"/>
    <w:rsid w:val="00643643"/>
    <w:rsid w:val="006436DD"/>
    <w:rsid w:val="0064382B"/>
    <w:rsid w:val="00643897"/>
    <w:rsid w:val="006438AC"/>
    <w:rsid w:val="00643911"/>
    <w:rsid w:val="006439AE"/>
    <w:rsid w:val="00643CB0"/>
    <w:rsid w:val="00643CBB"/>
    <w:rsid w:val="00643D01"/>
    <w:rsid w:val="00643FA1"/>
    <w:rsid w:val="00644402"/>
    <w:rsid w:val="006444DC"/>
    <w:rsid w:val="006445E1"/>
    <w:rsid w:val="00644637"/>
    <w:rsid w:val="00644744"/>
    <w:rsid w:val="00644B3E"/>
    <w:rsid w:val="00645155"/>
    <w:rsid w:val="006452DD"/>
    <w:rsid w:val="006453BD"/>
    <w:rsid w:val="006453CA"/>
    <w:rsid w:val="00645407"/>
    <w:rsid w:val="00645527"/>
    <w:rsid w:val="006455A5"/>
    <w:rsid w:val="00645626"/>
    <w:rsid w:val="006457D6"/>
    <w:rsid w:val="00645984"/>
    <w:rsid w:val="00645A44"/>
    <w:rsid w:val="00645A8B"/>
    <w:rsid w:val="00645A93"/>
    <w:rsid w:val="00645B65"/>
    <w:rsid w:val="0064609A"/>
    <w:rsid w:val="00646288"/>
    <w:rsid w:val="006465A9"/>
    <w:rsid w:val="00646628"/>
    <w:rsid w:val="00646788"/>
    <w:rsid w:val="00646B52"/>
    <w:rsid w:val="00646B75"/>
    <w:rsid w:val="00646DDB"/>
    <w:rsid w:val="00646E25"/>
    <w:rsid w:val="00646F0F"/>
    <w:rsid w:val="006471FB"/>
    <w:rsid w:val="006472E9"/>
    <w:rsid w:val="0064730A"/>
    <w:rsid w:val="00647319"/>
    <w:rsid w:val="006473CB"/>
    <w:rsid w:val="0064756D"/>
    <w:rsid w:val="00647751"/>
    <w:rsid w:val="006479C5"/>
    <w:rsid w:val="00647A83"/>
    <w:rsid w:val="00647B3C"/>
    <w:rsid w:val="00647C07"/>
    <w:rsid w:val="00647CC1"/>
    <w:rsid w:val="00647CD4"/>
    <w:rsid w:val="00647F3D"/>
    <w:rsid w:val="00647F77"/>
    <w:rsid w:val="00647FEE"/>
    <w:rsid w:val="006501B9"/>
    <w:rsid w:val="0065036F"/>
    <w:rsid w:val="0065058D"/>
    <w:rsid w:val="006505C5"/>
    <w:rsid w:val="006506E4"/>
    <w:rsid w:val="00650883"/>
    <w:rsid w:val="00650AE0"/>
    <w:rsid w:val="00650BB1"/>
    <w:rsid w:val="00650EC4"/>
    <w:rsid w:val="00650F39"/>
    <w:rsid w:val="0065119D"/>
    <w:rsid w:val="0065127D"/>
    <w:rsid w:val="006515A6"/>
    <w:rsid w:val="006515F9"/>
    <w:rsid w:val="00651642"/>
    <w:rsid w:val="0065179C"/>
    <w:rsid w:val="00651848"/>
    <w:rsid w:val="0065184A"/>
    <w:rsid w:val="0065196A"/>
    <w:rsid w:val="00651BF3"/>
    <w:rsid w:val="00651BFB"/>
    <w:rsid w:val="00651D2B"/>
    <w:rsid w:val="00651D56"/>
    <w:rsid w:val="00651DE9"/>
    <w:rsid w:val="006522E6"/>
    <w:rsid w:val="00652968"/>
    <w:rsid w:val="00652AEB"/>
    <w:rsid w:val="00652B5C"/>
    <w:rsid w:val="00652B80"/>
    <w:rsid w:val="00652D0F"/>
    <w:rsid w:val="00652D66"/>
    <w:rsid w:val="00652EA2"/>
    <w:rsid w:val="0065303D"/>
    <w:rsid w:val="006530A2"/>
    <w:rsid w:val="006530CE"/>
    <w:rsid w:val="006535FE"/>
    <w:rsid w:val="00653929"/>
    <w:rsid w:val="00653A65"/>
    <w:rsid w:val="00653B28"/>
    <w:rsid w:val="00653EF2"/>
    <w:rsid w:val="00654325"/>
    <w:rsid w:val="0065444E"/>
    <w:rsid w:val="006544F5"/>
    <w:rsid w:val="00654783"/>
    <w:rsid w:val="0065499B"/>
    <w:rsid w:val="00654B93"/>
    <w:rsid w:val="00654CFF"/>
    <w:rsid w:val="00654DF1"/>
    <w:rsid w:val="00654E11"/>
    <w:rsid w:val="00654F04"/>
    <w:rsid w:val="00654F30"/>
    <w:rsid w:val="0065535D"/>
    <w:rsid w:val="006554C7"/>
    <w:rsid w:val="006555B6"/>
    <w:rsid w:val="006556FC"/>
    <w:rsid w:val="00655840"/>
    <w:rsid w:val="006558E9"/>
    <w:rsid w:val="006559C1"/>
    <w:rsid w:val="006560A2"/>
    <w:rsid w:val="00656261"/>
    <w:rsid w:val="006562A0"/>
    <w:rsid w:val="0065638B"/>
    <w:rsid w:val="00656593"/>
    <w:rsid w:val="006565C2"/>
    <w:rsid w:val="006569E3"/>
    <w:rsid w:val="00656A6E"/>
    <w:rsid w:val="00656AC8"/>
    <w:rsid w:val="00656BAB"/>
    <w:rsid w:val="00656CF2"/>
    <w:rsid w:val="00656D89"/>
    <w:rsid w:val="00656F74"/>
    <w:rsid w:val="00656FF6"/>
    <w:rsid w:val="00657079"/>
    <w:rsid w:val="006577D0"/>
    <w:rsid w:val="0065793B"/>
    <w:rsid w:val="006579BE"/>
    <w:rsid w:val="00657B6F"/>
    <w:rsid w:val="00657E5A"/>
    <w:rsid w:val="006605C7"/>
    <w:rsid w:val="00660776"/>
    <w:rsid w:val="0066089E"/>
    <w:rsid w:val="00660D85"/>
    <w:rsid w:val="006610F0"/>
    <w:rsid w:val="0066132E"/>
    <w:rsid w:val="006613EA"/>
    <w:rsid w:val="006614F1"/>
    <w:rsid w:val="00661726"/>
    <w:rsid w:val="00661A4D"/>
    <w:rsid w:val="00661C90"/>
    <w:rsid w:val="00661CAA"/>
    <w:rsid w:val="00661EE6"/>
    <w:rsid w:val="00662022"/>
    <w:rsid w:val="00662027"/>
    <w:rsid w:val="006622CD"/>
    <w:rsid w:val="006623C7"/>
    <w:rsid w:val="006626F7"/>
    <w:rsid w:val="00662A5C"/>
    <w:rsid w:val="0066327A"/>
    <w:rsid w:val="0066356F"/>
    <w:rsid w:val="00663601"/>
    <w:rsid w:val="0066378A"/>
    <w:rsid w:val="0066381E"/>
    <w:rsid w:val="006638DA"/>
    <w:rsid w:val="006639A9"/>
    <w:rsid w:val="00663E78"/>
    <w:rsid w:val="00663F62"/>
    <w:rsid w:val="00664238"/>
    <w:rsid w:val="00664384"/>
    <w:rsid w:val="006645F6"/>
    <w:rsid w:val="006647A3"/>
    <w:rsid w:val="006649B4"/>
    <w:rsid w:val="00664D7E"/>
    <w:rsid w:val="00664E40"/>
    <w:rsid w:val="00664EC1"/>
    <w:rsid w:val="00664EC2"/>
    <w:rsid w:val="00665075"/>
    <w:rsid w:val="0066537C"/>
    <w:rsid w:val="0066566B"/>
    <w:rsid w:val="0066571F"/>
    <w:rsid w:val="00665894"/>
    <w:rsid w:val="00665AF2"/>
    <w:rsid w:val="0066603B"/>
    <w:rsid w:val="00666194"/>
    <w:rsid w:val="0066622A"/>
    <w:rsid w:val="0066645C"/>
    <w:rsid w:val="00666847"/>
    <w:rsid w:val="006668B3"/>
    <w:rsid w:val="0066694F"/>
    <w:rsid w:val="00666AD9"/>
    <w:rsid w:val="00666B65"/>
    <w:rsid w:val="00666DE0"/>
    <w:rsid w:val="0066711C"/>
    <w:rsid w:val="006672A8"/>
    <w:rsid w:val="0066778D"/>
    <w:rsid w:val="006677F0"/>
    <w:rsid w:val="006678D6"/>
    <w:rsid w:val="006678E6"/>
    <w:rsid w:val="00667A4D"/>
    <w:rsid w:val="00667E9D"/>
    <w:rsid w:val="00667F6D"/>
    <w:rsid w:val="006700A6"/>
    <w:rsid w:val="006701F9"/>
    <w:rsid w:val="006703DE"/>
    <w:rsid w:val="0067054A"/>
    <w:rsid w:val="0067054C"/>
    <w:rsid w:val="00670591"/>
    <w:rsid w:val="00670A91"/>
    <w:rsid w:val="00670C05"/>
    <w:rsid w:val="00670CA6"/>
    <w:rsid w:val="00670E85"/>
    <w:rsid w:val="00670FED"/>
    <w:rsid w:val="00670FF0"/>
    <w:rsid w:val="0067110B"/>
    <w:rsid w:val="006711F3"/>
    <w:rsid w:val="00671436"/>
    <w:rsid w:val="00671443"/>
    <w:rsid w:val="0067153B"/>
    <w:rsid w:val="0067163F"/>
    <w:rsid w:val="00671770"/>
    <w:rsid w:val="00671796"/>
    <w:rsid w:val="0067188E"/>
    <w:rsid w:val="00671943"/>
    <w:rsid w:val="006719D1"/>
    <w:rsid w:val="00671A6D"/>
    <w:rsid w:val="00671C32"/>
    <w:rsid w:val="00671F67"/>
    <w:rsid w:val="00672175"/>
    <w:rsid w:val="006722CB"/>
    <w:rsid w:val="006722EB"/>
    <w:rsid w:val="006724C9"/>
    <w:rsid w:val="00672B14"/>
    <w:rsid w:val="00672B6A"/>
    <w:rsid w:val="00672CA8"/>
    <w:rsid w:val="00672D8F"/>
    <w:rsid w:val="00672E84"/>
    <w:rsid w:val="00672FCB"/>
    <w:rsid w:val="00673021"/>
    <w:rsid w:val="00673330"/>
    <w:rsid w:val="00673385"/>
    <w:rsid w:val="006733CF"/>
    <w:rsid w:val="006735AD"/>
    <w:rsid w:val="006736C4"/>
    <w:rsid w:val="00673751"/>
    <w:rsid w:val="00673BE7"/>
    <w:rsid w:val="00673DDB"/>
    <w:rsid w:val="0067421A"/>
    <w:rsid w:val="00674337"/>
    <w:rsid w:val="006743BA"/>
    <w:rsid w:val="00674542"/>
    <w:rsid w:val="0067469F"/>
    <w:rsid w:val="00674B39"/>
    <w:rsid w:val="00674CE9"/>
    <w:rsid w:val="0067516C"/>
    <w:rsid w:val="00675545"/>
    <w:rsid w:val="00675552"/>
    <w:rsid w:val="00675589"/>
    <w:rsid w:val="006756BF"/>
    <w:rsid w:val="006756C5"/>
    <w:rsid w:val="00675A1F"/>
    <w:rsid w:val="00675C4B"/>
    <w:rsid w:val="00675D07"/>
    <w:rsid w:val="00676349"/>
    <w:rsid w:val="0067638D"/>
    <w:rsid w:val="0067650A"/>
    <w:rsid w:val="0067652A"/>
    <w:rsid w:val="0067652B"/>
    <w:rsid w:val="0067683E"/>
    <w:rsid w:val="006768EA"/>
    <w:rsid w:val="00676917"/>
    <w:rsid w:val="006769E8"/>
    <w:rsid w:val="00676DE1"/>
    <w:rsid w:val="0067705A"/>
    <w:rsid w:val="006770FD"/>
    <w:rsid w:val="00677481"/>
    <w:rsid w:val="00677645"/>
    <w:rsid w:val="00677734"/>
    <w:rsid w:val="00677767"/>
    <w:rsid w:val="00677AF5"/>
    <w:rsid w:val="00677E44"/>
    <w:rsid w:val="00677F5E"/>
    <w:rsid w:val="00677F9B"/>
    <w:rsid w:val="00677FA4"/>
    <w:rsid w:val="00677FA8"/>
    <w:rsid w:val="0068034B"/>
    <w:rsid w:val="00680597"/>
    <w:rsid w:val="0068067F"/>
    <w:rsid w:val="00680777"/>
    <w:rsid w:val="006807E7"/>
    <w:rsid w:val="006808F8"/>
    <w:rsid w:val="00680E5C"/>
    <w:rsid w:val="00680F64"/>
    <w:rsid w:val="00681075"/>
    <w:rsid w:val="006810C0"/>
    <w:rsid w:val="006814D7"/>
    <w:rsid w:val="00681690"/>
    <w:rsid w:val="0068184B"/>
    <w:rsid w:val="00681965"/>
    <w:rsid w:val="00681BED"/>
    <w:rsid w:val="00681CAD"/>
    <w:rsid w:val="00681D70"/>
    <w:rsid w:val="00681EBA"/>
    <w:rsid w:val="00681F7A"/>
    <w:rsid w:val="0068204B"/>
    <w:rsid w:val="006820AA"/>
    <w:rsid w:val="0068249D"/>
    <w:rsid w:val="0068257C"/>
    <w:rsid w:val="006827C5"/>
    <w:rsid w:val="0068290C"/>
    <w:rsid w:val="00682D8F"/>
    <w:rsid w:val="00682E1B"/>
    <w:rsid w:val="00682FDD"/>
    <w:rsid w:val="006831AD"/>
    <w:rsid w:val="00683459"/>
    <w:rsid w:val="00683506"/>
    <w:rsid w:val="00683639"/>
    <w:rsid w:val="006836D5"/>
    <w:rsid w:val="00683784"/>
    <w:rsid w:val="006837A4"/>
    <w:rsid w:val="006837A5"/>
    <w:rsid w:val="006837C8"/>
    <w:rsid w:val="00683981"/>
    <w:rsid w:val="00683B59"/>
    <w:rsid w:val="00683F6A"/>
    <w:rsid w:val="00684305"/>
    <w:rsid w:val="006847ED"/>
    <w:rsid w:val="00684809"/>
    <w:rsid w:val="0068490C"/>
    <w:rsid w:val="0068495C"/>
    <w:rsid w:val="00684E84"/>
    <w:rsid w:val="006851A7"/>
    <w:rsid w:val="006852DD"/>
    <w:rsid w:val="006852E8"/>
    <w:rsid w:val="00685AF9"/>
    <w:rsid w:val="00685BDD"/>
    <w:rsid w:val="00685C6B"/>
    <w:rsid w:val="00685CD6"/>
    <w:rsid w:val="00685D7E"/>
    <w:rsid w:val="006860CC"/>
    <w:rsid w:val="0068614D"/>
    <w:rsid w:val="006865BA"/>
    <w:rsid w:val="006865F2"/>
    <w:rsid w:val="006866E2"/>
    <w:rsid w:val="0068687A"/>
    <w:rsid w:val="00686957"/>
    <w:rsid w:val="006869B0"/>
    <w:rsid w:val="00686E05"/>
    <w:rsid w:val="00686F8A"/>
    <w:rsid w:val="00687191"/>
    <w:rsid w:val="006872BD"/>
    <w:rsid w:val="00687489"/>
    <w:rsid w:val="0068751F"/>
    <w:rsid w:val="00687572"/>
    <w:rsid w:val="006875E6"/>
    <w:rsid w:val="00687962"/>
    <w:rsid w:val="006879E1"/>
    <w:rsid w:val="00687A49"/>
    <w:rsid w:val="00687A5A"/>
    <w:rsid w:val="00687C2D"/>
    <w:rsid w:val="00687DEE"/>
    <w:rsid w:val="0069004F"/>
    <w:rsid w:val="00690138"/>
    <w:rsid w:val="00690579"/>
    <w:rsid w:val="006907D8"/>
    <w:rsid w:val="0069088F"/>
    <w:rsid w:val="00690B95"/>
    <w:rsid w:val="00690BBC"/>
    <w:rsid w:val="00690D37"/>
    <w:rsid w:val="00690F88"/>
    <w:rsid w:val="006910CB"/>
    <w:rsid w:val="0069120A"/>
    <w:rsid w:val="00691549"/>
    <w:rsid w:val="00691E8A"/>
    <w:rsid w:val="00691F09"/>
    <w:rsid w:val="00692016"/>
    <w:rsid w:val="006921D0"/>
    <w:rsid w:val="0069223E"/>
    <w:rsid w:val="00692641"/>
    <w:rsid w:val="00692658"/>
    <w:rsid w:val="006926B3"/>
    <w:rsid w:val="00692879"/>
    <w:rsid w:val="00692B14"/>
    <w:rsid w:val="00692BBB"/>
    <w:rsid w:val="00692F30"/>
    <w:rsid w:val="00693090"/>
    <w:rsid w:val="006935A6"/>
    <w:rsid w:val="006935A9"/>
    <w:rsid w:val="006936E9"/>
    <w:rsid w:val="006937CC"/>
    <w:rsid w:val="0069384A"/>
    <w:rsid w:val="0069390D"/>
    <w:rsid w:val="006939D0"/>
    <w:rsid w:val="00693C00"/>
    <w:rsid w:val="00693C16"/>
    <w:rsid w:val="00693C24"/>
    <w:rsid w:val="00693C4B"/>
    <w:rsid w:val="00693CC0"/>
    <w:rsid w:val="0069422C"/>
    <w:rsid w:val="00694A85"/>
    <w:rsid w:val="00694B8F"/>
    <w:rsid w:val="00694E83"/>
    <w:rsid w:val="006953A0"/>
    <w:rsid w:val="0069551A"/>
    <w:rsid w:val="00695914"/>
    <w:rsid w:val="00695C4E"/>
    <w:rsid w:val="00695CEA"/>
    <w:rsid w:val="00695F13"/>
    <w:rsid w:val="0069617F"/>
    <w:rsid w:val="006961BF"/>
    <w:rsid w:val="006961F8"/>
    <w:rsid w:val="00696533"/>
    <w:rsid w:val="0069676D"/>
    <w:rsid w:val="00696850"/>
    <w:rsid w:val="0069696C"/>
    <w:rsid w:val="0069699D"/>
    <w:rsid w:val="00696A31"/>
    <w:rsid w:val="00696A34"/>
    <w:rsid w:val="00696B19"/>
    <w:rsid w:val="00696CEC"/>
    <w:rsid w:val="00696D72"/>
    <w:rsid w:val="00696EC7"/>
    <w:rsid w:val="00697003"/>
    <w:rsid w:val="0069701D"/>
    <w:rsid w:val="006970E7"/>
    <w:rsid w:val="006972E6"/>
    <w:rsid w:val="0069757C"/>
    <w:rsid w:val="006975F2"/>
    <w:rsid w:val="00697717"/>
    <w:rsid w:val="0069782A"/>
    <w:rsid w:val="006978B7"/>
    <w:rsid w:val="00697967"/>
    <w:rsid w:val="00697A4C"/>
    <w:rsid w:val="00697BDC"/>
    <w:rsid w:val="006A006C"/>
    <w:rsid w:val="006A0090"/>
    <w:rsid w:val="006A061F"/>
    <w:rsid w:val="006A0966"/>
    <w:rsid w:val="006A0ADB"/>
    <w:rsid w:val="006A0C20"/>
    <w:rsid w:val="006A0C28"/>
    <w:rsid w:val="006A0EB1"/>
    <w:rsid w:val="006A0F59"/>
    <w:rsid w:val="006A10AE"/>
    <w:rsid w:val="006A1397"/>
    <w:rsid w:val="006A1537"/>
    <w:rsid w:val="006A164D"/>
    <w:rsid w:val="006A1CD5"/>
    <w:rsid w:val="006A1CEB"/>
    <w:rsid w:val="006A1E8D"/>
    <w:rsid w:val="006A1E9F"/>
    <w:rsid w:val="006A21EB"/>
    <w:rsid w:val="006A241C"/>
    <w:rsid w:val="006A2483"/>
    <w:rsid w:val="006A24D6"/>
    <w:rsid w:val="006A2A3D"/>
    <w:rsid w:val="006A2E74"/>
    <w:rsid w:val="006A303C"/>
    <w:rsid w:val="006A3204"/>
    <w:rsid w:val="006A34CB"/>
    <w:rsid w:val="006A3505"/>
    <w:rsid w:val="006A35A0"/>
    <w:rsid w:val="006A3AD8"/>
    <w:rsid w:val="006A3D06"/>
    <w:rsid w:val="006A3DDE"/>
    <w:rsid w:val="006A3ED9"/>
    <w:rsid w:val="006A401A"/>
    <w:rsid w:val="006A411C"/>
    <w:rsid w:val="006A46AC"/>
    <w:rsid w:val="006A478A"/>
    <w:rsid w:val="006A4A2A"/>
    <w:rsid w:val="006A4C4A"/>
    <w:rsid w:val="006A4CFB"/>
    <w:rsid w:val="006A4EF8"/>
    <w:rsid w:val="006A50A9"/>
    <w:rsid w:val="006A53AF"/>
    <w:rsid w:val="006A5456"/>
    <w:rsid w:val="006A54BF"/>
    <w:rsid w:val="006A5637"/>
    <w:rsid w:val="006A563E"/>
    <w:rsid w:val="006A5A19"/>
    <w:rsid w:val="006A5B77"/>
    <w:rsid w:val="006A5C18"/>
    <w:rsid w:val="006A5CBE"/>
    <w:rsid w:val="006A5D6E"/>
    <w:rsid w:val="006A5D7D"/>
    <w:rsid w:val="006A6010"/>
    <w:rsid w:val="006A61C7"/>
    <w:rsid w:val="006A66E3"/>
    <w:rsid w:val="006A67D7"/>
    <w:rsid w:val="006A6893"/>
    <w:rsid w:val="006A68E9"/>
    <w:rsid w:val="006A6A74"/>
    <w:rsid w:val="006A6B36"/>
    <w:rsid w:val="006A6C6D"/>
    <w:rsid w:val="006A6E88"/>
    <w:rsid w:val="006A6FCF"/>
    <w:rsid w:val="006A7048"/>
    <w:rsid w:val="006A7174"/>
    <w:rsid w:val="006A71D0"/>
    <w:rsid w:val="006A7517"/>
    <w:rsid w:val="006A76A5"/>
    <w:rsid w:val="006A79E1"/>
    <w:rsid w:val="006A7C7E"/>
    <w:rsid w:val="006A7E66"/>
    <w:rsid w:val="006A7E97"/>
    <w:rsid w:val="006A7F12"/>
    <w:rsid w:val="006B0098"/>
    <w:rsid w:val="006B02FD"/>
    <w:rsid w:val="006B0539"/>
    <w:rsid w:val="006B0923"/>
    <w:rsid w:val="006B09FE"/>
    <w:rsid w:val="006B0AF7"/>
    <w:rsid w:val="006B0BE0"/>
    <w:rsid w:val="006B0D76"/>
    <w:rsid w:val="006B0E1C"/>
    <w:rsid w:val="006B0FEB"/>
    <w:rsid w:val="006B1092"/>
    <w:rsid w:val="006B1324"/>
    <w:rsid w:val="006B1435"/>
    <w:rsid w:val="006B1483"/>
    <w:rsid w:val="006B14A3"/>
    <w:rsid w:val="006B187D"/>
    <w:rsid w:val="006B1A9D"/>
    <w:rsid w:val="006B1B58"/>
    <w:rsid w:val="006B1CB9"/>
    <w:rsid w:val="006B1D70"/>
    <w:rsid w:val="006B1E72"/>
    <w:rsid w:val="006B201C"/>
    <w:rsid w:val="006B2040"/>
    <w:rsid w:val="006B2139"/>
    <w:rsid w:val="006B2625"/>
    <w:rsid w:val="006B2838"/>
    <w:rsid w:val="006B294E"/>
    <w:rsid w:val="006B2A66"/>
    <w:rsid w:val="006B2E9C"/>
    <w:rsid w:val="006B2F0F"/>
    <w:rsid w:val="006B2F9B"/>
    <w:rsid w:val="006B2FBB"/>
    <w:rsid w:val="006B2FD6"/>
    <w:rsid w:val="006B3085"/>
    <w:rsid w:val="006B3108"/>
    <w:rsid w:val="006B3182"/>
    <w:rsid w:val="006B3197"/>
    <w:rsid w:val="006B31DF"/>
    <w:rsid w:val="006B31E0"/>
    <w:rsid w:val="006B32DC"/>
    <w:rsid w:val="006B3405"/>
    <w:rsid w:val="006B36CD"/>
    <w:rsid w:val="006B36FE"/>
    <w:rsid w:val="006B381F"/>
    <w:rsid w:val="006B38E8"/>
    <w:rsid w:val="006B3B9C"/>
    <w:rsid w:val="006B3D17"/>
    <w:rsid w:val="006B3E99"/>
    <w:rsid w:val="006B4143"/>
    <w:rsid w:val="006B4383"/>
    <w:rsid w:val="006B4476"/>
    <w:rsid w:val="006B455F"/>
    <w:rsid w:val="006B48EA"/>
    <w:rsid w:val="006B4979"/>
    <w:rsid w:val="006B4A3A"/>
    <w:rsid w:val="006B4CD6"/>
    <w:rsid w:val="006B4FC9"/>
    <w:rsid w:val="006B510F"/>
    <w:rsid w:val="006B51A3"/>
    <w:rsid w:val="006B51E2"/>
    <w:rsid w:val="006B5410"/>
    <w:rsid w:val="006B5B13"/>
    <w:rsid w:val="006B5BB5"/>
    <w:rsid w:val="006B5D45"/>
    <w:rsid w:val="006B5E20"/>
    <w:rsid w:val="006B5E82"/>
    <w:rsid w:val="006B60F7"/>
    <w:rsid w:val="006B61AC"/>
    <w:rsid w:val="006B626D"/>
    <w:rsid w:val="006B62DA"/>
    <w:rsid w:val="006B66CC"/>
    <w:rsid w:val="006B6727"/>
    <w:rsid w:val="006B681B"/>
    <w:rsid w:val="006B689F"/>
    <w:rsid w:val="006B6A8F"/>
    <w:rsid w:val="006B6C51"/>
    <w:rsid w:val="006B6C8E"/>
    <w:rsid w:val="006B6D91"/>
    <w:rsid w:val="006B712D"/>
    <w:rsid w:val="006B716E"/>
    <w:rsid w:val="006B749C"/>
    <w:rsid w:val="006B74D2"/>
    <w:rsid w:val="006B75AF"/>
    <w:rsid w:val="006B7625"/>
    <w:rsid w:val="006B773E"/>
    <w:rsid w:val="006B780E"/>
    <w:rsid w:val="006B7885"/>
    <w:rsid w:val="006B7953"/>
    <w:rsid w:val="006B7BD1"/>
    <w:rsid w:val="006B7C94"/>
    <w:rsid w:val="006C011C"/>
    <w:rsid w:val="006C0181"/>
    <w:rsid w:val="006C024C"/>
    <w:rsid w:val="006C02B7"/>
    <w:rsid w:val="006C03C9"/>
    <w:rsid w:val="006C0526"/>
    <w:rsid w:val="006C05B9"/>
    <w:rsid w:val="006C05D3"/>
    <w:rsid w:val="006C071F"/>
    <w:rsid w:val="006C08D4"/>
    <w:rsid w:val="006C090E"/>
    <w:rsid w:val="006C0AB9"/>
    <w:rsid w:val="006C0CE4"/>
    <w:rsid w:val="006C0DC7"/>
    <w:rsid w:val="006C0EAA"/>
    <w:rsid w:val="006C0FB7"/>
    <w:rsid w:val="006C101A"/>
    <w:rsid w:val="006C123B"/>
    <w:rsid w:val="006C1285"/>
    <w:rsid w:val="006C14C8"/>
    <w:rsid w:val="006C1535"/>
    <w:rsid w:val="006C18E1"/>
    <w:rsid w:val="006C191E"/>
    <w:rsid w:val="006C1B2B"/>
    <w:rsid w:val="006C1EF9"/>
    <w:rsid w:val="006C1F81"/>
    <w:rsid w:val="006C254C"/>
    <w:rsid w:val="006C260A"/>
    <w:rsid w:val="006C2686"/>
    <w:rsid w:val="006C27CD"/>
    <w:rsid w:val="006C296C"/>
    <w:rsid w:val="006C2AEE"/>
    <w:rsid w:val="006C312C"/>
    <w:rsid w:val="006C3143"/>
    <w:rsid w:val="006C32BA"/>
    <w:rsid w:val="006C33F8"/>
    <w:rsid w:val="006C3473"/>
    <w:rsid w:val="006C3476"/>
    <w:rsid w:val="006C362E"/>
    <w:rsid w:val="006C38E0"/>
    <w:rsid w:val="006C3991"/>
    <w:rsid w:val="006C3A7A"/>
    <w:rsid w:val="006C3DE7"/>
    <w:rsid w:val="006C3E99"/>
    <w:rsid w:val="006C3F97"/>
    <w:rsid w:val="006C3FC0"/>
    <w:rsid w:val="006C403F"/>
    <w:rsid w:val="006C4168"/>
    <w:rsid w:val="006C4751"/>
    <w:rsid w:val="006C481E"/>
    <w:rsid w:val="006C4820"/>
    <w:rsid w:val="006C4CDB"/>
    <w:rsid w:val="006C5013"/>
    <w:rsid w:val="006C5091"/>
    <w:rsid w:val="006C5252"/>
    <w:rsid w:val="006C527E"/>
    <w:rsid w:val="006C5403"/>
    <w:rsid w:val="006C541C"/>
    <w:rsid w:val="006C544E"/>
    <w:rsid w:val="006C550B"/>
    <w:rsid w:val="006C5577"/>
    <w:rsid w:val="006C5831"/>
    <w:rsid w:val="006C59D1"/>
    <w:rsid w:val="006C5A8E"/>
    <w:rsid w:val="006C5E01"/>
    <w:rsid w:val="006C5F6A"/>
    <w:rsid w:val="006C6194"/>
    <w:rsid w:val="006C628E"/>
    <w:rsid w:val="006C62E5"/>
    <w:rsid w:val="006C6460"/>
    <w:rsid w:val="006C6581"/>
    <w:rsid w:val="006C6849"/>
    <w:rsid w:val="006C68D6"/>
    <w:rsid w:val="006C6983"/>
    <w:rsid w:val="006C6A07"/>
    <w:rsid w:val="006C6A95"/>
    <w:rsid w:val="006C6B94"/>
    <w:rsid w:val="006C70DE"/>
    <w:rsid w:val="006C717E"/>
    <w:rsid w:val="006C7634"/>
    <w:rsid w:val="006C766A"/>
    <w:rsid w:val="006C7824"/>
    <w:rsid w:val="006C791B"/>
    <w:rsid w:val="006C7D9E"/>
    <w:rsid w:val="006C7F49"/>
    <w:rsid w:val="006C7FAF"/>
    <w:rsid w:val="006D0044"/>
    <w:rsid w:val="006D0165"/>
    <w:rsid w:val="006D0170"/>
    <w:rsid w:val="006D0360"/>
    <w:rsid w:val="006D05AF"/>
    <w:rsid w:val="006D05F8"/>
    <w:rsid w:val="006D076C"/>
    <w:rsid w:val="006D07FD"/>
    <w:rsid w:val="006D097C"/>
    <w:rsid w:val="006D0B77"/>
    <w:rsid w:val="006D0BFA"/>
    <w:rsid w:val="006D0D3B"/>
    <w:rsid w:val="006D11A5"/>
    <w:rsid w:val="006D120F"/>
    <w:rsid w:val="006D1AB6"/>
    <w:rsid w:val="006D1B5A"/>
    <w:rsid w:val="006D1C52"/>
    <w:rsid w:val="006D1DB9"/>
    <w:rsid w:val="006D1F35"/>
    <w:rsid w:val="006D222C"/>
    <w:rsid w:val="006D2289"/>
    <w:rsid w:val="006D2544"/>
    <w:rsid w:val="006D2753"/>
    <w:rsid w:val="006D28E7"/>
    <w:rsid w:val="006D2972"/>
    <w:rsid w:val="006D2CB8"/>
    <w:rsid w:val="006D2CE1"/>
    <w:rsid w:val="006D3134"/>
    <w:rsid w:val="006D3247"/>
    <w:rsid w:val="006D338A"/>
    <w:rsid w:val="006D3569"/>
    <w:rsid w:val="006D372D"/>
    <w:rsid w:val="006D3A42"/>
    <w:rsid w:val="006D3B22"/>
    <w:rsid w:val="006D3D3A"/>
    <w:rsid w:val="006D3D80"/>
    <w:rsid w:val="006D3E43"/>
    <w:rsid w:val="006D3FED"/>
    <w:rsid w:val="006D400D"/>
    <w:rsid w:val="006D4284"/>
    <w:rsid w:val="006D4614"/>
    <w:rsid w:val="006D495A"/>
    <w:rsid w:val="006D4A0D"/>
    <w:rsid w:val="006D4A2C"/>
    <w:rsid w:val="006D4D6F"/>
    <w:rsid w:val="006D4DA5"/>
    <w:rsid w:val="006D51FC"/>
    <w:rsid w:val="006D522F"/>
    <w:rsid w:val="006D5614"/>
    <w:rsid w:val="006D5630"/>
    <w:rsid w:val="006D565A"/>
    <w:rsid w:val="006D567D"/>
    <w:rsid w:val="006D588C"/>
    <w:rsid w:val="006D5AC9"/>
    <w:rsid w:val="006D5C54"/>
    <w:rsid w:val="006D5D36"/>
    <w:rsid w:val="006D5EE8"/>
    <w:rsid w:val="006D604B"/>
    <w:rsid w:val="006D6090"/>
    <w:rsid w:val="006D62B6"/>
    <w:rsid w:val="006D636E"/>
    <w:rsid w:val="006D643F"/>
    <w:rsid w:val="006D6590"/>
    <w:rsid w:val="006D6D83"/>
    <w:rsid w:val="006D6E37"/>
    <w:rsid w:val="006D7102"/>
    <w:rsid w:val="006D7533"/>
    <w:rsid w:val="006D761F"/>
    <w:rsid w:val="006D77F2"/>
    <w:rsid w:val="006D7DB7"/>
    <w:rsid w:val="006D7E38"/>
    <w:rsid w:val="006D7E7D"/>
    <w:rsid w:val="006E021B"/>
    <w:rsid w:val="006E03E0"/>
    <w:rsid w:val="006E0471"/>
    <w:rsid w:val="006E0675"/>
    <w:rsid w:val="006E06A3"/>
    <w:rsid w:val="006E0708"/>
    <w:rsid w:val="006E087E"/>
    <w:rsid w:val="006E095D"/>
    <w:rsid w:val="006E0BC7"/>
    <w:rsid w:val="006E0C66"/>
    <w:rsid w:val="006E0CA4"/>
    <w:rsid w:val="006E0DCF"/>
    <w:rsid w:val="006E0EB4"/>
    <w:rsid w:val="006E10C6"/>
    <w:rsid w:val="006E113F"/>
    <w:rsid w:val="006E11C9"/>
    <w:rsid w:val="006E120F"/>
    <w:rsid w:val="006E1502"/>
    <w:rsid w:val="006E16F8"/>
    <w:rsid w:val="006E1844"/>
    <w:rsid w:val="006E1BAF"/>
    <w:rsid w:val="006E1C58"/>
    <w:rsid w:val="006E1DF1"/>
    <w:rsid w:val="006E1F12"/>
    <w:rsid w:val="006E210A"/>
    <w:rsid w:val="006E24C4"/>
    <w:rsid w:val="006E25ED"/>
    <w:rsid w:val="006E262F"/>
    <w:rsid w:val="006E2666"/>
    <w:rsid w:val="006E2AA1"/>
    <w:rsid w:val="006E325B"/>
    <w:rsid w:val="006E328B"/>
    <w:rsid w:val="006E3347"/>
    <w:rsid w:val="006E34B7"/>
    <w:rsid w:val="006E3762"/>
    <w:rsid w:val="006E3763"/>
    <w:rsid w:val="006E37B6"/>
    <w:rsid w:val="006E39AC"/>
    <w:rsid w:val="006E3A7F"/>
    <w:rsid w:val="006E3B76"/>
    <w:rsid w:val="006E3E74"/>
    <w:rsid w:val="006E3F17"/>
    <w:rsid w:val="006E3FD8"/>
    <w:rsid w:val="006E40CD"/>
    <w:rsid w:val="006E41DF"/>
    <w:rsid w:val="006E44EF"/>
    <w:rsid w:val="006E4649"/>
    <w:rsid w:val="006E47BB"/>
    <w:rsid w:val="006E4857"/>
    <w:rsid w:val="006E49CA"/>
    <w:rsid w:val="006E4A1B"/>
    <w:rsid w:val="006E4D30"/>
    <w:rsid w:val="006E4EF3"/>
    <w:rsid w:val="006E5094"/>
    <w:rsid w:val="006E5110"/>
    <w:rsid w:val="006E5212"/>
    <w:rsid w:val="006E5419"/>
    <w:rsid w:val="006E56A5"/>
    <w:rsid w:val="006E5993"/>
    <w:rsid w:val="006E5CD9"/>
    <w:rsid w:val="006E5E91"/>
    <w:rsid w:val="006E607B"/>
    <w:rsid w:val="006E624C"/>
    <w:rsid w:val="006E6379"/>
    <w:rsid w:val="006E649E"/>
    <w:rsid w:val="006E6647"/>
    <w:rsid w:val="006E6946"/>
    <w:rsid w:val="006E6980"/>
    <w:rsid w:val="006E6994"/>
    <w:rsid w:val="006E6A7B"/>
    <w:rsid w:val="006E6BD9"/>
    <w:rsid w:val="006E6F84"/>
    <w:rsid w:val="006E7088"/>
    <w:rsid w:val="006E7436"/>
    <w:rsid w:val="006E745C"/>
    <w:rsid w:val="006E7740"/>
    <w:rsid w:val="006E7861"/>
    <w:rsid w:val="006E79E7"/>
    <w:rsid w:val="006E7A1A"/>
    <w:rsid w:val="006E7B5F"/>
    <w:rsid w:val="006E7C3B"/>
    <w:rsid w:val="006E7F65"/>
    <w:rsid w:val="006E7F7D"/>
    <w:rsid w:val="006E7FAA"/>
    <w:rsid w:val="006E7FD6"/>
    <w:rsid w:val="006E7FE4"/>
    <w:rsid w:val="006F0278"/>
    <w:rsid w:val="006F0321"/>
    <w:rsid w:val="006F0550"/>
    <w:rsid w:val="006F0608"/>
    <w:rsid w:val="006F06E7"/>
    <w:rsid w:val="006F0748"/>
    <w:rsid w:val="006F0792"/>
    <w:rsid w:val="006F0815"/>
    <w:rsid w:val="006F0C1B"/>
    <w:rsid w:val="006F0E2E"/>
    <w:rsid w:val="006F10E6"/>
    <w:rsid w:val="006F11CC"/>
    <w:rsid w:val="006F12E3"/>
    <w:rsid w:val="006F1482"/>
    <w:rsid w:val="006F1744"/>
    <w:rsid w:val="006F1785"/>
    <w:rsid w:val="006F1809"/>
    <w:rsid w:val="006F1CDC"/>
    <w:rsid w:val="006F1F0B"/>
    <w:rsid w:val="006F1F1F"/>
    <w:rsid w:val="006F2198"/>
    <w:rsid w:val="006F21CE"/>
    <w:rsid w:val="006F21DD"/>
    <w:rsid w:val="006F22DA"/>
    <w:rsid w:val="006F2364"/>
    <w:rsid w:val="006F23E0"/>
    <w:rsid w:val="006F25AA"/>
    <w:rsid w:val="006F27A4"/>
    <w:rsid w:val="006F2971"/>
    <w:rsid w:val="006F2C00"/>
    <w:rsid w:val="006F2C5A"/>
    <w:rsid w:val="006F2F89"/>
    <w:rsid w:val="006F2F9C"/>
    <w:rsid w:val="006F3084"/>
    <w:rsid w:val="006F313F"/>
    <w:rsid w:val="006F31F2"/>
    <w:rsid w:val="006F32D9"/>
    <w:rsid w:val="006F35ED"/>
    <w:rsid w:val="006F386C"/>
    <w:rsid w:val="006F3AA4"/>
    <w:rsid w:val="006F3AC0"/>
    <w:rsid w:val="006F420D"/>
    <w:rsid w:val="006F42DE"/>
    <w:rsid w:val="006F4354"/>
    <w:rsid w:val="006F447C"/>
    <w:rsid w:val="006F451B"/>
    <w:rsid w:val="006F476F"/>
    <w:rsid w:val="006F495E"/>
    <w:rsid w:val="006F497F"/>
    <w:rsid w:val="006F4CFF"/>
    <w:rsid w:val="006F4E74"/>
    <w:rsid w:val="006F50F6"/>
    <w:rsid w:val="006F512B"/>
    <w:rsid w:val="006F5267"/>
    <w:rsid w:val="006F52AA"/>
    <w:rsid w:val="006F52F0"/>
    <w:rsid w:val="006F535A"/>
    <w:rsid w:val="006F53BE"/>
    <w:rsid w:val="006F56A6"/>
    <w:rsid w:val="006F595E"/>
    <w:rsid w:val="006F59C7"/>
    <w:rsid w:val="006F59EA"/>
    <w:rsid w:val="006F5E50"/>
    <w:rsid w:val="006F5F68"/>
    <w:rsid w:val="006F60D1"/>
    <w:rsid w:val="006F6140"/>
    <w:rsid w:val="006F6414"/>
    <w:rsid w:val="006F649C"/>
    <w:rsid w:val="006F651D"/>
    <w:rsid w:val="006F6573"/>
    <w:rsid w:val="006F6593"/>
    <w:rsid w:val="006F670C"/>
    <w:rsid w:val="006F6C8A"/>
    <w:rsid w:val="006F6D51"/>
    <w:rsid w:val="006F6DE9"/>
    <w:rsid w:val="006F6F33"/>
    <w:rsid w:val="006F70EA"/>
    <w:rsid w:val="006F7273"/>
    <w:rsid w:val="006F74A1"/>
    <w:rsid w:val="006F7507"/>
    <w:rsid w:val="006F7605"/>
    <w:rsid w:val="006F7713"/>
    <w:rsid w:val="006F7733"/>
    <w:rsid w:val="006F7886"/>
    <w:rsid w:val="006F78FD"/>
    <w:rsid w:val="006F7A1E"/>
    <w:rsid w:val="006F7C45"/>
    <w:rsid w:val="006F7D6E"/>
    <w:rsid w:val="006F7DD1"/>
    <w:rsid w:val="006F7E8D"/>
    <w:rsid w:val="006F7E90"/>
    <w:rsid w:val="00700004"/>
    <w:rsid w:val="007000CF"/>
    <w:rsid w:val="007001D6"/>
    <w:rsid w:val="007004DB"/>
    <w:rsid w:val="00700710"/>
    <w:rsid w:val="00700814"/>
    <w:rsid w:val="0070082A"/>
    <w:rsid w:val="00700A76"/>
    <w:rsid w:val="00700BCD"/>
    <w:rsid w:val="00700C9E"/>
    <w:rsid w:val="00700CDA"/>
    <w:rsid w:val="00700E99"/>
    <w:rsid w:val="0070101E"/>
    <w:rsid w:val="007010EC"/>
    <w:rsid w:val="00701236"/>
    <w:rsid w:val="007016BD"/>
    <w:rsid w:val="00701746"/>
    <w:rsid w:val="00701A78"/>
    <w:rsid w:val="00701F6C"/>
    <w:rsid w:val="0070206F"/>
    <w:rsid w:val="0070208E"/>
    <w:rsid w:val="00702162"/>
    <w:rsid w:val="00702367"/>
    <w:rsid w:val="007026C9"/>
    <w:rsid w:val="007028B7"/>
    <w:rsid w:val="007028E7"/>
    <w:rsid w:val="00702981"/>
    <w:rsid w:val="00702B54"/>
    <w:rsid w:val="00702BA5"/>
    <w:rsid w:val="007033B5"/>
    <w:rsid w:val="007033EA"/>
    <w:rsid w:val="00703655"/>
    <w:rsid w:val="007037A0"/>
    <w:rsid w:val="00703AA5"/>
    <w:rsid w:val="00704057"/>
    <w:rsid w:val="00704131"/>
    <w:rsid w:val="0070414A"/>
    <w:rsid w:val="007041CB"/>
    <w:rsid w:val="00704387"/>
    <w:rsid w:val="00704955"/>
    <w:rsid w:val="007049C8"/>
    <w:rsid w:val="00704A45"/>
    <w:rsid w:val="00704AD6"/>
    <w:rsid w:val="00704EF7"/>
    <w:rsid w:val="00704F94"/>
    <w:rsid w:val="00704FB3"/>
    <w:rsid w:val="00705218"/>
    <w:rsid w:val="00705268"/>
    <w:rsid w:val="00705623"/>
    <w:rsid w:val="007057E6"/>
    <w:rsid w:val="00705988"/>
    <w:rsid w:val="00705A24"/>
    <w:rsid w:val="00705BC4"/>
    <w:rsid w:val="00705C35"/>
    <w:rsid w:val="00705C68"/>
    <w:rsid w:val="00705E88"/>
    <w:rsid w:val="0070617D"/>
    <w:rsid w:val="0070658D"/>
    <w:rsid w:val="007065E4"/>
    <w:rsid w:val="007067EE"/>
    <w:rsid w:val="00706807"/>
    <w:rsid w:val="00706D94"/>
    <w:rsid w:val="0070703A"/>
    <w:rsid w:val="007074FA"/>
    <w:rsid w:val="0070754B"/>
    <w:rsid w:val="0070794A"/>
    <w:rsid w:val="007079E4"/>
    <w:rsid w:val="00707CC5"/>
    <w:rsid w:val="00707D3B"/>
    <w:rsid w:val="00707DA7"/>
    <w:rsid w:val="00707ECC"/>
    <w:rsid w:val="00707F6A"/>
    <w:rsid w:val="00710042"/>
    <w:rsid w:val="007101FA"/>
    <w:rsid w:val="007105F3"/>
    <w:rsid w:val="007109FE"/>
    <w:rsid w:val="00710B59"/>
    <w:rsid w:val="00710C4A"/>
    <w:rsid w:val="00710C9A"/>
    <w:rsid w:val="00710E6D"/>
    <w:rsid w:val="007110ED"/>
    <w:rsid w:val="007111C0"/>
    <w:rsid w:val="0071123B"/>
    <w:rsid w:val="007115FB"/>
    <w:rsid w:val="00711902"/>
    <w:rsid w:val="00711AC9"/>
    <w:rsid w:val="00711C9D"/>
    <w:rsid w:val="00711EFE"/>
    <w:rsid w:val="00712462"/>
    <w:rsid w:val="007124CB"/>
    <w:rsid w:val="00712676"/>
    <w:rsid w:val="00712770"/>
    <w:rsid w:val="00712C94"/>
    <w:rsid w:val="00712DA5"/>
    <w:rsid w:val="007132C8"/>
    <w:rsid w:val="00713538"/>
    <w:rsid w:val="00713DB1"/>
    <w:rsid w:val="00713F61"/>
    <w:rsid w:val="007141E4"/>
    <w:rsid w:val="0071441F"/>
    <w:rsid w:val="0071479B"/>
    <w:rsid w:val="007147CC"/>
    <w:rsid w:val="00714A1F"/>
    <w:rsid w:val="00714D6D"/>
    <w:rsid w:val="00714DFE"/>
    <w:rsid w:val="00714EA5"/>
    <w:rsid w:val="00715115"/>
    <w:rsid w:val="00715121"/>
    <w:rsid w:val="00715223"/>
    <w:rsid w:val="007153AC"/>
    <w:rsid w:val="00715676"/>
    <w:rsid w:val="007156B0"/>
    <w:rsid w:val="00715702"/>
    <w:rsid w:val="007158BB"/>
    <w:rsid w:val="00715A1D"/>
    <w:rsid w:val="00715E0B"/>
    <w:rsid w:val="00715E9B"/>
    <w:rsid w:val="007160AF"/>
    <w:rsid w:val="007162EB"/>
    <w:rsid w:val="00716565"/>
    <w:rsid w:val="0071667C"/>
    <w:rsid w:val="00716770"/>
    <w:rsid w:val="00716DA6"/>
    <w:rsid w:val="00716F86"/>
    <w:rsid w:val="007170E0"/>
    <w:rsid w:val="00717172"/>
    <w:rsid w:val="007172FA"/>
    <w:rsid w:val="0071758E"/>
    <w:rsid w:val="007176BE"/>
    <w:rsid w:val="00717708"/>
    <w:rsid w:val="00717951"/>
    <w:rsid w:val="007179A9"/>
    <w:rsid w:val="00717C47"/>
    <w:rsid w:val="00717F27"/>
    <w:rsid w:val="007203D8"/>
    <w:rsid w:val="007204B6"/>
    <w:rsid w:val="00720615"/>
    <w:rsid w:val="00720826"/>
    <w:rsid w:val="007208A4"/>
    <w:rsid w:val="00720AA5"/>
    <w:rsid w:val="00720B0F"/>
    <w:rsid w:val="0072114F"/>
    <w:rsid w:val="007211DA"/>
    <w:rsid w:val="007211ED"/>
    <w:rsid w:val="0072125A"/>
    <w:rsid w:val="007216D3"/>
    <w:rsid w:val="00721707"/>
    <w:rsid w:val="00721E63"/>
    <w:rsid w:val="00722403"/>
    <w:rsid w:val="0072253A"/>
    <w:rsid w:val="0072265D"/>
    <w:rsid w:val="007227C7"/>
    <w:rsid w:val="0072285F"/>
    <w:rsid w:val="00722E96"/>
    <w:rsid w:val="00722F0A"/>
    <w:rsid w:val="00723392"/>
    <w:rsid w:val="00723485"/>
    <w:rsid w:val="007234B5"/>
    <w:rsid w:val="00723593"/>
    <w:rsid w:val="007235EA"/>
    <w:rsid w:val="007235F9"/>
    <w:rsid w:val="0072378B"/>
    <w:rsid w:val="0072396D"/>
    <w:rsid w:val="0072397E"/>
    <w:rsid w:val="00723A17"/>
    <w:rsid w:val="00723E56"/>
    <w:rsid w:val="00723F9C"/>
    <w:rsid w:val="0072407B"/>
    <w:rsid w:val="00724094"/>
    <w:rsid w:val="00724095"/>
    <w:rsid w:val="007243B7"/>
    <w:rsid w:val="007246A7"/>
    <w:rsid w:val="00724933"/>
    <w:rsid w:val="007249C3"/>
    <w:rsid w:val="007249D9"/>
    <w:rsid w:val="00724F81"/>
    <w:rsid w:val="00724F91"/>
    <w:rsid w:val="00725126"/>
    <w:rsid w:val="00725195"/>
    <w:rsid w:val="00725228"/>
    <w:rsid w:val="007252EF"/>
    <w:rsid w:val="007256BB"/>
    <w:rsid w:val="0072602A"/>
    <w:rsid w:val="00726186"/>
    <w:rsid w:val="0072629E"/>
    <w:rsid w:val="007263DA"/>
    <w:rsid w:val="0072649D"/>
    <w:rsid w:val="007268B0"/>
    <w:rsid w:val="00726CDF"/>
    <w:rsid w:val="00726D74"/>
    <w:rsid w:val="00726E02"/>
    <w:rsid w:val="00726FEB"/>
    <w:rsid w:val="0072715E"/>
    <w:rsid w:val="0072744B"/>
    <w:rsid w:val="0072762C"/>
    <w:rsid w:val="0072774D"/>
    <w:rsid w:val="007277E8"/>
    <w:rsid w:val="0072782A"/>
    <w:rsid w:val="00727C8F"/>
    <w:rsid w:val="00727FEC"/>
    <w:rsid w:val="0073003B"/>
    <w:rsid w:val="00730097"/>
    <w:rsid w:val="00730197"/>
    <w:rsid w:val="0073024A"/>
    <w:rsid w:val="007302C8"/>
    <w:rsid w:val="00730728"/>
    <w:rsid w:val="00730774"/>
    <w:rsid w:val="0073090C"/>
    <w:rsid w:val="007309EC"/>
    <w:rsid w:val="00730A9B"/>
    <w:rsid w:val="00730AB0"/>
    <w:rsid w:val="00730B5C"/>
    <w:rsid w:val="00730F58"/>
    <w:rsid w:val="00731303"/>
    <w:rsid w:val="007317DE"/>
    <w:rsid w:val="00731A9C"/>
    <w:rsid w:val="00731AE5"/>
    <w:rsid w:val="00731D36"/>
    <w:rsid w:val="00731E06"/>
    <w:rsid w:val="00731E77"/>
    <w:rsid w:val="0073217F"/>
    <w:rsid w:val="00732380"/>
    <w:rsid w:val="007323A5"/>
    <w:rsid w:val="007324F6"/>
    <w:rsid w:val="007325E9"/>
    <w:rsid w:val="00732607"/>
    <w:rsid w:val="0073278D"/>
    <w:rsid w:val="007328A9"/>
    <w:rsid w:val="00732B0D"/>
    <w:rsid w:val="00732BF8"/>
    <w:rsid w:val="00732D4C"/>
    <w:rsid w:val="00732D7B"/>
    <w:rsid w:val="00732DB9"/>
    <w:rsid w:val="00732DFB"/>
    <w:rsid w:val="00732F2F"/>
    <w:rsid w:val="007330A0"/>
    <w:rsid w:val="007332C5"/>
    <w:rsid w:val="00733361"/>
    <w:rsid w:val="00733522"/>
    <w:rsid w:val="00733685"/>
    <w:rsid w:val="0073378C"/>
    <w:rsid w:val="00733982"/>
    <w:rsid w:val="00733A00"/>
    <w:rsid w:val="00733A08"/>
    <w:rsid w:val="00733B32"/>
    <w:rsid w:val="00733E55"/>
    <w:rsid w:val="00733EBD"/>
    <w:rsid w:val="00733EDD"/>
    <w:rsid w:val="00734508"/>
    <w:rsid w:val="007345D1"/>
    <w:rsid w:val="00734743"/>
    <w:rsid w:val="00734885"/>
    <w:rsid w:val="00734AEB"/>
    <w:rsid w:val="00734BE9"/>
    <w:rsid w:val="00734D49"/>
    <w:rsid w:val="00734F9A"/>
    <w:rsid w:val="00734FA8"/>
    <w:rsid w:val="00734FFC"/>
    <w:rsid w:val="00735309"/>
    <w:rsid w:val="0073556B"/>
    <w:rsid w:val="00735929"/>
    <w:rsid w:val="00735969"/>
    <w:rsid w:val="007359EC"/>
    <w:rsid w:val="00735A03"/>
    <w:rsid w:val="00735BD8"/>
    <w:rsid w:val="00735D2F"/>
    <w:rsid w:val="00735E06"/>
    <w:rsid w:val="00735E32"/>
    <w:rsid w:val="007361B7"/>
    <w:rsid w:val="00736282"/>
    <w:rsid w:val="00736484"/>
    <w:rsid w:val="007364AC"/>
    <w:rsid w:val="0073676B"/>
    <w:rsid w:val="007369A5"/>
    <w:rsid w:val="00736D15"/>
    <w:rsid w:val="00736DE8"/>
    <w:rsid w:val="00736F57"/>
    <w:rsid w:val="007371E3"/>
    <w:rsid w:val="00737455"/>
    <w:rsid w:val="00737519"/>
    <w:rsid w:val="007376A1"/>
    <w:rsid w:val="007377E3"/>
    <w:rsid w:val="007377F5"/>
    <w:rsid w:val="00737814"/>
    <w:rsid w:val="00737881"/>
    <w:rsid w:val="00737C39"/>
    <w:rsid w:val="0074015E"/>
    <w:rsid w:val="0074026B"/>
    <w:rsid w:val="007406EA"/>
    <w:rsid w:val="00740925"/>
    <w:rsid w:val="007409F4"/>
    <w:rsid w:val="00740C33"/>
    <w:rsid w:val="00740EC4"/>
    <w:rsid w:val="0074114B"/>
    <w:rsid w:val="007419CB"/>
    <w:rsid w:val="00741AC4"/>
    <w:rsid w:val="00741AFD"/>
    <w:rsid w:val="00741D2C"/>
    <w:rsid w:val="00741D6F"/>
    <w:rsid w:val="00741D7C"/>
    <w:rsid w:val="00741E05"/>
    <w:rsid w:val="00741E87"/>
    <w:rsid w:val="00741E92"/>
    <w:rsid w:val="00741EC5"/>
    <w:rsid w:val="007423EF"/>
    <w:rsid w:val="00742412"/>
    <w:rsid w:val="0074244B"/>
    <w:rsid w:val="00742933"/>
    <w:rsid w:val="0074299C"/>
    <w:rsid w:val="00742A3E"/>
    <w:rsid w:val="00742B4D"/>
    <w:rsid w:val="00742BD9"/>
    <w:rsid w:val="00742C57"/>
    <w:rsid w:val="00742C94"/>
    <w:rsid w:val="0074353C"/>
    <w:rsid w:val="007435AD"/>
    <w:rsid w:val="007436E8"/>
    <w:rsid w:val="007438D3"/>
    <w:rsid w:val="00743F39"/>
    <w:rsid w:val="007440A8"/>
    <w:rsid w:val="007444AB"/>
    <w:rsid w:val="00744A12"/>
    <w:rsid w:val="00745100"/>
    <w:rsid w:val="00745222"/>
    <w:rsid w:val="007452B2"/>
    <w:rsid w:val="007453A9"/>
    <w:rsid w:val="00745568"/>
    <w:rsid w:val="007455BE"/>
    <w:rsid w:val="007455C6"/>
    <w:rsid w:val="00745941"/>
    <w:rsid w:val="00745A6A"/>
    <w:rsid w:val="00745B6F"/>
    <w:rsid w:val="00745C2F"/>
    <w:rsid w:val="00745DAF"/>
    <w:rsid w:val="00745FE2"/>
    <w:rsid w:val="00746160"/>
    <w:rsid w:val="007463E9"/>
    <w:rsid w:val="007464B8"/>
    <w:rsid w:val="0074651A"/>
    <w:rsid w:val="0074667D"/>
    <w:rsid w:val="00746883"/>
    <w:rsid w:val="0074689A"/>
    <w:rsid w:val="007468D6"/>
    <w:rsid w:val="007469E9"/>
    <w:rsid w:val="00746B2A"/>
    <w:rsid w:val="00746B35"/>
    <w:rsid w:val="00746C81"/>
    <w:rsid w:val="00746FBB"/>
    <w:rsid w:val="00747020"/>
    <w:rsid w:val="00747022"/>
    <w:rsid w:val="007471B1"/>
    <w:rsid w:val="00747276"/>
    <w:rsid w:val="007472F7"/>
    <w:rsid w:val="007472FF"/>
    <w:rsid w:val="007473B2"/>
    <w:rsid w:val="007473EB"/>
    <w:rsid w:val="00747A48"/>
    <w:rsid w:val="00747ABA"/>
    <w:rsid w:val="00747B71"/>
    <w:rsid w:val="00750037"/>
    <w:rsid w:val="00750289"/>
    <w:rsid w:val="007506E3"/>
    <w:rsid w:val="00750C0B"/>
    <w:rsid w:val="00750C8F"/>
    <w:rsid w:val="00750E5D"/>
    <w:rsid w:val="00750F19"/>
    <w:rsid w:val="00750F40"/>
    <w:rsid w:val="00750FF5"/>
    <w:rsid w:val="007512F2"/>
    <w:rsid w:val="00751369"/>
    <w:rsid w:val="007515DA"/>
    <w:rsid w:val="007516E3"/>
    <w:rsid w:val="007519E9"/>
    <w:rsid w:val="00751BDD"/>
    <w:rsid w:val="00751F3D"/>
    <w:rsid w:val="00752143"/>
    <w:rsid w:val="00752412"/>
    <w:rsid w:val="0075244D"/>
    <w:rsid w:val="00752773"/>
    <w:rsid w:val="007528B5"/>
    <w:rsid w:val="00752960"/>
    <w:rsid w:val="00752AA3"/>
    <w:rsid w:val="00752AFA"/>
    <w:rsid w:val="00752B17"/>
    <w:rsid w:val="00752C9C"/>
    <w:rsid w:val="00752CE0"/>
    <w:rsid w:val="00752E1C"/>
    <w:rsid w:val="00752E9B"/>
    <w:rsid w:val="00752F93"/>
    <w:rsid w:val="00752FFE"/>
    <w:rsid w:val="0075319A"/>
    <w:rsid w:val="00753402"/>
    <w:rsid w:val="0075350C"/>
    <w:rsid w:val="00753729"/>
    <w:rsid w:val="007537B3"/>
    <w:rsid w:val="00753813"/>
    <w:rsid w:val="007538CC"/>
    <w:rsid w:val="0075397A"/>
    <w:rsid w:val="00753B6D"/>
    <w:rsid w:val="00753C23"/>
    <w:rsid w:val="00753CDE"/>
    <w:rsid w:val="00754135"/>
    <w:rsid w:val="0075420D"/>
    <w:rsid w:val="0075423B"/>
    <w:rsid w:val="007543AB"/>
    <w:rsid w:val="007544A3"/>
    <w:rsid w:val="0075494E"/>
    <w:rsid w:val="00754A3F"/>
    <w:rsid w:val="00754CC3"/>
    <w:rsid w:val="00754D1F"/>
    <w:rsid w:val="00754D6D"/>
    <w:rsid w:val="0075501C"/>
    <w:rsid w:val="0075510D"/>
    <w:rsid w:val="0075514B"/>
    <w:rsid w:val="00755710"/>
    <w:rsid w:val="00755762"/>
    <w:rsid w:val="00755839"/>
    <w:rsid w:val="007558EE"/>
    <w:rsid w:val="00755917"/>
    <w:rsid w:val="00755969"/>
    <w:rsid w:val="00755B39"/>
    <w:rsid w:val="00755DC6"/>
    <w:rsid w:val="007560AD"/>
    <w:rsid w:val="007560EE"/>
    <w:rsid w:val="007568CE"/>
    <w:rsid w:val="00756A50"/>
    <w:rsid w:val="00756A8D"/>
    <w:rsid w:val="00756B5F"/>
    <w:rsid w:val="00756B60"/>
    <w:rsid w:val="00756C09"/>
    <w:rsid w:val="00756D1E"/>
    <w:rsid w:val="00756EAF"/>
    <w:rsid w:val="0075707D"/>
    <w:rsid w:val="00757306"/>
    <w:rsid w:val="00757809"/>
    <w:rsid w:val="007578F8"/>
    <w:rsid w:val="00757C54"/>
    <w:rsid w:val="00757E72"/>
    <w:rsid w:val="0076022A"/>
    <w:rsid w:val="0076053F"/>
    <w:rsid w:val="0076061A"/>
    <w:rsid w:val="0076078E"/>
    <w:rsid w:val="00760809"/>
    <w:rsid w:val="0076083C"/>
    <w:rsid w:val="00760BD4"/>
    <w:rsid w:val="0076100E"/>
    <w:rsid w:val="0076109D"/>
    <w:rsid w:val="007610A0"/>
    <w:rsid w:val="00761293"/>
    <w:rsid w:val="007612D1"/>
    <w:rsid w:val="007616CA"/>
    <w:rsid w:val="007616D6"/>
    <w:rsid w:val="00761717"/>
    <w:rsid w:val="007619F0"/>
    <w:rsid w:val="00761A57"/>
    <w:rsid w:val="00761B6C"/>
    <w:rsid w:val="00761E03"/>
    <w:rsid w:val="00761E1F"/>
    <w:rsid w:val="00761FFD"/>
    <w:rsid w:val="007620D7"/>
    <w:rsid w:val="00762187"/>
    <w:rsid w:val="007621DA"/>
    <w:rsid w:val="0076221D"/>
    <w:rsid w:val="0076223A"/>
    <w:rsid w:val="007623A0"/>
    <w:rsid w:val="007624C4"/>
    <w:rsid w:val="00762987"/>
    <w:rsid w:val="00762BF2"/>
    <w:rsid w:val="00762CE1"/>
    <w:rsid w:val="00763138"/>
    <w:rsid w:val="00763200"/>
    <w:rsid w:val="007632A6"/>
    <w:rsid w:val="007632F5"/>
    <w:rsid w:val="007634C4"/>
    <w:rsid w:val="0076350E"/>
    <w:rsid w:val="007636F9"/>
    <w:rsid w:val="00763740"/>
    <w:rsid w:val="007638C3"/>
    <w:rsid w:val="0076397F"/>
    <w:rsid w:val="00763A71"/>
    <w:rsid w:val="00763D5E"/>
    <w:rsid w:val="00763EB4"/>
    <w:rsid w:val="00763F52"/>
    <w:rsid w:val="0076429D"/>
    <w:rsid w:val="00764435"/>
    <w:rsid w:val="0076466E"/>
    <w:rsid w:val="00764873"/>
    <w:rsid w:val="00764C35"/>
    <w:rsid w:val="00764E39"/>
    <w:rsid w:val="007651A0"/>
    <w:rsid w:val="0076522C"/>
    <w:rsid w:val="00765364"/>
    <w:rsid w:val="00765449"/>
    <w:rsid w:val="007654F5"/>
    <w:rsid w:val="007658DD"/>
    <w:rsid w:val="00765DBA"/>
    <w:rsid w:val="00765E96"/>
    <w:rsid w:val="00765F61"/>
    <w:rsid w:val="00766235"/>
    <w:rsid w:val="00766273"/>
    <w:rsid w:val="007662C3"/>
    <w:rsid w:val="007666DE"/>
    <w:rsid w:val="0076678F"/>
    <w:rsid w:val="007669B7"/>
    <w:rsid w:val="00766B56"/>
    <w:rsid w:val="00766B79"/>
    <w:rsid w:val="00766C62"/>
    <w:rsid w:val="0076700F"/>
    <w:rsid w:val="007672F8"/>
    <w:rsid w:val="007674BA"/>
    <w:rsid w:val="007677F4"/>
    <w:rsid w:val="00767BEB"/>
    <w:rsid w:val="00767D01"/>
    <w:rsid w:val="00767E57"/>
    <w:rsid w:val="00767F91"/>
    <w:rsid w:val="00767FDD"/>
    <w:rsid w:val="00770073"/>
    <w:rsid w:val="007700D9"/>
    <w:rsid w:val="00770192"/>
    <w:rsid w:val="007701D2"/>
    <w:rsid w:val="00770243"/>
    <w:rsid w:val="00770454"/>
    <w:rsid w:val="007706E1"/>
    <w:rsid w:val="007709A2"/>
    <w:rsid w:val="007709B8"/>
    <w:rsid w:val="00770B25"/>
    <w:rsid w:val="00770B4C"/>
    <w:rsid w:val="00770C89"/>
    <w:rsid w:val="00770E20"/>
    <w:rsid w:val="00771014"/>
    <w:rsid w:val="00771019"/>
    <w:rsid w:val="00771059"/>
    <w:rsid w:val="00771116"/>
    <w:rsid w:val="00771278"/>
    <w:rsid w:val="00771315"/>
    <w:rsid w:val="00771D53"/>
    <w:rsid w:val="00771D58"/>
    <w:rsid w:val="00771DD7"/>
    <w:rsid w:val="00771E4D"/>
    <w:rsid w:val="00772447"/>
    <w:rsid w:val="0077263B"/>
    <w:rsid w:val="00772722"/>
    <w:rsid w:val="00772827"/>
    <w:rsid w:val="00772A1C"/>
    <w:rsid w:val="00772AFB"/>
    <w:rsid w:val="00772B43"/>
    <w:rsid w:val="00772C3E"/>
    <w:rsid w:val="00772C97"/>
    <w:rsid w:val="00772D8D"/>
    <w:rsid w:val="0077306C"/>
    <w:rsid w:val="007730F2"/>
    <w:rsid w:val="00773123"/>
    <w:rsid w:val="00773A2E"/>
    <w:rsid w:val="00773B3C"/>
    <w:rsid w:val="00773B78"/>
    <w:rsid w:val="00773D39"/>
    <w:rsid w:val="0077409C"/>
    <w:rsid w:val="0077413E"/>
    <w:rsid w:val="007741A5"/>
    <w:rsid w:val="00774219"/>
    <w:rsid w:val="00774342"/>
    <w:rsid w:val="00774669"/>
    <w:rsid w:val="00774908"/>
    <w:rsid w:val="0077492B"/>
    <w:rsid w:val="00774A2D"/>
    <w:rsid w:val="00774B0F"/>
    <w:rsid w:val="00774B5E"/>
    <w:rsid w:val="00774C00"/>
    <w:rsid w:val="00774C82"/>
    <w:rsid w:val="00774CDC"/>
    <w:rsid w:val="00774FAF"/>
    <w:rsid w:val="00774FBE"/>
    <w:rsid w:val="007752C1"/>
    <w:rsid w:val="00775351"/>
    <w:rsid w:val="00775403"/>
    <w:rsid w:val="007755D1"/>
    <w:rsid w:val="00775619"/>
    <w:rsid w:val="0077581A"/>
    <w:rsid w:val="00775848"/>
    <w:rsid w:val="00775887"/>
    <w:rsid w:val="007758AF"/>
    <w:rsid w:val="00775987"/>
    <w:rsid w:val="00775C7A"/>
    <w:rsid w:val="00775F29"/>
    <w:rsid w:val="00775FB7"/>
    <w:rsid w:val="007760C5"/>
    <w:rsid w:val="007761A6"/>
    <w:rsid w:val="007762D1"/>
    <w:rsid w:val="00776355"/>
    <w:rsid w:val="007764A5"/>
    <w:rsid w:val="0077659F"/>
    <w:rsid w:val="0077698B"/>
    <w:rsid w:val="00776AA6"/>
    <w:rsid w:val="00776C7A"/>
    <w:rsid w:val="00776F17"/>
    <w:rsid w:val="00776F69"/>
    <w:rsid w:val="007771C8"/>
    <w:rsid w:val="0077734D"/>
    <w:rsid w:val="007775AC"/>
    <w:rsid w:val="00777677"/>
    <w:rsid w:val="007779A0"/>
    <w:rsid w:val="00777AAE"/>
    <w:rsid w:val="00777BAD"/>
    <w:rsid w:val="00777C9F"/>
    <w:rsid w:val="00777FE3"/>
    <w:rsid w:val="007802B7"/>
    <w:rsid w:val="007802D0"/>
    <w:rsid w:val="00780634"/>
    <w:rsid w:val="007806A8"/>
    <w:rsid w:val="007806BA"/>
    <w:rsid w:val="007809D6"/>
    <w:rsid w:val="00780B39"/>
    <w:rsid w:val="00780C1E"/>
    <w:rsid w:val="007816D3"/>
    <w:rsid w:val="007816F8"/>
    <w:rsid w:val="00781702"/>
    <w:rsid w:val="00781917"/>
    <w:rsid w:val="00781C32"/>
    <w:rsid w:val="00781C6B"/>
    <w:rsid w:val="00781D5F"/>
    <w:rsid w:val="00781DF9"/>
    <w:rsid w:val="00781EB1"/>
    <w:rsid w:val="007823D4"/>
    <w:rsid w:val="0078240F"/>
    <w:rsid w:val="00782461"/>
    <w:rsid w:val="00782483"/>
    <w:rsid w:val="007827B7"/>
    <w:rsid w:val="007828D7"/>
    <w:rsid w:val="00782948"/>
    <w:rsid w:val="00782B9B"/>
    <w:rsid w:val="00782BE2"/>
    <w:rsid w:val="00782BFB"/>
    <w:rsid w:val="00783107"/>
    <w:rsid w:val="007835AA"/>
    <w:rsid w:val="00783603"/>
    <w:rsid w:val="0078391D"/>
    <w:rsid w:val="00783BB5"/>
    <w:rsid w:val="00783E92"/>
    <w:rsid w:val="00784293"/>
    <w:rsid w:val="007842C2"/>
    <w:rsid w:val="0078441B"/>
    <w:rsid w:val="00785005"/>
    <w:rsid w:val="0078548B"/>
    <w:rsid w:val="007854D4"/>
    <w:rsid w:val="007857AF"/>
    <w:rsid w:val="00785803"/>
    <w:rsid w:val="00785ACB"/>
    <w:rsid w:val="00785C8A"/>
    <w:rsid w:val="00785DC4"/>
    <w:rsid w:val="00785E5A"/>
    <w:rsid w:val="0078638B"/>
    <w:rsid w:val="007864C2"/>
    <w:rsid w:val="0078666C"/>
    <w:rsid w:val="0078676A"/>
    <w:rsid w:val="00786C6C"/>
    <w:rsid w:val="00786CB9"/>
    <w:rsid w:val="00786D42"/>
    <w:rsid w:val="00786F02"/>
    <w:rsid w:val="00786F91"/>
    <w:rsid w:val="007870A7"/>
    <w:rsid w:val="00787219"/>
    <w:rsid w:val="0078767A"/>
    <w:rsid w:val="0078782B"/>
    <w:rsid w:val="0078793C"/>
    <w:rsid w:val="0078795B"/>
    <w:rsid w:val="00787A84"/>
    <w:rsid w:val="00787C2D"/>
    <w:rsid w:val="00787D18"/>
    <w:rsid w:val="00787D3B"/>
    <w:rsid w:val="0079000B"/>
    <w:rsid w:val="00790376"/>
    <w:rsid w:val="0079037A"/>
    <w:rsid w:val="007903B4"/>
    <w:rsid w:val="00790627"/>
    <w:rsid w:val="00790710"/>
    <w:rsid w:val="007908C0"/>
    <w:rsid w:val="00790A88"/>
    <w:rsid w:val="00790AD8"/>
    <w:rsid w:val="00790E5E"/>
    <w:rsid w:val="00790EB0"/>
    <w:rsid w:val="0079126F"/>
    <w:rsid w:val="007914A7"/>
    <w:rsid w:val="00791610"/>
    <w:rsid w:val="007917A4"/>
    <w:rsid w:val="007917DC"/>
    <w:rsid w:val="00792276"/>
    <w:rsid w:val="0079240C"/>
    <w:rsid w:val="007926A4"/>
    <w:rsid w:val="00792767"/>
    <w:rsid w:val="00792955"/>
    <w:rsid w:val="0079313A"/>
    <w:rsid w:val="0079351A"/>
    <w:rsid w:val="007938C4"/>
    <w:rsid w:val="00793A77"/>
    <w:rsid w:val="00793C7A"/>
    <w:rsid w:val="00793CD3"/>
    <w:rsid w:val="007945DC"/>
    <w:rsid w:val="00794643"/>
    <w:rsid w:val="00794A9C"/>
    <w:rsid w:val="00794AE6"/>
    <w:rsid w:val="00794C1C"/>
    <w:rsid w:val="00794DBC"/>
    <w:rsid w:val="0079503F"/>
    <w:rsid w:val="00795281"/>
    <w:rsid w:val="00795365"/>
    <w:rsid w:val="00795437"/>
    <w:rsid w:val="007955D3"/>
    <w:rsid w:val="0079580F"/>
    <w:rsid w:val="00795898"/>
    <w:rsid w:val="00795971"/>
    <w:rsid w:val="007959AE"/>
    <w:rsid w:val="007960C6"/>
    <w:rsid w:val="0079650B"/>
    <w:rsid w:val="00796738"/>
    <w:rsid w:val="007967E8"/>
    <w:rsid w:val="00796998"/>
    <w:rsid w:val="00796A28"/>
    <w:rsid w:val="00796E42"/>
    <w:rsid w:val="00796E66"/>
    <w:rsid w:val="00796F40"/>
    <w:rsid w:val="00797076"/>
    <w:rsid w:val="00797186"/>
    <w:rsid w:val="0079732B"/>
    <w:rsid w:val="007974E1"/>
    <w:rsid w:val="007975CD"/>
    <w:rsid w:val="0079780C"/>
    <w:rsid w:val="00797847"/>
    <w:rsid w:val="00797917"/>
    <w:rsid w:val="00797927"/>
    <w:rsid w:val="00797C63"/>
    <w:rsid w:val="007A030B"/>
    <w:rsid w:val="007A0555"/>
    <w:rsid w:val="007A055F"/>
    <w:rsid w:val="007A060D"/>
    <w:rsid w:val="007A084D"/>
    <w:rsid w:val="007A0911"/>
    <w:rsid w:val="007A097B"/>
    <w:rsid w:val="007A0A26"/>
    <w:rsid w:val="007A0AF4"/>
    <w:rsid w:val="007A10AE"/>
    <w:rsid w:val="007A12E3"/>
    <w:rsid w:val="007A148F"/>
    <w:rsid w:val="007A14F5"/>
    <w:rsid w:val="007A15FE"/>
    <w:rsid w:val="007A17E5"/>
    <w:rsid w:val="007A17EF"/>
    <w:rsid w:val="007A186A"/>
    <w:rsid w:val="007A19F2"/>
    <w:rsid w:val="007A1ACB"/>
    <w:rsid w:val="007A1AF1"/>
    <w:rsid w:val="007A1E3E"/>
    <w:rsid w:val="007A2069"/>
    <w:rsid w:val="007A246B"/>
    <w:rsid w:val="007A25BF"/>
    <w:rsid w:val="007A2840"/>
    <w:rsid w:val="007A289C"/>
    <w:rsid w:val="007A29AB"/>
    <w:rsid w:val="007A2E9C"/>
    <w:rsid w:val="007A2EA0"/>
    <w:rsid w:val="007A341E"/>
    <w:rsid w:val="007A36E7"/>
    <w:rsid w:val="007A373B"/>
    <w:rsid w:val="007A3D1B"/>
    <w:rsid w:val="007A3D51"/>
    <w:rsid w:val="007A4002"/>
    <w:rsid w:val="007A40CD"/>
    <w:rsid w:val="007A4555"/>
    <w:rsid w:val="007A4814"/>
    <w:rsid w:val="007A48A0"/>
    <w:rsid w:val="007A48BD"/>
    <w:rsid w:val="007A4B4E"/>
    <w:rsid w:val="007A4EBE"/>
    <w:rsid w:val="007A504B"/>
    <w:rsid w:val="007A53A4"/>
    <w:rsid w:val="007A564B"/>
    <w:rsid w:val="007A56EE"/>
    <w:rsid w:val="007A57DB"/>
    <w:rsid w:val="007A58B9"/>
    <w:rsid w:val="007A58D3"/>
    <w:rsid w:val="007A5901"/>
    <w:rsid w:val="007A5D17"/>
    <w:rsid w:val="007A5F39"/>
    <w:rsid w:val="007A626F"/>
    <w:rsid w:val="007A653C"/>
    <w:rsid w:val="007A6789"/>
    <w:rsid w:val="007A6886"/>
    <w:rsid w:val="007A690D"/>
    <w:rsid w:val="007A6D56"/>
    <w:rsid w:val="007A6D9C"/>
    <w:rsid w:val="007A712C"/>
    <w:rsid w:val="007A722D"/>
    <w:rsid w:val="007A729E"/>
    <w:rsid w:val="007A7505"/>
    <w:rsid w:val="007A77C3"/>
    <w:rsid w:val="007A7961"/>
    <w:rsid w:val="007A7999"/>
    <w:rsid w:val="007A79D8"/>
    <w:rsid w:val="007A7B33"/>
    <w:rsid w:val="007A7BB9"/>
    <w:rsid w:val="007A7C2F"/>
    <w:rsid w:val="007A7E6A"/>
    <w:rsid w:val="007A7E86"/>
    <w:rsid w:val="007B00E1"/>
    <w:rsid w:val="007B03FA"/>
    <w:rsid w:val="007B04DA"/>
    <w:rsid w:val="007B0572"/>
    <w:rsid w:val="007B05F5"/>
    <w:rsid w:val="007B07DB"/>
    <w:rsid w:val="007B0806"/>
    <w:rsid w:val="007B08E8"/>
    <w:rsid w:val="007B09A4"/>
    <w:rsid w:val="007B09B0"/>
    <w:rsid w:val="007B0CBF"/>
    <w:rsid w:val="007B0EBA"/>
    <w:rsid w:val="007B0FDD"/>
    <w:rsid w:val="007B108D"/>
    <w:rsid w:val="007B115D"/>
    <w:rsid w:val="007B1354"/>
    <w:rsid w:val="007B1414"/>
    <w:rsid w:val="007B149D"/>
    <w:rsid w:val="007B167A"/>
    <w:rsid w:val="007B1B93"/>
    <w:rsid w:val="007B1DE2"/>
    <w:rsid w:val="007B266A"/>
    <w:rsid w:val="007B271E"/>
    <w:rsid w:val="007B2C0F"/>
    <w:rsid w:val="007B2C13"/>
    <w:rsid w:val="007B2C41"/>
    <w:rsid w:val="007B2FA8"/>
    <w:rsid w:val="007B31B8"/>
    <w:rsid w:val="007B34C1"/>
    <w:rsid w:val="007B34EA"/>
    <w:rsid w:val="007B3621"/>
    <w:rsid w:val="007B38C0"/>
    <w:rsid w:val="007B38ED"/>
    <w:rsid w:val="007B3A88"/>
    <w:rsid w:val="007B3D8A"/>
    <w:rsid w:val="007B3EC1"/>
    <w:rsid w:val="007B4264"/>
    <w:rsid w:val="007B4286"/>
    <w:rsid w:val="007B434B"/>
    <w:rsid w:val="007B4464"/>
    <w:rsid w:val="007B467F"/>
    <w:rsid w:val="007B46A9"/>
    <w:rsid w:val="007B4C14"/>
    <w:rsid w:val="007B4C19"/>
    <w:rsid w:val="007B4D5A"/>
    <w:rsid w:val="007B4E82"/>
    <w:rsid w:val="007B50A9"/>
    <w:rsid w:val="007B559F"/>
    <w:rsid w:val="007B55FF"/>
    <w:rsid w:val="007B566B"/>
    <w:rsid w:val="007B56E5"/>
    <w:rsid w:val="007B5925"/>
    <w:rsid w:val="007B5D5A"/>
    <w:rsid w:val="007B5E35"/>
    <w:rsid w:val="007B65F4"/>
    <w:rsid w:val="007B66C1"/>
    <w:rsid w:val="007B6B39"/>
    <w:rsid w:val="007B6CDB"/>
    <w:rsid w:val="007B6D60"/>
    <w:rsid w:val="007B6E22"/>
    <w:rsid w:val="007B7042"/>
    <w:rsid w:val="007B70F8"/>
    <w:rsid w:val="007B71C5"/>
    <w:rsid w:val="007B725D"/>
    <w:rsid w:val="007B72C3"/>
    <w:rsid w:val="007B7393"/>
    <w:rsid w:val="007B7461"/>
    <w:rsid w:val="007B74E6"/>
    <w:rsid w:val="007B75D9"/>
    <w:rsid w:val="007B76CF"/>
    <w:rsid w:val="007B775F"/>
    <w:rsid w:val="007B7892"/>
    <w:rsid w:val="007B7CA1"/>
    <w:rsid w:val="007B7FFB"/>
    <w:rsid w:val="007C00A5"/>
    <w:rsid w:val="007C024C"/>
    <w:rsid w:val="007C07B7"/>
    <w:rsid w:val="007C14F1"/>
    <w:rsid w:val="007C15A3"/>
    <w:rsid w:val="007C1A0B"/>
    <w:rsid w:val="007C1C30"/>
    <w:rsid w:val="007C1C44"/>
    <w:rsid w:val="007C1C8D"/>
    <w:rsid w:val="007C1CBA"/>
    <w:rsid w:val="007C1CEB"/>
    <w:rsid w:val="007C1E99"/>
    <w:rsid w:val="007C1F1E"/>
    <w:rsid w:val="007C1FF8"/>
    <w:rsid w:val="007C2010"/>
    <w:rsid w:val="007C21DA"/>
    <w:rsid w:val="007C2205"/>
    <w:rsid w:val="007C23F0"/>
    <w:rsid w:val="007C250A"/>
    <w:rsid w:val="007C2854"/>
    <w:rsid w:val="007C288D"/>
    <w:rsid w:val="007C2B6C"/>
    <w:rsid w:val="007C2FCE"/>
    <w:rsid w:val="007C2FD8"/>
    <w:rsid w:val="007C32E0"/>
    <w:rsid w:val="007C3440"/>
    <w:rsid w:val="007C3522"/>
    <w:rsid w:val="007C3541"/>
    <w:rsid w:val="007C4123"/>
    <w:rsid w:val="007C432C"/>
    <w:rsid w:val="007C46B3"/>
    <w:rsid w:val="007C476C"/>
    <w:rsid w:val="007C4840"/>
    <w:rsid w:val="007C4859"/>
    <w:rsid w:val="007C4867"/>
    <w:rsid w:val="007C4B0D"/>
    <w:rsid w:val="007C4D59"/>
    <w:rsid w:val="007C4D9B"/>
    <w:rsid w:val="007C4DA7"/>
    <w:rsid w:val="007C4DBD"/>
    <w:rsid w:val="007C4EE4"/>
    <w:rsid w:val="007C4F13"/>
    <w:rsid w:val="007C4F8B"/>
    <w:rsid w:val="007C531F"/>
    <w:rsid w:val="007C5699"/>
    <w:rsid w:val="007C57F7"/>
    <w:rsid w:val="007C5EED"/>
    <w:rsid w:val="007C61DE"/>
    <w:rsid w:val="007C6327"/>
    <w:rsid w:val="007C6428"/>
    <w:rsid w:val="007C65AB"/>
    <w:rsid w:val="007C68CF"/>
    <w:rsid w:val="007C698C"/>
    <w:rsid w:val="007C6B96"/>
    <w:rsid w:val="007C6C2B"/>
    <w:rsid w:val="007C6CA9"/>
    <w:rsid w:val="007C6DE6"/>
    <w:rsid w:val="007C6FA8"/>
    <w:rsid w:val="007C6FCB"/>
    <w:rsid w:val="007C70C8"/>
    <w:rsid w:val="007C713F"/>
    <w:rsid w:val="007C73DD"/>
    <w:rsid w:val="007C740A"/>
    <w:rsid w:val="007C7472"/>
    <w:rsid w:val="007C7874"/>
    <w:rsid w:val="007C7929"/>
    <w:rsid w:val="007C79C1"/>
    <w:rsid w:val="007C7AD9"/>
    <w:rsid w:val="007D0011"/>
    <w:rsid w:val="007D0121"/>
    <w:rsid w:val="007D0264"/>
    <w:rsid w:val="007D04BB"/>
    <w:rsid w:val="007D0814"/>
    <w:rsid w:val="007D0912"/>
    <w:rsid w:val="007D0A4C"/>
    <w:rsid w:val="007D0B63"/>
    <w:rsid w:val="007D0B9F"/>
    <w:rsid w:val="007D0DA6"/>
    <w:rsid w:val="007D0DE7"/>
    <w:rsid w:val="007D123F"/>
    <w:rsid w:val="007D1856"/>
    <w:rsid w:val="007D186A"/>
    <w:rsid w:val="007D1990"/>
    <w:rsid w:val="007D1B8C"/>
    <w:rsid w:val="007D1DFF"/>
    <w:rsid w:val="007D1F3A"/>
    <w:rsid w:val="007D2019"/>
    <w:rsid w:val="007D20F7"/>
    <w:rsid w:val="007D2124"/>
    <w:rsid w:val="007D2236"/>
    <w:rsid w:val="007D2409"/>
    <w:rsid w:val="007D279B"/>
    <w:rsid w:val="007D2AB1"/>
    <w:rsid w:val="007D2C7B"/>
    <w:rsid w:val="007D2F88"/>
    <w:rsid w:val="007D2F97"/>
    <w:rsid w:val="007D2FAD"/>
    <w:rsid w:val="007D3505"/>
    <w:rsid w:val="007D398C"/>
    <w:rsid w:val="007D3B2F"/>
    <w:rsid w:val="007D3B41"/>
    <w:rsid w:val="007D3C17"/>
    <w:rsid w:val="007D3CA6"/>
    <w:rsid w:val="007D3DD9"/>
    <w:rsid w:val="007D3F45"/>
    <w:rsid w:val="007D4118"/>
    <w:rsid w:val="007D426B"/>
    <w:rsid w:val="007D4381"/>
    <w:rsid w:val="007D4448"/>
    <w:rsid w:val="007D4494"/>
    <w:rsid w:val="007D4728"/>
    <w:rsid w:val="007D4823"/>
    <w:rsid w:val="007D4926"/>
    <w:rsid w:val="007D4A27"/>
    <w:rsid w:val="007D4EC3"/>
    <w:rsid w:val="007D5153"/>
    <w:rsid w:val="007D515D"/>
    <w:rsid w:val="007D5485"/>
    <w:rsid w:val="007D5623"/>
    <w:rsid w:val="007D59BC"/>
    <w:rsid w:val="007D59D8"/>
    <w:rsid w:val="007D5C93"/>
    <w:rsid w:val="007D5FF1"/>
    <w:rsid w:val="007D6360"/>
    <w:rsid w:val="007D638E"/>
    <w:rsid w:val="007D6444"/>
    <w:rsid w:val="007D654A"/>
    <w:rsid w:val="007D65D9"/>
    <w:rsid w:val="007D66E2"/>
    <w:rsid w:val="007D68A6"/>
    <w:rsid w:val="007D69A0"/>
    <w:rsid w:val="007D6BF0"/>
    <w:rsid w:val="007D6C6F"/>
    <w:rsid w:val="007D6CD5"/>
    <w:rsid w:val="007D6D84"/>
    <w:rsid w:val="007D7615"/>
    <w:rsid w:val="007D768F"/>
    <w:rsid w:val="007D782C"/>
    <w:rsid w:val="007D7896"/>
    <w:rsid w:val="007D78AE"/>
    <w:rsid w:val="007D7A92"/>
    <w:rsid w:val="007D7BEB"/>
    <w:rsid w:val="007E05CB"/>
    <w:rsid w:val="007E0764"/>
    <w:rsid w:val="007E08F3"/>
    <w:rsid w:val="007E09FF"/>
    <w:rsid w:val="007E0A18"/>
    <w:rsid w:val="007E0D08"/>
    <w:rsid w:val="007E0D4E"/>
    <w:rsid w:val="007E0DA9"/>
    <w:rsid w:val="007E11FB"/>
    <w:rsid w:val="007E14E9"/>
    <w:rsid w:val="007E15BC"/>
    <w:rsid w:val="007E1665"/>
    <w:rsid w:val="007E1790"/>
    <w:rsid w:val="007E1ABF"/>
    <w:rsid w:val="007E1BDD"/>
    <w:rsid w:val="007E1FC8"/>
    <w:rsid w:val="007E2354"/>
    <w:rsid w:val="007E243A"/>
    <w:rsid w:val="007E2479"/>
    <w:rsid w:val="007E2AD3"/>
    <w:rsid w:val="007E2F92"/>
    <w:rsid w:val="007E2F95"/>
    <w:rsid w:val="007E34B6"/>
    <w:rsid w:val="007E35C0"/>
    <w:rsid w:val="007E35C3"/>
    <w:rsid w:val="007E35FD"/>
    <w:rsid w:val="007E367C"/>
    <w:rsid w:val="007E36B5"/>
    <w:rsid w:val="007E397F"/>
    <w:rsid w:val="007E3C48"/>
    <w:rsid w:val="007E3E07"/>
    <w:rsid w:val="007E3FB0"/>
    <w:rsid w:val="007E43C4"/>
    <w:rsid w:val="007E43E1"/>
    <w:rsid w:val="007E4531"/>
    <w:rsid w:val="007E45C7"/>
    <w:rsid w:val="007E481C"/>
    <w:rsid w:val="007E4A7A"/>
    <w:rsid w:val="007E4BDF"/>
    <w:rsid w:val="007E4C84"/>
    <w:rsid w:val="007E4E30"/>
    <w:rsid w:val="007E5023"/>
    <w:rsid w:val="007E51DF"/>
    <w:rsid w:val="007E5433"/>
    <w:rsid w:val="007E552A"/>
    <w:rsid w:val="007E56B4"/>
    <w:rsid w:val="007E579A"/>
    <w:rsid w:val="007E57F3"/>
    <w:rsid w:val="007E5A33"/>
    <w:rsid w:val="007E5E69"/>
    <w:rsid w:val="007E619D"/>
    <w:rsid w:val="007E62D5"/>
    <w:rsid w:val="007E669C"/>
    <w:rsid w:val="007E67D5"/>
    <w:rsid w:val="007E69A3"/>
    <w:rsid w:val="007E69AF"/>
    <w:rsid w:val="007E6E23"/>
    <w:rsid w:val="007E6F0E"/>
    <w:rsid w:val="007E720F"/>
    <w:rsid w:val="007E73AE"/>
    <w:rsid w:val="007E73C7"/>
    <w:rsid w:val="007E747A"/>
    <w:rsid w:val="007E762F"/>
    <w:rsid w:val="007E786D"/>
    <w:rsid w:val="007E7DB7"/>
    <w:rsid w:val="007E7E5E"/>
    <w:rsid w:val="007E7FDC"/>
    <w:rsid w:val="007F00C7"/>
    <w:rsid w:val="007F00E2"/>
    <w:rsid w:val="007F0395"/>
    <w:rsid w:val="007F044A"/>
    <w:rsid w:val="007F05B9"/>
    <w:rsid w:val="007F090B"/>
    <w:rsid w:val="007F0987"/>
    <w:rsid w:val="007F0A77"/>
    <w:rsid w:val="007F12A4"/>
    <w:rsid w:val="007F18AB"/>
    <w:rsid w:val="007F191F"/>
    <w:rsid w:val="007F19FD"/>
    <w:rsid w:val="007F1AD2"/>
    <w:rsid w:val="007F1B35"/>
    <w:rsid w:val="007F1C8D"/>
    <w:rsid w:val="007F1D0D"/>
    <w:rsid w:val="007F1D78"/>
    <w:rsid w:val="007F1FBE"/>
    <w:rsid w:val="007F2194"/>
    <w:rsid w:val="007F2206"/>
    <w:rsid w:val="007F2250"/>
    <w:rsid w:val="007F2552"/>
    <w:rsid w:val="007F26E3"/>
    <w:rsid w:val="007F28AD"/>
    <w:rsid w:val="007F28E2"/>
    <w:rsid w:val="007F2AAE"/>
    <w:rsid w:val="007F2BF4"/>
    <w:rsid w:val="007F2DB8"/>
    <w:rsid w:val="007F3027"/>
    <w:rsid w:val="007F3263"/>
    <w:rsid w:val="007F334E"/>
    <w:rsid w:val="007F33A1"/>
    <w:rsid w:val="007F347F"/>
    <w:rsid w:val="007F34B7"/>
    <w:rsid w:val="007F34C7"/>
    <w:rsid w:val="007F36F0"/>
    <w:rsid w:val="007F3A59"/>
    <w:rsid w:val="007F3ED1"/>
    <w:rsid w:val="007F3F3C"/>
    <w:rsid w:val="007F430B"/>
    <w:rsid w:val="007F4369"/>
    <w:rsid w:val="007F4503"/>
    <w:rsid w:val="007F46D4"/>
    <w:rsid w:val="007F4783"/>
    <w:rsid w:val="007F49F1"/>
    <w:rsid w:val="007F4A61"/>
    <w:rsid w:val="007F4B0F"/>
    <w:rsid w:val="007F4B75"/>
    <w:rsid w:val="007F4EAD"/>
    <w:rsid w:val="007F4F40"/>
    <w:rsid w:val="007F50B1"/>
    <w:rsid w:val="007F5282"/>
    <w:rsid w:val="007F5508"/>
    <w:rsid w:val="007F56CD"/>
    <w:rsid w:val="007F577E"/>
    <w:rsid w:val="007F5895"/>
    <w:rsid w:val="007F58F6"/>
    <w:rsid w:val="007F5919"/>
    <w:rsid w:val="007F5A40"/>
    <w:rsid w:val="007F5A75"/>
    <w:rsid w:val="007F5B5B"/>
    <w:rsid w:val="007F5D7B"/>
    <w:rsid w:val="007F63DB"/>
    <w:rsid w:val="007F6480"/>
    <w:rsid w:val="007F64DB"/>
    <w:rsid w:val="007F6634"/>
    <w:rsid w:val="007F6C36"/>
    <w:rsid w:val="007F6D5B"/>
    <w:rsid w:val="007F701B"/>
    <w:rsid w:val="007F71EA"/>
    <w:rsid w:val="007F7349"/>
    <w:rsid w:val="007F7458"/>
    <w:rsid w:val="007F77F6"/>
    <w:rsid w:val="007F7932"/>
    <w:rsid w:val="007F7AD7"/>
    <w:rsid w:val="007F7AF7"/>
    <w:rsid w:val="007F7CC0"/>
    <w:rsid w:val="00800027"/>
    <w:rsid w:val="00800172"/>
    <w:rsid w:val="00800453"/>
    <w:rsid w:val="00800512"/>
    <w:rsid w:val="008005F4"/>
    <w:rsid w:val="0080066E"/>
    <w:rsid w:val="00800782"/>
    <w:rsid w:val="008008DB"/>
    <w:rsid w:val="00800A7F"/>
    <w:rsid w:val="00800B08"/>
    <w:rsid w:val="00800B4C"/>
    <w:rsid w:val="00800C87"/>
    <w:rsid w:val="00800DCD"/>
    <w:rsid w:val="00800E3F"/>
    <w:rsid w:val="008010B7"/>
    <w:rsid w:val="008010F3"/>
    <w:rsid w:val="0080140A"/>
    <w:rsid w:val="0080140F"/>
    <w:rsid w:val="00801433"/>
    <w:rsid w:val="00801441"/>
    <w:rsid w:val="008015A0"/>
    <w:rsid w:val="0080199C"/>
    <w:rsid w:val="00801CC4"/>
    <w:rsid w:val="00801E9D"/>
    <w:rsid w:val="00801EA4"/>
    <w:rsid w:val="00801FA8"/>
    <w:rsid w:val="00801FAF"/>
    <w:rsid w:val="008021A8"/>
    <w:rsid w:val="0080226F"/>
    <w:rsid w:val="008022C4"/>
    <w:rsid w:val="00803016"/>
    <w:rsid w:val="008031AA"/>
    <w:rsid w:val="0080324D"/>
    <w:rsid w:val="00803398"/>
    <w:rsid w:val="0080354C"/>
    <w:rsid w:val="00803561"/>
    <w:rsid w:val="00803AE1"/>
    <w:rsid w:val="00803B47"/>
    <w:rsid w:val="00803B95"/>
    <w:rsid w:val="00803E2A"/>
    <w:rsid w:val="0080405C"/>
    <w:rsid w:val="00804086"/>
    <w:rsid w:val="00804E45"/>
    <w:rsid w:val="00804ECC"/>
    <w:rsid w:val="008050FF"/>
    <w:rsid w:val="00805158"/>
    <w:rsid w:val="008051C0"/>
    <w:rsid w:val="00805413"/>
    <w:rsid w:val="00805C59"/>
    <w:rsid w:val="00805E05"/>
    <w:rsid w:val="00806029"/>
    <w:rsid w:val="00806115"/>
    <w:rsid w:val="008061A1"/>
    <w:rsid w:val="00806266"/>
    <w:rsid w:val="008064C8"/>
    <w:rsid w:val="0080658F"/>
    <w:rsid w:val="008067F9"/>
    <w:rsid w:val="00806A2E"/>
    <w:rsid w:val="00806AEC"/>
    <w:rsid w:val="00806BA3"/>
    <w:rsid w:val="00806BF9"/>
    <w:rsid w:val="00806F0B"/>
    <w:rsid w:val="0080769A"/>
    <w:rsid w:val="0080772A"/>
    <w:rsid w:val="00807C06"/>
    <w:rsid w:val="00807D71"/>
    <w:rsid w:val="00807F65"/>
    <w:rsid w:val="00810524"/>
    <w:rsid w:val="008109D0"/>
    <w:rsid w:val="008109E9"/>
    <w:rsid w:val="00810A02"/>
    <w:rsid w:val="00810BAD"/>
    <w:rsid w:val="008110E2"/>
    <w:rsid w:val="008112AB"/>
    <w:rsid w:val="008112F9"/>
    <w:rsid w:val="00811390"/>
    <w:rsid w:val="008116E8"/>
    <w:rsid w:val="008117AB"/>
    <w:rsid w:val="00811928"/>
    <w:rsid w:val="00811A5C"/>
    <w:rsid w:val="00811B33"/>
    <w:rsid w:val="00811BD5"/>
    <w:rsid w:val="00811F2C"/>
    <w:rsid w:val="0081221B"/>
    <w:rsid w:val="00812498"/>
    <w:rsid w:val="00812A2F"/>
    <w:rsid w:val="00812A59"/>
    <w:rsid w:val="00812C0B"/>
    <w:rsid w:val="00812CAE"/>
    <w:rsid w:val="00812CC8"/>
    <w:rsid w:val="008132EE"/>
    <w:rsid w:val="008134FB"/>
    <w:rsid w:val="00813840"/>
    <w:rsid w:val="0081387B"/>
    <w:rsid w:val="00813A12"/>
    <w:rsid w:val="00813AE9"/>
    <w:rsid w:val="00813BAD"/>
    <w:rsid w:val="00813C94"/>
    <w:rsid w:val="00813CD1"/>
    <w:rsid w:val="00813E99"/>
    <w:rsid w:val="00813ECA"/>
    <w:rsid w:val="00813FD6"/>
    <w:rsid w:val="00814035"/>
    <w:rsid w:val="008142F8"/>
    <w:rsid w:val="0081441C"/>
    <w:rsid w:val="00814774"/>
    <w:rsid w:val="008147C0"/>
    <w:rsid w:val="00814C3E"/>
    <w:rsid w:val="00814CAA"/>
    <w:rsid w:val="00814D95"/>
    <w:rsid w:val="00814E1D"/>
    <w:rsid w:val="00814EE0"/>
    <w:rsid w:val="00815027"/>
    <w:rsid w:val="00815068"/>
    <w:rsid w:val="0081512B"/>
    <w:rsid w:val="0081517A"/>
    <w:rsid w:val="00815238"/>
    <w:rsid w:val="00815329"/>
    <w:rsid w:val="00815362"/>
    <w:rsid w:val="008154AA"/>
    <w:rsid w:val="00815585"/>
    <w:rsid w:val="008155F7"/>
    <w:rsid w:val="00815640"/>
    <w:rsid w:val="00815685"/>
    <w:rsid w:val="0081572C"/>
    <w:rsid w:val="008157C4"/>
    <w:rsid w:val="00815808"/>
    <w:rsid w:val="00815913"/>
    <w:rsid w:val="00815957"/>
    <w:rsid w:val="00815C65"/>
    <w:rsid w:val="00815DB0"/>
    <w:rsid w:val="00815F76"/>
    <w:rsid w:val="00815F7E"/>
    <w:rsid w:val="00816378"/>
    <w:rsid w:val="00816384"/>
    <w:rsid w:val="00816394"/>
    <w:rsid w:val="008165DC"/>
    <w:rsid w:val="008168A8"/>
    <w:rsid w:val="00816BF8"/>
    <w:rsid w:val="00816C38"/>
    <w:rsid w:val="00816E19"/>
    <w:rsid w:val="00816F31"/>
    <w:rsid w:val="0081723E"/>
    <w:rsid w:val="008172AE"/>
    <w:rsid w:val="00817362"/>
    <w:rsid w:val="00817485"/>
    <w:rsid w:val="00817537"/>
    <w:rsid w:val="00817888"/>
    <w:rsid w:val="00817ADE"/>
    <w:rsid w:val="00817B48"/>
    <w:rsid w:val="00817DA8"/>
    <w:rsid w:val="00817EBE"/>
    <w:rsid w:val="0082010A"/>
    <w:rsid w:val="0082017E"/>
    <w:rsid w:val="008201FD"/>
    <w:rsid w:val="00820274"/>
    <w:rsid w:val="008202AD"/>
    <w:rsid w:val="008207F5"/>
    <w:rsid w:val="008207F7"/>
    <w:rsid w:val="00820943"/>
    <w:rsid w:val="00820A24"/>
    <w:rsid w:val="00820B51"/>
    <w:rsid w:val="00820E10"/>
    <w:rsid w:val="00821055"/>
    <w:rsid w:val="00821075"/>
    <w:rsid w:val="00821476"/>
    <w:rsid w:val="0082185E"/>
    <w:rsid w:val="0082196D"/>
    <w:rsid w:val="00821C66"/>
    <w:rsid w:val="00821CFF"/>
    <w:rsid w:val="00821D37"/>
    <w:rsid w:val="00821DEE"/>
    <w:rsid w:val="00821EFA"/>
    <w:rsid w:val="00821FD9"/>
    <w:rsid w:val="00822078"/>
    <w:rsid w:val="00822122"/>
    <w:rsid w:val="008222F1"/>
    <w:rsid w:val="0082234A"/>
    <w:rsid w:val="00822508"/>
    <w:rsid w:val="00822594"/>
    <w:rsid w:val="008227B0"/>
    <w:rsid w:val="008227CD"/>
    <w:rsid w:val="008228C9"/>
    <w:rsid w:val="008228F2"/>
    <w:rsid w:val="008229B0"/>
    <w:rsid w:val="00822D54"/>
    <w:rsid w:val="00822D6C"/>
    <w:rsid w:val="00823009"/>
    <w:rsid w:val="00823047"/>
    <w:rsid w:val="0082311B"/>
    <w:rsid w:val="00823244"/>
    <w:rsid w:val="0082361D"/>
    <w:rsid w:val="0082363E"/>
    <w:rsid w:val="00823A0E"/>
    <w:rsid w:val="00823B2C"/>
    <w:rsid w:val="00823B78"/>
    <w:rsid w:val="00824061"/>
    <w:rsid w:val="0082413D"/>
    <w:rsid w:val="00824150"/>
    <w:rsid w:val="00824400"/>
    <w:rsid w:val="008244F7"/>
    <w:rsid w:val="00824551"/>
    <w:rsid w:val="008245B7"/>
    <w:rsid w:val="00824912"/>
    <w:rsid w:val="00824C94"/>
    <w:rsid w:val="00825136"/>
    <w:rsid w:val="00825339"/>
    <w:rsid w:val="008255FA"/>
    <w:rsid w:val="0082598A"/>
    <w:rsid w:val="00825C9E"/>
    <w:rsid w:val="00825D9B"/>
    <w:rsid w:val="008260DF"/>
    <w:rsid w:val="008260E2"/>
    <w:rsid w:val="008261FB"/>
    <w:rsid w:val="00826255"/>
    <w:rsid w:val="008265D6"/>
    <w:rsid w:val="00826734"/>
    <w:rsid w:val="0082675C"/>
    <w:rsid w:val="00826830"/>
    <w:rsid w:val="00826B89"/>
    <w:rsid w:val="00826D53"/>
    <w:rsid w:val="008270B8"/>
    <w:rsid w:val="00827114"/>
    <w:rsid w:val="00827248"/>
    <w:rsid w:val="00827300"/>
    <w:rsid w:val="00827471"/>
    <w:rsid w:val="008274B4"/>
    <w:rsid w:val="0082769E"/>
    <w:rsid w:val="0082770B"/>
    <w:rsid w:val="00827903"/>
    <w:rsid w:val="0082795B"/>
    <w:rsid w:val="00827DAB"/>
    <w:rsid w:val="00830260"/>
    <w:rsid w:val="008302EF"/>
    <w:rsid w:val="00830415"/>
    <w:rsid w:val="00830699"/>
    <w:rsid w:val="00830700"/>
    <w:rsid w:val="00830783"/>
    <w:rsid w:val="00830887"/>
    <w:rsid w:val="00830B7D"/>
    <w:rsid w:val="00830BF2"/>
    <w:rsid w:val="00830D22"/>
    <w:rsid w:val="00830E71"/>
    <w:rsid w:val="00830FC7"/>
    <w:rsid w:val="008312D6"/>
    <w:rsid w:val="00831317"/>
    <w:rsid w:val="00831498"/>
    <w:rsid w:val="00831506"/>
    <w:rsid w:val="008315F7"/>
    <w:rsid w:val="00831724"/>
    <w:rsid w:val="008318D6"/>
    <w:rsid w:val="008318E5"/>
    <w:rsid w:val="00831FAD"/>
    <w:rsid w:val="00831FF5"/>
    <w:rsid w:val="00832089"/>
    <w:rsid w:val="008322CF"/>
    <w:rsid w:val="00832547"/>
    <w:rsid w:val="00832723"/>
    <w:rsid w:val="0083286A"/>
    <w:rsid w:val="008328F6"/>
    <w:rsid w:val="00832BD3"/>
    <w:rsid w:val="00832E3C"/>
    <w:rsid w:val="00832EDD"/>
    <w:rsid w:val="008331AF"/>
    <w:rsid w:val="008332BC"/>
    <w:rsid w:val="008332FF"/>
    <w:rsid w:val="008333DF"/>
    <w:rsid w:val="00833459"/>
    <w:rsid w:val="008334BF"/>
    <w:rsid w:val="00833637"/>
    <w:rsid w:val="00833A30"/>
    <w:rsid w:val="00833B68"/>
    <w:rsid w:val="00833D96"/>
    <w:rsid w:val="00833DA6"/>
    <w:rsid w:val="00833DD2"/>
    <w:rsid w:val="00833E41"/>
    <w:rsid w:val="00834442"/>
    <w:rsid w:val="0083470D"/>
    <w:rsid w:val="00834739"/>
    <w:rsid w:val="0083481E"/>
    <w:rsid w:val="00834891"/>
    <w:rsid w:val="00834DA3"/>
    <w:rsid w:val="00834FC1"/>
    <w:rsid w:val="0083504D"/>
    <w:rsid w:val="008353C2"/>
    <w:rsid w:val="0083542F"/>
    <w:rsid w:val="00835608"/>
    <w:rsid w:val="00835A8F"/>
    <w:rsid w:val="00835D66"/>
    <w:rsid w:val="00835F05"/>
    <w:rsid w:val="008362ED"/>
    <w:rsid w:val="0083632E"/>
    <w:rsid w:val="008364A5"/>
    <w:rsid w:val="00836900"/>
    <w:rsid w:val="00836915"/>
    <w:rsid w:val="00836A63"/>
    <w:rsid w:val="00836A64"/>
    <w:rsid w:val="00836D1F"/>
    <w:rsid w:val="00836E7A"/>
    <w:rsid w:val="008370EB"/>
    <w:rsid w:val="00837171"/>
    <w:rsid w:val="00837290"/>
    <w:rsid w:val="00837379"/>
    <w:rsid w:val="0083742D"/>
    <w:rsid w:val="00837476"/>
    <w:rsid w:val="008374E7"/>
    <w:rsid w:val="00837A12"/>
    <w:rsid w:val="00837A3A"/>
    <w:rsid w:val="00837ADA"/>
    <w:rsid w:val="00837D59"/>
    <w:rsid w:val="00840148"/>
    <w:rsid w:val="00840504"/>
    <w:rsid w:val="0084059D"/>
    <w:rsid w:val="0084064E"/>
    <w:rsid w:val="008411E4"/>
    <w:rsid w:val="00841806"/>
    <w:rsid w:val="00841C18"/>
    <w:rsid w:val="00841D58"/>
    <w:rsid w:val="00841DF0"/>
    <w:rsid w:val="00841FD9"/>
    <w:rsid w:val="008422F4"/>
    <w:rsid w:val="008423B0"/>
    <w:rsid w:val="00842522"/>
    <w:rsid w:val="00842874"/>
    <w:rsid w:val="00842CF9"/>
    <w:rsid w:val="00842E41"/>
    <w:rsid w:val="00842EBC"/>
    <w:rsid w:val="00842ED7"/>
    <w:rsid w:val="00842FA7"/>
    <w:rsid w:val="00842FC0"/>
    <w:rsid w:val="008431AC"/>
    <w:rsid w:val="008431EF"/>
    <w:rsid w:val="00843203"/>
    <w:rsid w:val="008433AA"/>
    <w:rsid w:val="008433C6"/>
    <w:rsid w:val="008434EF"/>
    <w:rsid w:val="008436E3"/>
    <w:rsid w:val="0084374C"/>
    <w:rsid w:val="00843868"/>
    <w:rsid w:val="008438A8"/>
    <w:rsid w:val="008439A9"/>
    <w:rsid w:val="00843AA0"/>
    <w:rsid w:val="00843AAB"/>
    <w:rsid w:val="00843BAF"/>
    <w:rsid w:val="00843C11"/>
    <w:rsid w:val="00843C5E"/>
    <w:rsid w:val="00843C74"/>
    <w:rsid w:val="00843E38"/>
    <w:rsid w:val="00843F05"/>
    <w:rsid w:val="008441ED"/>
    <w:rsid w:val="00844765"/>
    <w:rsid w:val="0084477C"/>
    <w:rsid w:val="00844870"/>
    <w:rsid w:val="00844922"/>
    <w:rsid w:val="00844932"/>
    <w:rsid w:val="00844A05"/>
    <w:rsid w:val="00844A9E"/>
    <w:rsid w:val="00844D0E"/>
    <w:rsid w:val="00844D37"/>
    <w:rsid w:val="00844F05"/>
    <w:rsid w:val="00845147"/>
    <w:rsid w:val="00845229"/>
    <w:rsid w:val="00845338"/>
    <w:rsid w:val="00845C00"/>
    <w:rsid w:val="00846084"/>
    <w:rsid w:val="0084628F"/>
    <w:rsid w:val="0084634D"/>
    <w:rsid w:val="00846389"/>
    <w:rsid w:val="00846718"/>
    <w:rsid w:val="00846C9A"/>
    <w:rsid w:val="00846DB9"/>
    <w:rsid w:val="00846F28"/>
    <w:rsid w:val="00847055"/>
    <w:rsid w:val="008474C7"/>
    <w:rsid w:val="0084797F"/>
    <w:rsid w:val="00847A58"/>
    <w:rsid w:val="00847D7F"/>
    <w:rsid w:val="00847E13"/>
    <w:rsid w:val="0085042A"/>
    <w:rsid w:val="0085049E"/>
    <w:rsid w:val="00850502"/>
    <w:rsid w:val="00850631"/>
    <w:rsid w:val="00850708"/>
    <w:rsid w:val="008507EF"/>
    <w:rsid w:val="008508C2"/>
    <w:rsid w:val="00850920"/>
    <w:rsid w:val="00850D83"/>
    <w:rsid w:val="00851058"/>
    <w:rsid w:val="008510CE"/>
    <w:rsid w:val="00851172"/>
    <w:rsid w:val="008512A5"/>
    <w:rsid w:val="008514DE"/>
    <w:rsid w:val="00851639"/>
    <w:rsid w:val="00851682"/>
    <w:rsid w:val="008517BE"/>
    <w:rsid w:val="00851824"/>
    <w:rsid w:val="00851851"/>
    <w:rsid w:val="00851A24"/>
    <w:rsid w:val="00851A2B"/>
    <w:rsid w:val="00851A36"/>
    <w:rsid w:val="00851A49"/>
    <w:rsid w:val="00851D5F"/>
    <w:rsid w:val="008520E3"/>
    <w:rsid w:val="008520F7"/>
    <w:rsid w:val="0085246B"/>
    <w:rsid w:val="008525F3"/>
    <w:rsid w:val="00852613"/>
    <w:rsid w:val="00852692"/>
    <w:rsid w:val="008526B6"/>
    <w:rsid w:val="0085292F"/>
    <w:rsid w:val="00853056"/>
    <w:rsid w:val="008530D4"/>
    <w:rsid w:val="00853280"/>
    <w:rsid w:val="008532F7"/>
    <w:rsid w:val="0085340F"/>
    <w:rsid w:val="0085374A"/>
    <w:rsid w:val="0085380C"/>
    <w:rsid w:val="00853ACE"/>
    <w:rsid w:val="00853CD5"/>
    <w:rsid w:val="00853D3D"/>
    <w:rsid w:val="00853F3B"/>
    <w:rsid w:val="00854075"/>
    <w:rsid w:val="0085438D"/>
    <w:rsid w:val="0085474A"/>
    <w:rsid w:val="0085482A"/>
    <w:rsid w:val="0085486C"/>
    <w:rsid w:val="00854AA3"/>
    <w:rsid w:val="00854F50"/>
    <w:rsid w:val="0085507B"/>
    <w:rsid w:val="00855102"/>
    <w:rsid w:val="0085553A"/>
    <w:rsid w:val="00855829"/>
    <w:rsid w:val="00855834"/>
    <w:rsid w:val="00855E3F"/>
    <w:rsid w:val="00855EB6"/>
    <w:rsid w:val="00855FE7"/>
    <w:rsid w:val="00856046"/>
    <w:rsid w:val="008563AB"/>
    <w:rsid w:val="008564E1"/>
    <w:rsid w:val="008564E5"/>
    <w:rsid w:val="0085662D"/>
    <w:rsid w:val="00856693"/>
    <w:rsid w:val="0085672B"/>
    <w:rsid w:val="0085675A"/>
    <w:rsid w:val="00856821"/>
    <w:rsid w:val="00856B76"/>
    <w:rsid w:val="00856BAC"/>
    <w:rsid w:val="00856CE7"/>
    <w:rsid w:val="00856CF6"/>
    <w:rsid w:val="00856DEA"/>
    <w:rsid w:val="00856FDD"/>
    <w:rsid w:val="00857364"/>
    <w:rsid w:val="00857486"/>
    <w:rsid w:val="0085761E"/>
    <w:rsid w:val="0085763E"/>
    <w:rsid w:val="0085783D"/>
    <w:rsid w:val="00857903"/>
    <w:rsid w:val="0085795D"/>
    <w:rsid w:val="00857B2F"/>
    <w:rsid w:val="00857DDB"/>
    <w:rsid w:val="00857E03"/>
    <w:rsid w:val="00857E3F"/>
    <w:rsid w:val="0086020D"/>
    <w:rsid w:val="00860266"/>
    <w:rsid w:val="008602EB"/>
    <w:rsid w:val="00860582"/>
    <w:rsid w:val="008605AF"/>
    <w:rsid w:val="008607A4"/>
    <w:rsid w:val="008609AB"/>
    <w:rsid w:val="00860A1D"/>
    <w:rsid w:val="00860C60"/>
    <w:rsid w:val="00860DB5"/>
    <w:rsid w:val="00860EA9"/>
    <w:rsid w:val="008610FC"/>
    <w:rsid w:val="00861232"/>
    <w:rsid w:val="008617C4"/>
    <w:rsid w:val="008617D6"/>
    <w:rsid w:val="00861CD5"/>
    <w:rsid w:val="00861D69"/>
    <w:rsid w:val="00861E5E"/>
    <w:rsid w:val="00861EA8"/>
    <w:rsid w:val="00861FBF"/>
    <w:rsid w:val="00861FC7"/>
    <w:rsid w:val="008622E1"/>
    <w:rsid w:val="00862422"/>
    <w:rsid w:val="0086253B"/>
    <w:rsid w:val="0086267D"/>
    <w:rsid w:val="0086295E"/>
    <w:rsid w:val="00862FEE"/>
    <w:rsid w:val="00863196"/>
    <w:rsid w:val="00863381"/>
    <w:rsid w:val="008633FD"/>
    <w:rsid w:val="0086345A"/>
    <w:rsid w:val="008636B2"/>
    <w:rsid w:val="008636B9"/>
    <w:rsid w:val="0086376E"/>
    <w:rsid w:val="0086390B"/>
    <w:rsid w:val="00863939"/>
    <w:rsid w:val="00863B20"/>
    <w:rsid w:val="00863C10"/>
    <w:rsid w:val="00863CFA"/>
    <w:rsid w:val="00864317"/>
    <w:rsid w:val="0086439A"/>
    <w:rsid w:val="00864495"/>
    <w:rsid w:val="008649B0"/>
    <w:rsid w:val="00864ABB"/>
    <w:rsid w:val="00864CDA"/>
    <w:rsid w:val="00864D7C"/>
    <w:rsid w:val="00864F03"/>
    <w:rsid w:val="00865A45"/>
    <w:rsid w:val="00865B7C"/>
    <w:rsid w:val="00865BBB"/>
    <w:rsid w:val="00865F58"/>
    <w:rsid w:val="00866232"/>
    <w:rsid w:val="0086637B"/>
    <w:rsid w:val="0086657B"/>
    <w:rsid w:val="008667C7"/>
    <w:rsid w:val="00866D94"/>
    <w:rsid w:val="00866E21"/>
    <w:rsid w:val="00866E9A"/>
    <w:rsid w:val="00866ED0"/>
    <w:rsid w:val="00866FE1"/>
    <w:rsid w:val="00866FF6"/>
    <w:rsid w:val="008670DF"/>
    <w:rsid w:val="00867245"/>
    <w:rsid w:val="00867462"/>
    <w:rsid w:val="008674FA"/>
    <w:rsid w:val="00867BDD"/>
    <w:rsid w:val="00867EC6"/>
    <w:rsid w:val="0087003D"/>
    <w:rsid w:val="008705D8"/>
    <w:rsid w:val="00870861"/>
    <w:rsid w:val="00870C48"/>
    <w:rsid w:val="00870F0F"/>
    <w:rsid w:val="00870F7A"/>
    <w:rsid w:val="00871121"/>
    <w:rsid w:val="00871226"/>
    <w:rsid w:val="00871710"/>
    <w:rsid w:val="00871885"/>
    <w:rsid w:val="00871AAE"/>
    <w:rsid w:val="008723EE"/>
    <w:rsid w:val="00872437"/>
    <w:rsid w:val="00873377"/>
    <w:rsid w:val="0087363F"/>
    <w:rsid w:val="008737DF"/>
    <w:rsid w:val="008738A4"/>
    <w:rsid w:val="00873A97"/>
    <w:rsid w:val="00873AE7"/>
    <w:rsid w:val="00873D49"/>
    <w:rsid w:val="00873DAD"/>
    <w:rsid w:val="00873E33"/>
    <w:rsid w:val="00873FC2"/>
    <w:rsid w:val="00874255"/>
    <w:rsid w:val="00874309"/>
    <w:rsid w:val="0087498F"/>
    <w:rsid w:val="008749A5"/>
    <w:rsid w:val="00874C51"/>
    <w:rsid w:val="00874F35"/>
    <w:rsid w:val="008751DD"/>
    <w:rsid w:val="008752AD"/>
    <w:rsid w:val="0087554F"/>
    <w:rsid w:val="008759ED"/>
    <w:rsid w:val="00875AE4"/>
    <w:rsid w:val="00875C8A"/>
    <w:rsid w:val="00875D9A"/>
    <w:rsid w:val="00875EA7"/>
    <w:rsid w:val="00875F50"/>
    <w:rsid w:val="0087619D"/>
    <w:rsid w:val="00876646"/>
    <w:rsid w:val="008766CE"/>
    <w:rsid w:val="00876735"/>
    <w:rsid w:val="008768DF"/>
    <w:rsid w:val="00876906"/>
    <w:rsid w:val="00876AB4"/>
    <w:rsid w:val="00876AC5"/>
    <w:rsid w:val="00876B1C"/>
    <w:rsid w:val="00876B93"/>
    <w:rsid w:val="00876D0C"/>
    <w:rsid w:val="00876EA4"/>
    <w:rsid w:val="00876FD6"/>
    <w:rsid w:val="00877055"/>
    <w:rsid w:val="00877408"/>
    <w:rsid w:val="008775B5"/>
    <w:rsid w:val="00877808"/>
    <w:rsid w:val="00877959"/>
    <w:rsid w:val="00877B33"/>
    <w:rsid w:val="00880478"/>
    <w:rsid w:val="008804F9"/>
    <w:rsid w:val="008806A7"/>
    <w:rsid w:val="00880723"/>
    <w:rsid w:val="0088098F"/>
    <w:rsid w:val="00880A35"/>
    <w:rsid w:val="00880B69"/>
    <w:rsid w:val="0088101D"/>
    <w:rsid w:val="008811CB"/>
    <w:rsid w:val="008812A1"/>
    <w:rsid w:val="008812B4"/>
    <w:rsid w:val="008813BA"/>
    <w:rsid w:val="0088161B"/>
    <w:rsid w:val="00881659"/>
    <w:rsid w:val="00881779"/>
    <w:rsid w:val="00881C80"/>
    <w:rsid w:val="00881D32"/>
    <w:rsid w:val="00881E7F"/>
    <w:rsid w:val="00881EE2"/>
    <w:rsid w:val="00881F5D"/>
    <w:rsid w:val="00882029"/>
    <w:rsid w:val="00882050"/>
    <w:rsid w:val="008820DE"/>
    <w:rsid w:val="0088257B"/>
    <w:rsid w:val="00882A0E"/>
    <w:rsid w:val="00882B36"/>
    <w:rsid w:val="00882CB9"/>
    <w:rsid w:val="008831A3"/>
    <w:rsid w:val="008832FA"/>
    <w:rsid w:val="008835BB"/>
    <w:rsid w:val="0088386A"/>
    <w:rsid w:val="00883CAF"/>
    <w:rsid w:val="00883E6F"/>
    <w:rsid w:val="00883EA8"/>
    <w:rsid w:val="00883EEE"/>
    <w:rsid w:val="00883FC1"/>
    <w:rsid w:val="008841B5"/>
    <w:rsid w:val="0088423E"/>
    <w:rsid w:val="00884257"/>
    <w:rsid w:val="00884823"/>
    <w:rsid w:val="00884A59"/>
    <w:rsid w:val="00884C11"/>
    <w:rsid w:val="00884C22"/>
    <w:rsid w:val="00884E7A"/>
    <w:rsid w:val="00884FEF"/>
    <w:rsid w:val="008851BA"/>
    <w:rsid w:val="00885366"/>
    <w:rsid w:val="0088538A"/>
    <w:rsid w:val="0088552B"/>
    <w:rsid w:val="00885583"/>
    <w:rsid w:val="00885829"/>
    <w:rsid w:val="00885842"/>
    <w:rsid w:val="00885B2F"/>
    <w:rsid w:val="008860A6"/>
    <w:rsid w:val="0088612C"/>
    <w:rsid w:val="0088620F"/>
    <w:rsid w:val="00886358"/>
    <w:rsid w:val="00886A82"/>
    <w:rsid w:val="00886B47"/>
    <w:rsid w:val="00886BF5"/>
    <w:rsid w:val="00886D17"/>
    <w:rsid w:val="00886E3B"/>
    <w:rsid w:val="0088702D"/>
    <w:rsid w:val="00887161"/>
    <w:rsid w:val="0088729B"/>
    <w:rsid w:val="00887598"/>
    <w:rsid w:val="00887607"/>
    <w:rsid w:val="0088795B"/>
    <w:rsid w:val="00887A15"/>
    <w:rsid w:val="00887B55"/>
    <w:rsid w:val="00887C48"/>
    <w:rsid w:val="00887D04"/>
    <w:rsid w:val="00887D62"/>
    <w:rsid w:val="00890090"/>
    <w:rsid w:val="0089059F"/>
    <w:rsid w:val="008906B8"/>
    <w:rsid w:val="00890B94"/>
    <w:rsid w:val="00890D20"/>
    <w:rsid w:val="0089129A"/>
    <w:rsid w:val="0089132F"/>
    <w:rsid w:val="00891410"/>
    <w:rsid w:val="0089152A"/>
    <w:rsid w:val="0089153A"/>
    <w:rsid w:val="008916C7"/>
    <w:rsid w:val="00891763"/>
    <w:rsid w:val="008917F0"/>
    <w:rsid w:val="0089182B"/>
    <w:rsid w:val="00891B59"/>
    <w:rsid w:val="00891B78"/>
    <w:rsid w:val="00891B89"/>
    <w:rsid w:val="00891BA1"/>
    <w:rsid w:val="00891C7B"/>
    <w:rsid w:val="00891CC6"/>
    <w:rsid w:val="00891CDE"/>
    <w:rsid w:val="00891CE4"/>
    <w:rsid w:val="00891ECE"/>
    <w:rsid w:val="00892193"/>
    <w:rsid w:val="0089246A"/>
    <w:rsid w:val="00892679"/>
    <w:rsid w:val="008926DD"/>
    <w:rsid w:val="00892837"/>
    <w:rsid w:val="00892999"/>
    <w:rsid w:val="00892B38"/>
    <w:rsid w:val="00892B47"/>
    <w:rsid w:val="00892C88"/>
    <w:rsid w:val="00892D9E"/>
    <w:rsid w:val="00892E76"/>
    <w:rsid w:val="00892FCA"/>
    <w:rsid w:val="00893000"/>
    <w:rsid w:val="00893120"/>
    <w:rsid w:val="0089317A"/>
    <w:rsid w:val="00893365"/>
    <w:rsid w:val="00893515"/>
    <w:rsid w:val="008936F0"/>
    <w:rsid w:val="00893767"/>
    <w:rsid w:val="00893D41"/>
    <w:rsid w:val="00893DD6"/>
    <w:rsid w:val="00893EEB"/>
    <w:rsid w:val="00893EF7"/>
    <w:rsid w:val="0089414D"/>
    <w:rsid w:val="00894457"/>
    <w:rsid w:val="008947CE"/>
    <w:rsid w:val="00894D03"/>
    <w:rsid w:val="00894E38"/>
    <w:rsid w:val="00894FE6"/>
    <w:rsid w:val="00895118"/>
    <w:rsid w:val="00895363"/>
    <w:rsid w:val="008955E8"/>
    <w:rsid w:val="0089566A"/>
    <w:rsid w:val="008956AB"/>
    <w:rsid w:val="00895871"/>
    <w:rsid w:val="00895931"/>
    <w:rsid w:val="00895A23"/>
    <w:rsid w:val="00895B4A"/>
    <w:rsid w:val="00895B58"/>
    <w:rsid w:val="00895FEF"/>
    <w:rsid w:val="0089622B"/>
    <w:rsid w:val="0089665C"/>
    <w:rsid w:val="00896907"/>
    <w:rsid w:val="00896BA5"/>
    <w:rsid w:val="00896BEB"/>
    <w:rsid w:val="00896EE4"/>
    <w:rsid w:val="00896FFD"/>
    <w:rsid w:val="008973EE"/>
    <w:rsid w:val="00897558"/>
    <w:rsid w:val="008977B5"/>
    <w:rsid w:val="008977DE"/>
    <w:rsid w:val="00897BAB"/>
    <w:rsid w:val="00897DE3"/>
    <w:rsid w:val="00897E40"/>
    <w:rsid w:val="008A0024"/>
    <w:rsid w:val="008A01CB"/>
    <w:rsid w:val="008A0434"/>
    <w:rsid w:val="008A0482"/>
    <w:rsid w:val="008A051B"/>
    <w:rsid w:val="008A0646"/>
    <w:rsid w:val="008A0887"/>
    <w:rsid w:val="008A0B7D"/>
    <w:rsid w:val="008A0D7D"/>
    <w:rsid w:val="008A0E04"/>
    <w:rsid w:val="008A0EDC"/>
    <w:rsid w:val="008A12F9"/>
    <w:rsid w:val="008A1476"/>
    <w:rsid w:val="008A14B0"/>
    <w:rsid w:val="008A14CD"/>
    <w:rsid w:val="008A1650"/>
    <w:rsid w:val="008A17F1"/>
    <w:rsid w:val="008A1902"/>
    <w:rsid w:val="008A1BE4"/>
    <w:rsid w:val="008A2119"/>
    <w:rsid w:val="008A21AB"/>
    <w:rsid w:val="008A2207"/>
    <w:rsid w:val="008A2374"/>
    <w:rsid w:val="008A23F7"/>
    <w:rsid w:val="008A2411"/>
    <w:rsid w:val="008A2476"/>
    <w:rsid w:val="008A24C3"/>
    <w:rsid w:val="008A2779"/>
    <w:rsid w:val="008A27AB"/>
    <w:rsid w:val="008A2945"/>
    <w:rsid w:val="008A2ADF"/>
    <w:rsid w:val="008A2EDD"/>
    <w:rsid w:val="008A30F1"/>
    <w:rsid w:val="008A3100"/>
    <w:rsid w:val="008A330C"/>
    <w:rsid w:val="008A335E"/>
    <w:rsid w:val="008A373C"/>
    <w:rsid w:val="008A3B46"/>
    <w:rsid w:val="008A3B78"/>
    <w:rsid w:val="008A3BCC"/>
    <w:rsid w:val="008A3BDF"/>
    <w:rsid w:val="008A3D8C"/>
    <w:rsid w:val="008A3F43"/>
    <w:rsid w:val="008A41D4"/>
    <w:rsid w:val="008A45CE"/>
    <w:rsid w:val="008A4739"/>
    <w:rsid w:val="008A483A"/>
    <w:rsid w:val="008A4ABB"/>
    <w:rsid w:val="008A4C9E"/>
    <w:rsid w:val="008A4DB6"/>
    <w:rsid w:val="008A503A"/>
    <w:rsid w:val="008A5220"/>
    <w:rsid w:val="008A522B"/>
    <w:rsid w:val="008A5519"/>
    <w:rsid w:val="008A5620"/>
    <w:rsid w:val="008A563B"/>
    <w:rsid w:val="008A5642"/>
    <w:rsid w:val="008A5DB1"/>
    <w:rsid w:val="008A5F47"/>
    <w:rsid w:val="008A6122"/>
    <w:rsid w:val="008A633A"/>
    <w:rsid w:val="008A636F"/>
    <w:rsid w:val="008A648E"/>
    <w:rsid w:val="008A666B"/>
    <w:rsid w:val="008A6808"/>
    <w:rsid w:val="008A6816"/>
    <w:rsid w:val="008A6896"/>
    <w:rsid w:val="008A68C7"/>
    <w:rsid w:val="008A6C39"/>
    <w:rsid w:val="008A6D1C"/>
    <w:rsid w:val="008A6F19"/>
    <w:rsid w:val="008A7033"/>
    <w:rsid w:val="008A705F"/>
    <w:rsid w:val="008A71A2"/>
    <w:rsid w:val="008A73B9"/>
    <w:rsid w:val="008A74A8"/>
    <w:rsid w:val="008A7628"/>
    <w:rsid w:val="008A774B"/>
    <w:rsid w:val="008A789D"/>
    <w:rsid w:val="008A7D58"/>
    <w:rsid w:val="008A7EA0"/>
    <w:rsid w:val="008A7F29"/>
    <w:rsid w:val="008B0139"/>
    <w:rsid w:val="008B0187"/>
    <w:rsid w:val="008B01A0"/>
    <w:rsid w:val="008B0208"/>
    <w:rsid w:val="008B02A0"/>
    <w:rsid w:val="008B039D"/>
    <w:rsid w:val="008B089D"/>
    <w:rsid w:val="008B0A86"/>
    <w:rsid w:val="008B11D5"/>
    <w:rsid w:val="008B1904"/>
    <w:rsid w:val="008B1946"/>
    <w:rsid w:val="008B1961"/>
    <w:rsid w:val="008B1AAE"/>
    <w:rsid w:val="008B1B35"/>
    <w:rsid w:val="008B1BD9"/>
    <w:rsid w:val="008B1BE7"/>
    <w:rsid w:val="008B1DBD"/>
    <w:rsid w:val="008B1F4D"/>
    <w:rsid w:val="008B248E"/>
    <w:rsid w:val="008B24AA"/>
    <w:rsid w:val="008B251B"/>
    <w:rsid w:val="008B2571"/>
    <w:rsid w:val="008B26DF"/>
    <w:rsid w:val="008B2CDE"/>
    <w:rsid w:val="008B2D0D"/>
    <w:rsid w:val="008B2DD3"/>
    <w:rsid w:val="008B2E84"/>
    <w:rsid w:val="008B2EFD"/>
    <w:rsid w:val="008B301C"/>
    <w:rsid w:val="008B30BA"/>
    <w:rsid w:val="008B3191"/>
    <w:rsid w:val="008B3398"/>
    <w:rsid w:val="008B3613"/>
    <w:rsid w:val="008B36F5"/>
    <w:rsid w:val="008B3A19"/>
    <w:rsid w:val="008B3B5D"/>
    <w:rsid w:val="008B3FFE"/>
    <w:rsid w:val="008B40BE"/>
    <w:rsid w:val="008B4189"/>
    <w:rsid w:val="008B45BF"/>
    <w:rsid w:val="008B4622"/>
    <w:rsid w:val="008B4771"/>
    <w:rsid w:val="008B4ACB"/>
    <w:rsid w:val="008B4D74"/>
    <w:rsid w:val="008B4DF3"/>
    <w:rsid w:val="008B4F19"/>
    <w:rsid w:val="008B5055"/>
    <w:rsid w:val="008B5121"/>
    <w:rsid w:val="008B521A"/>
    <w:rsid w:val="008B546D"/>
    <w:rsid w:val="008B551C"/>
    <w:rsid w:val="008B5726"/>
    <w:rsid w:val="008B5A01"/>
    <w:rsid w:val="008B5FE2"/>
    <w:rsid w:val="008B6914"/>
    <w:rsid w:val="008B6B8E"/>
    <w:rsid w:val="008B6E40"/>
    <w:rsid w:val="008B6E98"/>
    <w:rsid w:val="008B6F6C"/>
    <w:rsid w:val="008B705D"/>
    <w:rsid w:val="008B724B"/>
    <w:rsid w:val="008B7273"/>
    <w:rsid w:val="008B728F"/>
    <w:rsid w:val="008B7357"/>
    <w:rsid w:val="008B73FD"/>
    <w:rsid w:val="008B7545"/>
    <w:rsid w:val="008B755D"/>
    <w:rsid w:val="008B76C6"/>
    <w:rsid w:val="008B7B13"/>
    <w:rsid w:val="008B7E6C"/>
    <w:rsid w:val="008C0601"/>
    <w:rsid w:val="008C0842"/>
    <w:rsid w:val="008C0AD7"/>
    <w:rsid w:val="008C0D6F"/>
    <w:rsid w:val="008C10AA"/>
    <w:rsid w:val="008C1154"/>
    <w:rsid w:val="008C13AA"/>
    <w:rsid w:val="008C13CE"/>
    <w:rsid w:val="008C14FC"/>
    <w:rsid w:val="008C179C"/>
    <w:rsid w:val="008C1A57"/>
    <w:rsid w:val="008C1BA6"/>
    <w:rsid w:val="008C1D71"/>
    <w:rsid w:val="008C212C"/>
    <w:rsid w:val="008C2456"/>
    <w:rsid w:val="008C2508"/>
    <w:rsid w:val="008C2528"/>
    <w:rsid w:val="008C2568"/>
    <w:rsid w:val="008C2632"/>
    <w:rsid w:val="008C266E"/>
    <w:rsid w:val="008C26B0"/>
    <w:rsid w:val="008C26F3"/>
    <w:rsid w:val="008C2A0C"/>
    <w:rsid w:val="008C2A54"/>
    <w:rsid w:val="008C2CA5"/>
    <w:rsid w:val="008C2E4B"/>
    <w:rsid w:val="008C3108"/>
    <w:rsid w:val="008C3202"/>
    <w:rsid w:val="008C343D"/>
    <w:rsid w:val="008C34EF"/>
    <w:rsid w:val="008C3583"/>
    <w:rsid w:val="008C3722"/>
    <w:rsid w:val="008C37E7"/>
    <w:rsid w:val="008C380E"/>
    <w:rsid w:val="008C3AF8"/>
    <w:rsid w:val="008C3B6C"/>
    <w:rsid w:val="008C3C33"/>
    <w:rsid w:val="008C3DE2"/>
    <w:rsid w:val="008C3E09"/>
    <w:rsid w:val="008C3E88"/>
    <w:rsid w:val="008C4201"/>
    <w:rsid w:val="008C434B"/>
    <w:rsid w:val="008C442D"/>
    <w:rsid w:val="008C454E"/>
    <w:rsid w:val="008C4550"/>
    <w:rsid w:val="008C464E"/>
    <w:rsid w:val="008C46BD"/>
    <w:rsid w:val="008C470C"/>
    <w:rsid w:val="008C48C7"/>
    <w:rsid w:val="008C4BE7"/>
    <w:rsid w:val="008C4BEA"/>
    <w:rsid w:val="008C4F60"/>
    <w:rsid w:val="008C4FFB"/>
    <w:rsid w:val="008C50CF"/>
    <w:rsid w:val="008C521B"/>
    <w:rsid w:val="008C5278"/>
    <w:rsid w:val="008C528B"/>
    <w:rsid w:val="008C53A1"/>
    <w:rsid w:val="008C540F"/>
    <w:rsid w:val="008C5529"/>
    <w:rsid w:val="008C55CD"/>
    <w:rsid w:val="008C5687"/>
    <w:rsid w:val="008C5725"/>
    <w:rsid w:val="008C5733"/>
    <w:rsid w:val="008C5870"/>
    <w:rsid w:val="008C596E"/>
    <w:rsid w:val="008C5A1F"/>
    <w:rsid w:val="008C5A5F"/>
    <w:rsid w:val="008C5F06"/>
    <w:rsid w:val="008C5FEB"/>
    <w:rsid w:val="008C60A9"/>
    <w:rsid w:val="008C62BE"/>
    <w:rsid w:val="008C6323"/>
    <w:rsid w:val="008C6417"/>
    <w:rsid w:val="008C64F1"/>
    <w:rsid w:val="008C654A"/>
    <w:rsid w:val="008C6A48"/>
    <w:rsid w:val="008C6D3C"/>
    <w:rsid w:val="008C6EB1"/>
    <w:rsid w:val="008C714E"/>
    <w:rsid w:val="008C7168"/>
    <w:rsid w:val="008C729F"/>
    <w:rsid w:val="008C7515"/>
    <w:rsid w:val="008C7696"/>
    <w:rsid w:val="008C7D5D"/>
    <w:rsid w:val="008C7DE2"/>
    <w:rsid w:val="008C7DE6"/>
    <w:rsid w:val="008C7E24"/>
    <w:rsid w:val="008C7E60"/>
    <w:rsid w:val="008C7F48"/>
    <w:rsid w:val="008C7FFE"/>
    <w:rsid w:val="008D0464"/>
    <w:rsid w:val="008D0901"/>
    <w:rsid w:val="008D0A16"/>
    <w:rsid w:val="008D0DC1"/>
    <w:rsid w:val="008D1168"/>
    <w:rsid w:val="008D1217"/>
    <w:rsid w:val="008D14FF"/>
    <w:rsid w:val="008D1506"/>
    <w:rsid w:val="008D199E"/>
    <w:rsid w:val="008D1A66"/>
    <w:rsid w:val="008D1A97"/>
    <w:rsid w:val="008D1C10"/>
    <w:rsid w:val="008D1E5F"/>
    <w:rsid w:val="008D1F3C"/>
    <w:rsid w:val="008D2433"/>
    <w:rsid w:val="008D243F"/>
    <w:rsid w:val="008D2890"/>
    <w:rsid w:val="008D2A06"/>
    <w:rsid w:val="008D2CED"/>
    <w:rsid w:val="008D2D1F"/>
    <w:rsid w:val="008D2D39"/>
    <w:rsid w:val="008D2FBC"/>
    <w:rsid w:val="008D324E"/>
    <w:rsid w:val="008D3371"/>
    <w:rsid w:val="008D3605"/>
    <w:rsid w:val="008D3642"/>
    <w:rsid w:val="008D383F"/>
    <w:rsid w:val="008D3AD2"/>
    <w:rsid w:val="008D3B74"/>
    <w:rsid w:val="008D3BE6"/>
    <w:rsid w:val="008D3DA1"/>
    <w:rsid w:val="008D3E9F"/>
    <w:rsid w:val="008D4199"/>
    <w:rsid w:val="008D431E"/>
    <w:rsid w:val="008D43D0"/>
    <w:rsid w:val="008D4503"/>
    <w:rsid w:val="008D4CA5"/>
    <w:rsid w:val="008D4DDE"/>
    <w:rsid w:val="008D4F2B"/>
    <w:rsid w:val="008D50AC"/>
    <w:rsid w:val="008D5275"/>
    <w:rsid w:val="008D5324"/>
    <w:rsid w:val="008D53C2"/>
    <w:rsid w:val="008D55BE"/>
    <w:rsid w:val="008D5603"/>
    <w:rsid w:val="008D5663"/>
    <w:rsid w:val="008D59A8"/>
    <w:rsid w:val="008D5AEC"/>
    <w:rsid w:val="008D5B4A"/>
    <w:rsid w:val="008D5CCF"/>
    <w:rsid w:val="008D5F9A"/>
    <w:rsid w:val="008D5FFD"/>
    <w:rsid w:val="008D66A7"/>
    <w:rsid w:val="008D6A92"/>
    <w:rsid w:val="008D6B45"/>
    <w:rsid w:val="008D7031"/>
    <w:rsid w:val="008D718A"/>
    <w:rsid w:val="008D727F"/>
    <w:rsid w:val="008D732E"/>
    <w:rsid w:val="008D7335"/>
    <w:rsid w:val="008D7387"/>
    <w:rsid w:val="008D73B5"/>
    <w:rsid w:val="008D74E5"/>
    <w:rsid w:val="008D7655"/>
    <w:rsid w:val="008D7695"/>
    <w:rsid w:val="008D78A6"/>
    <w:rsid w:val="008D7B44"/>
    <w:rsid w:val="008D7C34"/>
    <w:rsid w:val="008D7CAA"/>
    <w:rsid w:val="008D7F7C"/>
    <w:rsid w:val="008E00C7"/>
    <w:rsid w:val="008E04AA"/>
    <w:rsid w:val="008E04D6"/>
    <w:rsid w:val="008E0521"/>
    <w:rsid w:val="008E08C6"/>
    <w:rsid w:val="008E0AC8"/>
    <w:rsid w:val="008E0BB6"/>
    <w:rsid w:val="008E0D98"/>
    <w:rsid w:val="008E10AA"/>
    <w:rsid w:val="008E10BE"/>
    <w:rsid w:val="008E1274"/>
    <w:rsid w:val="008E12A8"/>
    <w:rsid w:val="008E151B"/>
    <w:rsid w:val="008E1788"/>
    <w:rsid w:val="008E17AA"/>
    <w:rsid w:val="008E17D8"/>
    <w:rsid w:val="008E19A3"/>
    <w:rsid w:val="008E1A26"/>
    <w:rsid w:val="008E1C07"/>
    <w:rsid w:val="008E1E44"/>
    <w:rsid w:val="008E1E59"/>
    <w:rsid w:val="008E25B3"/>
    <w:rsid w:val="008E2870"/>
    <w:rsid w:val="008E2892"/>
    <w:rsid w:val="008E2990"/>
    <w:rsid w:val="008E29BA"/>
    <w:rsid w:val="008E2C15"/>
    <w:rsid w:val="008E2DAA"/>
    <w:rsid w:val="008E2DCD"/>
    <w:rsid w:val="008E2E6E"/>
    <w:rsid w:val="008E32E2"/>
    <w:rsid w:val="008E3488"/>
    <w:rsid w:val="008E3511"/>
    <w:rsid w:val="008E3646"/>
    <w:rsid w:val="008E3652"/>
    <w:rsid w:val="008E3810"/>
    <w:rsid w:val="008E3D39"/>
    <w:rsid w:val="008E3EED"/>
    <w:rsid w:val="008E3F29"/>
    <w:rsid w:val="008E404E"/>
    <w:rsid w:val="008E4109"/>
    <w:rsid w:val="008E4819"/>
    <w:rsid w:val="008E48A8"/>
    <w:rsid w:val="008E4C9B"/>
    <w:rsid w:val="008E4E19"/>
    <w:rsid w:val="008E4E89"/>
    <w:rsid w:val="008E50DB"/>
    <w:rsid w:val="008E5179"/>
    <w:rsid w:val="008E51E8"/>
    <w:rsid w:val="008E51F3"/>
    <w:rsid w:val="008E52BB"/>
    <w:rsid w:val="008E5506"/>
    <w:rsid w:val="008E560B"/>
    <w:rsid w:val="008E56E4"/>
    <w:rsid w:val="008E5D77"/>
    <w:rsid w:val="008E6789"/>
    <w:rsid w:val="008E6882"/>
    <w:rsid w:val="008E694A"/>
    <w:rsid w:val="008E699E"/>
    <w:rsid w:val="008E6C2B"/>
    <w:rsid w:val="008E6C45"/>
    <w:rsid w:val="008E7186"/>
    <w:rsid w:val="008E73D4"/>
    <w:rsid w:val="008E73F1"/>
    <w:rsid w:val="008E744E"/>
    <w:rsid w:val="008E7A08"/>
    <w:rsid w:val="008E7AC4"/>
    <w:rsid w:val="008E7DD1"/>
    <w:rsid w:val="008E7EED"/>
    <w:rsid w:val="008E7FA9"/>
    <w:rsid w:val="008F0464"/>
    <w:rsid w:val="008F046B"/>
    <w:rsid w:val="008F05F9"/>
    <w:rsid w:val="008F0AA0"/>
    <w:rsid w:val="008F0CA0"/>
    <w:rsid w:val="008F0E7E"/>
    <w:rsid w:val="008F0F97"/>
    <w:rsid w:val="008F11D6"/>
    <w:rsid w:val="008F139A"/>
    <w:rsid w:val="008F13DE"/>
    <w:rsid w:val="008F15E3"/>
    <w:rsid w:val="008F163A"/>
    <w:rsid w:val="008F1661"/>
    <w:rsid w:val="008F1674"/>
    <w:rsid w:val="008F1782"/>
    <w:rsid w:val="008F1A21"/>
    <w:rsid w:val="008F1BDA"/>
    <w:rsid w:val="008F1E9B"/>
    <w:rsid w:val="008F21C0"/>
    <w:rsid w:val="008F2369"/>
    <w:rsid w:val="008F241E"/>
    <w:rsid w:val="008F2483"/>
    <w:rsid w:val="008F24CF"/>
    <w:rsid w:val="008F26BE"/>
    <w:rsid w:val="008F276E"/>
    <w:rsid w:val="008F286A"/>
    <w:rsid w:val="008F2A2D"/>
    <w:rsid w:val="008F2AE5"/>
    <w:rsid w:val="008F2D17"/>
    <w:rsid w:val="008F2E3C"/>
    <w:rsid w:val="008F2EFD"/>
    <w:rsid w:val="008F3331"/>
    <w:rsid w:val="008F3808"/>
    <w:rsid w:val="008F3853"/>
    <w:rsid w:val="008F3AA1"/>
    <w:rsid w:val="008F3AC7"/>
    <w:rsid w:val="008F3B3E"/>
    <w:rsid w:val="008F3DD5"/>
    <w:rsid w:val="008F3FBF"/>
    <w:rsid w:val="008F46B0"/>
    <w:rsid w:val="008F472D"/>
    <w:rsid w:val="008F4842"/>
    <w:rsid w:val="008F4E01"/>
    <w:rsid w:val="008F5118"/>
    <w:rsid w:val="008F51EA"/>
    <w:rsid w:val="008F52CC"/>
    <w:rsid w:val="008F590F"/>
    <w:rsid w:val="008F5AA5"/>
    <w:rsid w:val="008F5C2C"/>
    <w:rsid w:val="008F5C58"/>
    <w:rsid w:val="008F5D00"/>
    <w:rsid w:val="008F5FE8"/>
    <w:rsid w:val="008F600E"/>
    <w:rsid w:val="008F61E7"/>
    <w:rsid w:val="008F6388"/>
    <w:rsid w:val="008F651C"/>
    <w:rsid w:val="008F6733"/>
    <w:rsid w:val="008F68FD"/>
    <w:rsid w:val="008F6A51"/>
    <w:rsid w:val="008F6B70"/>
    <w:rsid w:val="008F6D3A"/>
    <w:rsid w:val="008F6E53"/>
    <w:rsid w:val="008F6FB4"/>
    <w:rsid w:val="008F702D"/>
    <w:rsid w:val="008F7448"/>
    <w:rsid w:val="008F75B8"/>
    <w:rsid w:val="008F7764"/>
    <w:rsid w:val="008F7784"/>
    <w:rsid w:val="008F779A"/>
    <w:rsid w:val="008F78E1"/>
    <w:rsid w:val="008F7B27"/>
    <w:rsid w:val="008F7B76"/>
    <w:rsid w:val="008F7BD2"/>
    <w:rsid w:val="008F7D62"/>
    <w:rsid w:val="0090015F"/>
    <w:rsid w:val="0090018E"/>
    <w:rsid w:val="00900209"/>
    <w:rsid w:val="0090031F"/>
    <w:rsid w:val="009003A4"/>
    <w:rsid w:val="009003B5"/>
    <w:rsid w:val="009005C4"/>
    <w:rsid w:val="00900618"/>
    <w:rsid w:val="009006EF"/>
    <w:rsid w:val="00900C08"/>
    <w:rsid w:val="00900D16"/>
    <w:rsid w:val="00900EBD"/>
    <w:rsid w:val="009010C6"/>
    <w:rsid w:val="009012E9"/>
    <w:rsid w:val="00901302"/>
    <w:rsid w:val="00901410"/>
    <w:rsid w:val="00901458"/>
    <w:rsid w:val="0090156B"/>
    <w:rsid w:val="0090190E"/>
    <w:rsid w:val="00901955"/>
    <w:rsid w:val="0090198D"/>
    <w:rsid w:val="00901BA9"/>
    <w:rsid w:val="00901BB3"/>
    <w:rsid w:val="00901C44"/>
    <w:rsid w:val="00901D6F"/>
    <w:rsid w:val="00901E7B"/>
    <w:rsid w:val="00901ECB"/>
    <w:rsid w:val="00902478"/>
    <w:rsid w:val="00902677"/>
    <w:rsid w:val="009029F3"/>
    <w:rsid w:val="00902C70"/>
    <w:rsid w:val="00902E86"/>
    <w:rsid w:val="00902EBA"/>
    <w:rsid w:val="00902F32"/>
    <w:rsid w:val="009032CD"/>
    <w:rsid w:val="009034BD"/>
    <w:rsid w:val="009035DB"/>
    <w:rsid w:val="0090377A"/>
    <w:rsid w:val="009037A3"/>
    <w:rsid w:val="00903A44"/>
    <w:rsid w:val="00903B0A"/>
    <w:rsid w:val="00903CE1"/>
    <w:rsid w:val="00903D73"/>
    <w:rsid w:val="00903FBA"/>
    <w:rsid w:val="009041B8"/>
    <w:rsid w:val="00904329"/>
    <w:rsid w:val="009044EA"/>
    <w:rsid w:val="009047C3"/>
    <w:rsid w:val="009048B7"/>
    <w:rsid w:val="00904910"/>
    <w:rsid w:val="009049B4"/>
    <w:rsid w:val="00904F65"/>
    <w:rsid w:val="00905199"/>
    <w:rsid w:val="0090523F"/>
    <w:rsid w:val="0090539F"/>
    <w:rsid w:val="00905641"/>
    <w:rsid w:val="009056C8"/>
    <w:rsid w:val="009056D2"/>
    <w:rsid w:val="0090584D"/>
    <w:rsid w:val="009058AC"/>
    <w:rsid w:val="00905A51"/>
    <w:rsid w:val="00905B70"/>
    <w:rsid w:val="00905D82"/>
    <w:rsid w:val="00905E87"/>
    <w:rsid w:val="00905E91"/>
    <w:rsid w:val="00905FA2"/>
    <w:rsid w:val="00906032"/>
    <w:rsid w:val="009060CB"/>
    <w:rsid w:val="0090624A"/>
    <w:rsid w:val="00906BFD"/>
    <w:rsid w:val="00906CF0"/>
    <w:rsid w:val="00906ED2"/>
    <w:rsid w:val="00906EE0"/>
    <w:rsid w:val="009075B3"/>
    <w:rsid w:val="00907A8E"/>
    <w:rsid w:val="00907CC8"/>
    <w:rsid w:val="00907D72"/>
    <w:rsid w:val="00907E2B"/>
    <w:rsid w:val="00907F4D"/>
    <w:rsid w:val="009100D3"/>
    <w:rsid w:val="0091050E"/>
    <w:rsid w:val="009107A2"/>
    <w:rsid w:val="00910A85"/>
    <w:rsid w:val="00910BE4"/>
    <w:rsid w:val="00910CCC"/>
    <w:rsid w:val="00910CF5"/>
    <w:rsid w:val="00910D38"/>
    <w:rsid w:val="00910EF4"/>
    <w:rsid w:val="00910F49"/>
    <w:rsid w:val="0091114A"/>
    <w:rsid w:val="0091143C"/>
    <w:rsid w:val="00911772"/>
    <w:rsid w:val="009118AE"/>
    <w:rsid w:val="00911FC2"/>
    <w:rsid w:val="009121EF"/>
    <w:rsid w:val="0091220C"/>
    <w:rsid w:val="009122B7"/>
    <w:rsid w:val="009123BB"/>
    <w:rsid w:val="0091257C"/>
    <w:rsid w:val="0091266B"/>
    <w:rsid w:val="00912B91"/>
    <w:rsid w:val="00912E5A"/>
    <w:rsid w:val="009130E7"/>
    <w:rsid w:val="00913184"/>
    <w:rsid w:val="00913353"/>
    <w:rsid w:val="00913570"/>
    <w:rsid w:val="0091363E"/>
    <w:rsid w:val="00913679"/>
    <w:rsid w:val="00913766"/>
    <w:rsid w:val="00913CD0"/>
    <w:rsid w:val="00913D37"/>
    <w:rsid w:val="00913E48"/>
    <w:rsid w:val="009141B1"/>
    <w:rsid w:val="009145A3"/>
    <w:rsid w:val="00914753"/>
    <w:rsid w:val="009149D5"/>
    <w:rsid w:val="00914A53"/>
    <w:rsid w:val="00914A57"/>
    <w:rsid w:val="00914B80"/>
    <w:rsid w:val="00914C4D"/>
    <w:rsid w:val="009152CD"/>
    <w:rsid w:val="0091594B"/>
    <w:rsid w:val="00915A21"/>
    <w:rsid w:val="00915C2A"/>
    <w:rsid w:val="00915E05"/>
    <w:rsid w:val="00915E48"/>
    <w:rsid w:val="009160B1"/>
    <w:rsid w:val="009163D2"/>
    <w:rsid w:val="00916604"/>
    <w:rsid w:val="00916633"/>
    <w:rsid w:val="00916815"/>
    <w:rsid w:val="009169DA"/>
    <w:rsid w:val="00916A2E"/>
    <w:rsid w:val="00916AE7"/>
    <w:rsid w:val="00916BC6"/>
    <w:rsid w:val="00916BF0"/>
    <w:rsid w:val="00916EF4"/>
    <w:rsid w:val="00917341"/>
    <w:rsid w:val="0091757F"/>
    <w:rsid w:val="00917581"/>
    <w:rsid w:val="00917614"/>
    <w:rsid w:val="00917BA0"/>
    <w:rsid w:val="00917BD0"/>
    <w:rsid w:val="00917D56"/>
    <w:rsid w:val="00917F1C"/>
    <w:rsid w:val="00917FC4"/>
    <w:rsid w:val="0092059D"/>
    <w:rsid w:val="009207A6"/>
    <w:rsid w:val="0092099B"/>
    <w:rsid w:val="009209B8"/>
    <w:rsid w:val="00920B8D"/>
    <w:rsid w:val="00920C43"/>
    <w:rsid w:val="00921067"/>
    <w:rsid w:val="009210CE"/>
    <w:rsid w:val="009214DD"/>
    <w:rsid w:val="00921534"/>
    <w:rsid w:val="009215B8"/>
    <w:rsid w:val="00921764"/>
    <w:rsid w:val="00921871"/>
    <w:rsid w:val="00921E62"/>
    <w:rsid w:val="00921F46"/>
    <w:rsid w:val="009220A5"/>
    <w:rsid w:val="009220F5"/>
    <w:rsid w:val="00922117"/>
    <w:rsid w:val="00922149"/>
    <w:rsid w:val="0092247C"/>
    <w:rsid w:val="009224A9"/>
    <w:rsid w:val="00922721"/>
    <w:rsid w:val="00922CE3"/>
    <w:rsid w:val="00922DFC"/>
    <w:rsid w:val="00922ED3"/>
    <w:rsid w:val="00923044"/>
    <w:rsid w:val="009230BA"/>
    <w:rsid w:val="009230C1"/>
    <w:rsid w:val="009231A4"/>
    <w:rsid w:val="009235D4"/>
    <w:rsid w:val="0092375D"/>
    <w:rsid w:val="009238D9"/>
    <w:rsid w:val="00923D2A"/>
    <w:rsid w:val="00923D5D"/>
    <w:rsid w:val="00923E51"/>
    <w:rsid w:val="00923E65"/>
    <w:rsid w:val="009242B0"/>
    <w:rsid w:val="00924426"/>
    <w:rsid w:val="0092453B"/>
    <w:rsid w:val="00924742"/>
    <w:rsid w:val="00924824"/>
    <w:rsid w:val="00924B2E"/>
    <w:rsid w:val="00924D74"/>
    <w:rsid w:val="00924FC8"/>
    <w:rsid w:val="0092531C"/>
    <w:rsid w:val="0092542C"/>
    <w:rsid w:val="0092557A"/>
    <w:rsid w:val="0092557B"/>
    <w:rsid w:val="00925873"/>
    <w:rsid w:val="00925C8C"/>
    <w:rsid w:val="00925D8D"/>
    <w:rsid w:val="0092614C"/>
    <w:rsid w:val="0092616A"/>
    <w:rsid w:val="009263BA"/>
    <w:rsid w:val="009263F7"/>
    <w:rsid w:val="0092658C"/>
    <w:rsid w:val="009265A8"/>
    <w:rsid w:val="009266B2"/>
    <w:rsid w:val="0092678D"/>
    <w:rsid w:val="009267B0"/>
    <w:rsid w:val="009269A5"/>
    <w:rsid w:val="00926A07"/>
    <w:rsid w:val="00926CCE"/>
    <w:rsid w:val="00926F22"/>
    <w:rsid w:val="00927087"/>
    <w:rsid w:val="0092712E"/>
    <w:rsid w:val="009273D1"/>
    <w:rsid w:val="0092761B"/>
    <w:rsid w:val="00927638"/>
    <w:rsid w:val="00927754"/>
    <w:rsid w:val="00927875"/>
    <w:rsid w:val="0092794E"/>
    <w:rsid w:val="00927C52"/>
    <w:rsid w:val="00927F70"/>
    <w:rsid w:val="00927F84"/>
    <w:rsid w:val="009300A9"/>
    <w:rsid w:val="00930254"/>
    <w:rsid w:val="00930471"/>
    <w:rsid w:val="00930550"/>
    <w:rsid w:val="009309A3"/>
    <w:rsid w:val="00930D87"/>
    <w:rsid w:val="00931060"/>
    <w:rsid w:val="009315F7"/>
    <w:rsid w:val="009317E2"/>
    <w:rsid w:val="0093183A"/>
    <w:rsid w:val="0093190C"/>
    <w:rsid w:val="00931A6E"/>
    <w:rsid w:val="00931B6C"/>
    <w:rsid w:val="00931E41"/>
    <w:rsid w:val="00931E9A"/>
    <w:rsid w:val="00931FCB"/>
    <w:rsid w:val="00932168"/>
    <w:rsid w:val="009324D8"/>
    <w:rsid w:val="0093250D"/>
    <w:rsid w:val="009325E3"/>
    <w:rsid w:val="00932643"/>
    <w:rsid w:val="0093284C"/>
    <w:rsid w:val="00932954"/>
    <w:rsid w:val="00932B33"/>
    <w:rsid w:val="00932B5A"/>
    <w:rsid w:val="00932C0A"/>
    <w:rsid w:val="00932C3E"/>
    <w:rsid w:val="00932EA7"/>
    <w:rsid w:val="00932EBB"/>
    <w:rsid w:val="00932FBF"/>
    <w:rsid w:val="00932FCE"/>
    <w:rsid w:val="00933253"/>
    <w:rsid w:val="009334E4"/>
    <w:rsid w:val="00933807"/>
    <w:rsid w:val="009339FD"/>
    <w:rsid w:val="00933A8C"/>
    <w:rsid w:val="00933B51"/>
    <w:rsid w:val="00933D2C"/>
    <w:rsid w:val="00934289"/>
    <w:rsid w:val="00934337"/>
    <w:rsid w:val="0093437B"/>
    <w:rsid w:val="009345BC"/>
    <w:rsid w:val="009348F0"/>
    <w:rsid w:val="00934D6F"/>
    <w:rsid w:val="00934FD4"/>
    <w:rsid w:val="0093528D"/>
    <w:rsid w:val="009352DF"/>
    <w:rsid w:val="00935340"/>
    <w:rsid w:val="009354B7"/>
    <w:rsid w:val="009354F7"/>
    <w:rsid w:val="009356BE"/>
    <w:rsid w:val="00935C7F"/>
    <w:rsid w:val="00935C9E"/>
    <w:rsid w:val="00935EF8"/>
    <w:rsid w:val="00935F6A"/>
    <w:rsid w:val="00936071"/>
    <w:rsid w:val="00936199"/>
    <w:rsid w:val="00936515"/>
    <w:rsid w:val="00936561"/>
    <w:rsid w:val="0093674D"/>
    <w:rsid w:val="009368A4"/>
    <w:rsid w:val="009368AD"/>
    <w:rsid w:val="009368E9"/>
    <w:rsid w:val="00936920"/>
    <w:rsid w:val="00936A1A"/>
    <w:rsid w:val="00936A9C"/>
    <w:rsid w:val="00936B67"/>
    <w:rsid w:val="00936C88"/>
    <w:rsid w:val="00936D16"/>
    <w:rsid w:val="00937248"/>
    <w:rsid w:val="00937362"/>
    <w:rsid w:val="009375EF"/>
    <w:rsid w:val="0093791A"/>
    <w:rsid w:val="00937A14"/>
    <w:rsid w:val="00937ABC"/>
    <w:rsid w:val="00937D39"/>
    <w:rsid w:val="00937D52"/>
    <w:rsid w:val="00937DF1"/>
    <w:rsid w:val="00937FC8"/>
    <w:rsid w:val="009402B9"/>
    <w:rsid w:val="009403E5"/>
    <w:rsid w:val="00940484"/>
    <w:rsid w:val="009406D5"/>
    <w:rsid w:val="009406F1"/>
    <w:rsid w:val="009409D3"/>
    <w:rsid w:val="00940AA3"/>
    <w:rsid w:val="00940CD5"/>
    <w:rsid w:val="00940FFF"/>
    <w:rsid w:val="0094106E"/>
    <w:rsid w:val="009414B6"/>
    <w:rsid w:val="00941516"/>
    <w:rsid w:val="009416B7"/>
    <w:rsid w:val="00941824"/>
    <w:rsid w:val="00941937"/>
    <w:rsid w:val="009419F4"/>
    <w:rsid w:val="00941CEE"/>
    <w:rsid w:val="009420A7"/>
    <w:rsid w:val="009422C2"/>
    <w:rsid w:val="0094233A"/>
    <w:rsid w:val="0094252A"/>
    <w:rsid w:val="009426FD"/>
    <w:rsid w:val="00942887"/>
    <w:rsid w:val="0094297C"/>
    <w:rsid w:val="00942BF8"/>
    <w:rsid w:val="00942E3C"/>
    <w:rsid w:val="00943046"/>
    <w:rsid w:val="0094309E"/>
    <w:rsid w:val="00943298"/>
    <w:rsid w:val="00943B79"/>
    <w:rsid w:val="00944013"/>
    <w:rsid w:val="00944065"/>
    <w:rsid w:val="00944810"/>
    <w:rsid w:val="009449D8"/>
    <w:rsid w:val="00944B2D"/>
    <w:rsid w:val="00944D27"/>
    <w:rsid w:val="00944D49"/>
    <w:rsid w:val="00944E10"/>
    <w:rsid w:val="0094547A"/>
    <w:rsid w:val="00945480"/>
    <w:rsid w:val="009455E4"/>
    <w:rsid w:val="00945756"/>
    <w:rsid w:val="00945909"/>
    <w:rsid w:val="00945A82"/>
    <w:rsid w:val="00945D2B"/>
    <w:rsid w:val="00945D41"/>
    <w:rsid w:val="00945F35"/>
    <w:rsid w:val="009462DB"/>
    <w:rsid w:val="009462E8"/>
    <w:rsid w:val="0094637D"/>
    <w:rsid w:val="00946410"/>
    <w:rsid w:val="0094667E"/>
    <w:rsid w:val="0094678F"/>
    <w:rsid w:val="009467DB"/>
    <w:rsid w:val="00946960"/>
    <w:rsid w:val="00946981"/>
    <w:rsid w:val="00946BD9"/>
    <w:rsid w:val="00946E26"/>
    <w:rsid w:val="00946F2A"/>
    <w:rsid w:val="00947042"/>
    <w:rsid w:val="009471EB"/>
    <w:rsid w:val="009472B8"/>
    <w:rsid w:val="009472DD"/>
    <w:rsid w:val="009474A9"/>
    <w:rsid w:val="00947534"/>
    <w:rsid w:val="0094758F"/>
    <w:rsid w:val="00947616"/>
    <w:rsid w:val="00947AC7"/>
    <w:rsid w:val="00947B88"/>
    <w:rsid w:val="00947F4A"/>
    <w:rsid w:val="00947F7E"/>
    <w:rsid w:val="0095031C"/>
    <w:rsid w:val="0095076B"/>
    <w:rsid w:val="00950A97"/>
    <w:rsid w:val="00951131"/>
    <w:rsid w:val="00951422"/>
    <w:rsid w:val="009514F3"/>
    <w:rsid w:val="009516B5"/>
    <w:rsid w:val="00951BAB"/>
    <w:rsid w:val="00951CEC"/>
    <w:rsid w:val="009520F5"/>
    <w:rsid w:val="0095213F"/>
    <w:rsid w:val="00952140"/>
    <w:rsid w:val="009522D1"/>
    <w:rsid w:val="00952324"/>
    <w:rsid w:val="0095240B"/>
    <w:rsid w:val="009529A4"/>
    <w:rsid w:val="009529B7"/>
    <w:rsid w:val="00952A18"/>
    <w:rsid w:val="00952A1B"/>
    <w:rsid w:val="00952B17"/>
    <w:rsid w:val="00952D4F"/>
    <w:rsid w:val="00952D6F"/>
    <w:rsid w:val="00952F2B"/>
    <w:rsid w:val="0095312F"/>
    <w:rsid w:val="0095317C"/>
    <w:rsid w:val="0095321A"/>
    <w:rsid w:val="009534CA"/>
    <w:rsid w:val="009534DB"/>
    <w:rsid w:val="00953644"/>
    <w:rsid w:val="00953832"/>
    <w:rsid w:val="00953962"/>
    <w:rsid w:val="0095398E"/>
    <w:rsid w:val="009539EA"/>
    <w:rsid w:val="00953A9D"/>
    <w:rsid w:val="00953EC6"/>
    <w:rsid w:val="00954012"/>
    <w:rsid w:val="009540B8"/>
    <w:rsid w:val="00954287"/>
    <w:rsid w:val="0095432E"/>
    <w:rsid w:val="009544D1"/>
    <w:rsid w:val="009545AA"/>
    <w:rsid w:val="00954628"/>
    <w:rsid w:val="0095476B"/>
    <w:rsid w:val="00954951"/>
    <w:rsid w:val="0095498A"/>
    <w:rsid w:val="009549F7"/>
    <w:rsid w:val="00954C1A"/>
    <w:rsid w:val="00954DAC"/>
    <w:rsid w:val="0095536B"/>
    <w:rsid w:val="00955381"/>
    <w:rsid w:val="009553BD"/>
    <w:rsid w:val="009553C3"/>
    <w:rsid w:val="009555F4"/>
    <w:rsid w:val="00955D61"/>
    <w:rsid w:val="00955D73"/>
    <w:rsid w:val="00955D91"/>
    <w:rsid w:val="00955E48"/>
    <w:rsid w:val="00955E58"/>
    <w:rsid w:val="00956272"/>
    <w:rsid w:val="00956290"/>
    <w:rsid w:val="00956304"/>
    <w:rsid w:val="0095634B"/>
    <w:rsid w:val="00956388"/>
    <w:rsid w:val="0095653B"/>
    <w:rsid w:val="0095667E"/>
    <w:rsid w:val="00956B54"/>
    <w:rsid w:val="00956BD0"/>
    <w:rsid w:val="00956BE7"/>
    <w:rsid w:val="00956C0D"/>
    <w:rsid w:val="00956C11"/>
    <w:rsid w:val="00956C12"/>
    <w:rsid w:val="00956C59"/>
    <w:rsid w:val="00956CF0"/>
    <w:rsid w:val="00956E09"/>
    <w:rsid w:val="009572F7"/>
    <w:rsid w:val="009575BB"/>
    <w:rsid w:val="009575F2"/>
    <w:rsid w:val="009575F9"/>
    <w:rsid w:val="00957636"/>
    <w:rsid w:val="009578A0"/>
    <w:rsid w:val="00957910"/>
    <w:rsid w:val="0095799D"/>
    <w:rsid w:val="00957A6B"/>
    <w:rsid w:val="00957BA3"/>
    <w:rsid w:val="00957C9F"/>
    <w:rsid w:val="00957D67"/>
    <w:rsid w:val="00957DDF"/>
    <w:rsid w:val="00957F95"/>
    <w:rsid w:val="00957FD2"/>
    <w:rsid w:val="009600B3"/>
    <w:rsid w:val="0096024F"/>
    <w:rsid w:val="00960366"/>
    <w:rsid w:val="009603A5"/>
    <w:rsid w:val="00960681"/>
    <w:rsid w:val="0096068C"/>
    <w:rsid w:val="009606BA"/>
    <w:rsid w:val="0096089E"/>
    <w:rsid w:val="009608DA"/>
    <w:rsid w:val="009609B9"/>
    <w:rsid w:val="00960B16"/>
    <w:rsid w:val="00960B8F"/>
    <w:rsid w:val="00960CC0"/>
    <w:rsid w:val="00960DCC"/>
    <w:rsid w:val="00960EAC"/>
    <w:rsid w:val="00960FF5"/>
    <w:rsid w:val="00961962"/>
    <w:rsid w:val="00961990"/>
    <w:rsid w:val="00961BD8"/>
    <w:rsid w:val="00961D47"/>
    <w:rsid w:val="00961D9F"/>
    <w:rsid w:val="00962204"/>
    <w:rsid w:val="009623E7"/>
    <w:rsid w:val="009624DF"/>
    <w:rsid w:val="00962813"/>
    <w:rsid w:val="00962981"/>
    <w:rsid w:val="00962A56"/>
    <w:rsid w:val="00962BC9"/>
    <w:rsid w:val="00962FA5"/>
    <w:rsid w:val="009630C2"/>
    <w:rsid w:val="0096322F"/>
    <w:rsid w:val="009632B1"/>
    <w:rsid w:val="009632C5"/>
    <w:rsid w:val="0096359E"/>
    <w:rsid w:val="0096361B"/>
    <w:rsid w:val="009638DF"/>
    <w:rsid w:val="00963914"/>
    <w:rsid w:val="00963980"/>
    <w:rsid w:val="00963D3A"/>
    <w:rsid w:val="009640B7"/>
    <w:rsid w:val="00964118"/>
    <w:rsid w:val="00964282"/>
    <w:rsid w:val="00964879"/>
    <w:rsid w:val="00964C01"/>
    <w:rsid w:val="00964D6E"/>
    <w:rsid w:val="00964FDB"/>
    <w:rsid w:val="009651CD"/>
    <w:rsid w:val="0096539B"/>
    <w:rsid w:val="00965551"/>
    <w:rsid w:val="009657B0"/>
    <w:rsid w:val="00965A42"/>
    <w:rsid w:val="00965C39"/>
    <w:rsid w:val="00965FB4"/>
    <w:rsid w:val="00966383"/>
    <w:rsid w:val="009663A8"/>
    <w:rsid w:val="00966466"/>
    <w:rsid w:val="0096648B"/>
    <w:rsid w:val="00966C32"/>
    <w:rsid w:val="00966E29"/>
    <w:rsid w:val="00967015"/>
    <w:rsid w:val="009670A9"/>
    <w:rsid w:val="00967140"/>
    <w:rsid w:val="0096756E"/>
    <w:rsid w:val="009675C0"/>
    <w:rsid w:val="00967621"/>
    <w:rsid w:val="00967B2F"/>
    <w:rsid w:val="00967D34"/>
    <w:rsid w:val="00967F69"/>
    <w:rsid w:val="00970405"/>
    <w:rsid w:val="00970596"/>
    <w:rsid w:val="009705F1"/>
    <w:rsid w:val="009706B9"/>
    <w:rsid w:val="00970717"/>
    <w:rsid w:val="0097087D"/>
    <w:rsid w:val="009709C2"/>
    <w:rsid w:val="00970C4D"/>
    <w:rsid w:val="00970C68"/>
    <w:rsid w:val="0097107E"/>
    <w:rsid w:val="00971127"/>
    <w:rsid w:val="009716A7"/>
    <w:rsid w:val="009716F3"/>
    <w:rsid w:val="00971726"/>
    <w:rsid w:val="00971967"/>
    <w:rsid w:val="00971A69"/>
    <w:rsid w:val="00971C0D"/>
    <w:rsid w:val="00971CB8"/>
    <w:rsid w:val="00971CE3"/>
    <w:rsid w:val="00971E6A"/>
    <w:rsid w:val="00971EA3"/>
    <w:rsid w:val="0097200A"/>
    <w:rsid w:val="0097205C"/>
    <w:rsid w:val="0097211A"/>
    <w:rsid w:val="00972203"/>
    <w:rsid w:val="00972349"/>
    <w:rsid w:val="009728C7"/>
    <w:rsid w:val="00972A0C"/>
    <w:rsid w:val="00972A86"/>
    <w:rsid w:val="00972D8B"/>
    <w:rsid w:val="00972DE0"/>
    <w:rsid w:val="00972E70"/>
    <w:rsid w:val="00972EB5"/>
    <w:rsid w:val="00972F86"/>
    <w:rsid w:val="0097303A"/>
    <w:rsid w:val="009734FE"/>
    <w:rsid w:val="00973633"/>
    <w:rsid w:val="00973AA5"/>
    <w:rsid w:val="00973CA1"/>
    <w:rsid w:val="00973D5A"/>
    <w:rsid w:val="00973E5F"/>
    <w:rsid w:val="00973F48"/>
    <w:rsid w:val="00974058"/>
    <w:rsid w:val="00974150"/>
    <w:rsid w:val="00974611"/>
    <w:rsid w:val="009747CA"/>
    <w:rsid w:val="0097495D"/>
    <w:rsid w:val="00974962"/>
    <w:rsid w:val="00974A03"/>
    <w:rsid w:val="00974B29"/>
    <w:rsid w:val="00974B72"/>
    <w:rsid w:val="00974BAA"/>
    <w:rsid w:val="00974C0E"/>
    <w:rsid w:val="00974C65"/>
    <w:rsid w:val="00974CFD"/>
    <w:rsid w:val="00974EB7"/>
    <w:rsid w:val="00974EC8"/>
    <w:rsid w:val="00974ED9"/>
    <w:rsid w:val="00974FBF"/>
    <w:rsid w:val="009751B0"/>
    <w:rsid w:val="00975461"/>
    <w:rsid w:val="0097551D"/>
    <w:rsid w:val="00975EBA"/>
    <w:rsid w:val="00976130"/>
    <w:rsid w:val="00976310"/>
    <w:rsid w:val="0097681C"/>
    <w:rsid w:val="00976920"/>
    <w:rsid w:val="009769E2"/>
    <w:rsid w:val="00976E05"/>
    <w:rsid w:val="00976EEA"/>
    <w:rsid w:val="00976FC9"/>
    <w:rsid w:val="0097704D"/>
    <w:rsid w:val="0097716B"/>
    <w:rsid w:val="00977447"/>
    <w:rsid w:val="0097744C"/>
    <w:rsid w:val="0097746D"/>
    <w:rsid w:val="00977640"/>
    <w:rsid w:val="00977946"/>
    <w:rsid w:val="00977A18"/>
    <w:rsid w:val="00977A58"/>
    <w:rsid w:val="00977AF2"/>
    <w:rsid w:val="00977BE0"/>
    <w:rsid w:val="00977CEC"/>
    <w:rsid w:val="009800BB"/>
    <w:rsid w:val="009803D2"/>
    <w:rsid w:val="00980657"/>
    <w:rsid w:val="00980A98"/>
    <w:rsid w:val="00980D0E"/>
    <w:rsid w:val="00980E22"/>
    <w:rsid w:val="00980E47"/>
    <w:rsid w:val="00980E8E"/>
    <w:rsid w:val="009812FC"/>
    <w:rsid w:val="009812FD"/>
    <w:rsid w:val="0098133C"/>
    <w:rsid w:val="009813ED"/>
    <w:rsid w:val="00981677"/>
    <w:rsid w:val="0098185E"/>
    <w:rsid w:val="009818AB"/>
    <w:rsid w:val="00981913"/>
    <w:rsid w:val="00981A10"/>
    <w:rsid w:val="00981CDE"/>
    <w:rsid w:val="00981D80"/>
    <w:rsid w:val="00982245"/>
    <w:rsid w:val="00982248"/>
    <w:rsid w:val="00982404"/>
    <w:rsid w:val="009824AC"/>
    <w:rsid w:val="00982997"/>
    <w:rsid w:val="00982A27"/>
    <w:rsid w:val="00982AC6"/>
    <w:rsid w:val="00982BBB"/>
    <w:rsid w:val="00982D7A"/>
    <w:rsid w:val="00982E0E"/>
    <w:rsid w:val="00982F93"/>
    <w:rsid w:val="00982FD0"/>
    <w:rsid w:val="009830CB"/>
    <w:rsid w:val="00983794"/>
    <w:rsid w:val="009837E3"/>
    <w:rsid w:val="009839B7"/>
    <w:rsid w:val="009839CE"/>
    <w:rsid w:val="00983CB6"/>
    <w:rsid w:val="00984128"/>
    <w:rsid w:val="00984204"/>
    <w:rsid w:val="00984467"/>
    <w:rsid w:val="00985E4C"/>
    <w:rsid w:val="00986101"/>
    <w:rsid w:val="00986AE9"/>
    <w:rsid w:val="00986E62"/>
    <w:rsid w:val="0098708C"/>
    <w:rsid w:val="00987648"/>
    <w:rsid w:val="00987811"/>
    <w:rsid w:val="0098786E"/>
    <w:rsid w:val="0098788F"/>
    <w:rsid w:val="00987955"/>
    <w:rsid w:val="00987C4E"/>
    <w:rsid w:val="00987D83"/>
    <w:rsid w:val="00987F7D"/>
    <w:rsid w:val="0099003F"/>
    <w:rsid w:val="00990048"/>
    <w:rsid w:val="009900A8"/>
    <w:rsid w:val="009900DB"/>
    <w:rsid w:val="0099034E"/>
    <w:rsid w:val="00990377"/>
    <w:rsid w:val="00990478"/>
    <w:rsid w:val="0099080C"/>
    <w:rsid w:val="00990B04"/>
    <w:rsid w:val="00990B0A"/>
    <w:rsid w:val="00990C7A"/>
    <w:rsid w:val="00991024"/>
    <w:rsid w:val="00991302"/>
    <w:rsid w:val="009918F7"/>
    <w:rsid w:val="00991B39"/>
    <w:rsid w:val="00991CE1"/>
    <w:rsid w:val="00991E76"/>
    <w:rsid w:val="00992038"/>
    <w:rsid w:val="009922E0"/>
    <w:rsid w:val="00992388"/>
    <w:rsid w:val="0099238D"/>
    <w:rsid w:val="009923B2"/>
    <w:rsid w:val="0099242C"/>
    <w:rsid w:val="00992467"/>
    <w:rsid w:val="00992478"/>
    <w:rsid w:val="00992835"/>
    <w:rsid w:val="0099299F"/>
    <w:rsid w:val="009929BF"/>
    <w:rsid w:val="00992A4B"/>
    <w:rsid w:val="00993124"/>
    <w:rsid w:val="009932CB"/>
    <w:rsid w:val="009936D3"/>
    <w:rsid w:val="00993B47"/>
    <w:rsid w:val="00993C2E"/>
    <w:rsid w:val="00993CB4"/>
    <w:rsid w:val="00993E16"/>
    <w:rsid w:val="00993F0A"/>
    <w:rsid w:val="00993F4F"/>
    <w:rsid w:val="00993F5A"/>
    <w:rsid w:val="00993F71"/>
    <w:rsid w:val="009941A1"/>
    <w:rsid w:val="00994320"/>
    <w:rsid w:val="0099443D"/>
    <w:rsid w:val="0099458B"/>
    <w:rsid w:val="009949E9"/>
    <w:rsid w:val="00994BD1"/>
    <w:rsid w:val="00994E22"/>
    <w:rsid w:val="00994E6B"/>
    <w:rsid w:val="009952E2"/>
    <w:rsid w:val="009953DB"/>
    <w:rsid w:val="009954CF"/>
    <w:rsid w:val="0099554C"/>
    <w:rsid w:val="00995586"/>
    <w:rsid w:val="009955F7"/>
    <w:rsid w:val="00995697"/>
    <w:rsid w:val="009957AF"/>
    <w:rsid w:val="00995845"/>
    <w:rsid w:val="00995A1F"/>
    <w:rsid w:val="00995BA4"/>
    <w:rsid w:val="00995D61"/>
    <w:rsid w:val="009960CE"/>
    <w:rsid w:val="00996234"/>
    <w:rsid w:val="009963A2"/>
    <w:rsid w:val="009963FD"/>
    <w:rsid w:val="009964A4"/>
    <w:rsid w:val="00996719"/>
    <w:rsid w:val="00996891"/>
    <w:rsid w:val="009968A2"/>
    <w:rsid w:val="009968FB"/>
    <w:rsid w:val="0099694D"/>
    <w:rsid w:val="00996A73"/>
    <w:rsid w:val="00996C15"/>
    <w:rsid w:val="00996C5D"/>
    <w:rsid w:val="00996E9C"/>
    <w:rsid w:val="009973B8"/>
    <w:rsid w:val="0099746C"/>
    <w:rsid w:val="009978E6"/>
    <w:rsid w:val="00997A92"/>
    <w:rsid w:val="00997B2D"/>
    <w:rsid w:val="00997BA7"/>
    <w:rsid w:val="009A0002"/>
    <w:rsid w:val="009A0160"/>
    <w:rsid w:val="009A01BE"/>
    <w:rsid w:val="009A01FE"/>
    <w:rsid w:val="009A02F0"/>
    <w:rsid w:val="009A034A"/>
    <w:rsid w:val="009A05AD"/>
    <w:rsid w:val="009A07D2"/>
    <w:rsid w:val="009A0913"/>
    <w:rsid w:val="009A099A"/>
    <w:rsid w:val="009A0B1A"/>
    <w:rsid w:val="009A0B68"/>
    <w:rsid w:val="009A0B7E"/>
    <w:rsid w:val="009A0E0E"/>
    <w:rsid w:val="009A10DD"/>
    <w:rsid w:val="009A1362"/>
    <w:rsid w:val="009A1559"/>
    <w:rsid w:val="009A171E"/>
    <w:rsid w:val="009A1BB3"/>
    <w:rsid w:val="009A1D43"/>
    <w:rsid w:val="009A1E06"/>
    <w:rsid w:val="009A1E6E"/>
    <w:rsid w:val="009A1FC6"/>
    <w:rsid w:val="009A29C6"/>
    <w:rsid w:val="009A308B"/>
    <w:rsid w:val="009A32AA"/>
    <w:rsid w:val="009A33EC"/>
    <w:rsid w:val="009A3524"/>
    <w:rsid w:val="009A3554"/>
    <w:rsid w:val="009A3AF0"/>
    <w:rsid w:val="009A3C19"/>
    <w:rsid w:val="009A409B"/>
    <w:rsid w:val="009A4442"/>
    <w:rsid w:val="009A4506"/>
    <w:rsid w:val="009A4774"/>
    <w:rsid w:val="009A47C9"/>
    <w:rsid w:val="009A49D0"/>
    <w:rsid w:val="009A4A7D"/>
    <w:rsid w:val="009A4AEF"/>
    <w:rsid w:val="009A4B04"/>
    <w:rsid w:val="009A4DE6"/>
    <w:rsid w:val="009A4ED8"/>
    <w:rsid w:val="009A4F39"/>
    <w:rsid w:val="009A4F61"/>
    <w:rsid w:val="009A534A"/>
    <w:rsid w:val="009A54C2"/>
    <w:rsid w:val="009A553D"/>
    <w:rsid w:val="009A559B"/>
    <w:rsid w:val="009A55D0"/>
    <w:rsid w:val="009A5803"/>
    <w:rsid w:val="009A5B23"/>
    <w:rsid w:val="009A5C56"/>
    <w:rsid w:val="009A5D57"/>
    <w:rsid w:val="009A5D58"/>
    <w:rsid w:val="009A5DFE"/>
    <w:rsid w:val="009A5E39"/>
    <w:rsid w:val="009A5F5A"/>
    <w:rsid w:val="009A60D3"/>
    <w:rsid w:val="009A6225"/>
    <w:rsid w:val="009A63AB"/>
    <w:rsid w:val="009A657B"/>
    <w:rsid w:val="009A6620"/>
    <w:rsid w:val="009A66B7"/>
    <w:rsid w:val="009A67C2"/>
    <w:rsid w:val="009A6B05"/>
    <w:rsid w:val="009A6D4B"/>
    <w:rsid w:val="009A6DA1"/>
    <w:rsid w:val="009A6F79"/>
    <w:rsid w:val="009A723E"/>
    <w:rsid w:val="009A7375"/>
    <w:rsid w:val="009A7421"/>
    <w:rsid w:val="009A7617"/>
    <w:rsid w:val="009A7CC7"/>
    <w:rsid w:val="009A7DC5"/>
    <w:rsid w:val="009A7E85"/>
    <w:rsid w:val="009A7F6C"/>
    <w:rsid w:val="009B00D6"/>
    <w:rsid w:val="009B0163"/>
    <w:rsid w:val="009B017B"/>
    <w:rsid w:val="009B06D9"/>
    <w:rsid w:val="009B07AE"/>
    <w:rsid w:val="009B07B1"/>
    <w:rsid w:val="009B0902"/>
    <w:rsid w:val="009B0A2A"/>
    <w:rsid w:val="009B0A7D"/>
    <w:rsid w:val="009B0B1B"/>
    <w:rsid w:val="009B0C25"/>
    <w:rsid w:val="009B0CEA"/>
    <w:rsid w:val="009B0EF1"/>
    <w:rsid w:val="009B0F30"/>
    <w:rsid w:val="009B1251"/>
    <w:rsid w:val="009B144B"/>
    <w:rsid w:val="009B1716"/>
    <w:rsid w:val="009B1A94"/>
    <w:rsid w:val="009B1B24"/>
    <w:rsid w:val="009B1F45"/>
    <w:rsid w:val="009B211A"/>
    <w:rsid w:val="009B2256"/>
    <w:rsid w:val="009B2320"/>
    <w:rsid w:val="009B23DF"/>
    <w:rsid w:val="009B24F5"/>
    <w:rsid w:val="009B264F"/>
    <w:rsid w:val="009B26E1"/>
    <w:rsid w:val="009B2712"/>
    <w:rsid w:val="009B2901"/>
    <w:rsid w:val="009B2D76"/>
    <w:rsid w:val="009B2F84"/>
    <w:rsid w:val="009B3120"/>
    <w:rsid w:val="009B3185"/>
    <w:rsid w:val="009B322D"/>
    <w:rsid w:val="009B37DC"/>
    <w:rsid w:val="009B38D9"/>
    <w:rsid w:val="009B391E"/>
    <w:rsid w:val="009B3CCD"/>
    <w:rsid w:val="009B3E8A"/>
    <w:rsid w:val="009B4087"/>
    <w:rsid w:val="009B41D1"/>
    <w:rsid w:val="009B4215"/>
    <w:rsid w:val="009B429B"/>
    <w:rsid w:val="009B433B"/>
    <w:rsid w:val="009B4504"/>
    <w:rsid w:val="009B4867"/>
    <w:rsid w:val="009B4AD2"/>
    <w:rsid w:val="009B4B2A"/>
    <w:rsid w:val="009B4BFA"/>
    <w:rsid w:val="009B4CD1"/>
    <w:rsid w:val="009B4D49"/>
    <w:rsid w:val="009B4E6F"/>
    <w:rsid w:val="009B4F9C"/>
    <w:rsid w:val="009B51EB"/>
    <w:rsid w:val="009B5313"/>
    <w:rsid w:val="009B5797"/>
    <w:rsid w:val="009B57FC"/>
    <w:rsid w:val="009B597C"/>
    <w:rsid w:val="009B5AD8"/>
    <w:rsid w:val="009B5C91"/>
    <w:rsid w:val="009B5D07"/>
    <w:rsid w:val="009B5E31"/>
    <w:rsid w:val="009B5FEB"/>
    <w:rsid w:val="009B6023"/>
    <w:rsid w:val="009B605E"/>
    <w:rsid w:val="009B6392"/>
    <w:rsid w:val="009B6423"/>
    <w:rsid w:val="009B6545"/>
    <w:rsid w:val="009B6596"/>
    <w:rsid w:val="009B6A3C"/>
    <w:rsid w:val="009B6AE6"/>
    <w:rsid w:val="009B6B89"/>
    <w:rsid w:val="009B6BC6"/>
    <w:rsid w:val="009B6E95"/>
    <w:rsid w:val="009B6EEC"/>
    <w:rsid w:val="009B704D"/>
    <w:rsid w:val="009B71CA"/>
    <w:rsid w:val="009B71E7"/>
    <w:rsid w:val="009B73F8"/>
    <w:rsid w:val="009B777F"/>
    <w:rsid w:val="009B7A44"/>
    <w:rsid w:val="009B7B4E"/>
    <w:rsid w:val="009B7C2E"/>
    <w:rsid w:val="009B7C69"/>
    <w:rsid w:val="009B7D60"/>
    <w:rsid w:val="009C02A6"/>
    <w:rsid w:val="009C0311"/>
    <w:rsid w:val="009C0374"/>
    <w:rsid w:val="009C0762"/>
    <w:rsid w:val="009C07EA"/>
    <w:rsid w:val="009C094A"/>
    <w:rsid w:val="009C097A"/>
    <w:rsid w:val="009C0982"/>
    <w:rsid w:val="009C0BFB"/>
    <w:rsid w:val="009C0D43"/>
    <w:rsid w:val="009C0EC4"/>
    <w:rsid w:val="009C0FED"/>
    <w:rsid w:val="009C1310"/>
    <w:rsid w:val="009C1354"/>
    <w:rsid w:val="009C14F7"/>
    <w:rsid w:val="009C15D7"/>
    <w:rsid w:val="009C17A9"/>
    <w:rsid w:val="009C1913"/>
    <w:rsid w:val="009C1980"/>
    <w:rsid w:val="009C1B46"/>
    <w:rsid w:val="009C1CBC"/>
    <w:rsid w:val="009C1CC2"/>
    <w:rsid w:val="009C1D10"/>
    <w:rsid w:val="009C1D87"/>
    <w:rsid w:val="009C208C"/>
    <w:rsid w:val="009C248B"/>
    <w:rsid w:val="009C2A27"/>
    <w:rsid w:val="009C2B64"/>
    <w:rsid w:val="009C2CE1"/>
    <w:rsid w:val="009C3674"/>
    <w:rsid w:val="009C375A"/>
    <w:rsid w:val="009C3786"/>
    <w:rsid w:val="009C396B"/>
    <w:rsid w:val="009C39BA"/>
    <w:rsid w:val="009C3A50"/>
    <w:rsid w:val="009C3C8E"/>
    <w:rsid w:val="009C4336"/>
    <w:rsid w:val="009C4375"/>
    <w:rsid w:val="009C44EA"/>
    <w:rsid w:val="009C4646"/>
    <w:rsid w:val="009C4649"/>
    <w:rsid w:val="009C4691"/>
    <w:rsid w:val="009C47B2"/>
    <w:rsid w:val="009C4938"/>
    <w:rsid w:val="009C49EF"/>
    <w:rsid w:val="009C4AB2"/>
    <w:rsid w:val="009C4CCF"/>
    <w:rsid w:val="009C4D5D"/>
    <w:rsid w:val="009C5134"/>
    <w:rsid w:val="009C5360"/>
    <w:rsid w:val="009C539D"/>
    <w:rsid w:val="009C55BB"/>
    <w:rsid w:val="009C5A61"/>
    <w:rsid w:val="009C5B0D"/>
    <w:rsid w:val="009C5B85"/>
    <w:rsid w:val="009C5CCC"/>
    <w:rsid w:val="009C5D00"/>
    <w:rsid w:val="009C5E71"/>
    <w:rsid w:val="009C5FEE"/>
    <w:rsid w:val="009C600C"/>
    <w:rsid w:val="009C6012"/>
    <w:rsid w:val="009C60BF"/>
    <w:rsid w:val="009C6340"/>
    <w:rsid w:val="009C6465"/>
    <w:rsid w:val="009C65A4"/>
    <w:rsid w:val="009C65BD"/>
    <w:rsid w:val="009C665E"/>
    <w:rsid w:val="009C69EC"/>
    <w:rsid w:val="009C6D95"/>
    <w:rsid w:val="009C6E88"/>
    <w:rsid w:val="009C6F03"/>
    <w:rsid w:val="009C6FB1"/>
    <w:rsid w:val="009C7087"/>
    <w:rsid w:val="009C723B"/>
    <w:rsid w:val="009C73C0"/>
    <w:rsid w:val="009C7600"/>
    <w:rsid w:val="009C76B8"/>
    <w:rsid w:val="009C7B1D"/>
    <w:rsid w:val="009C7B43"/>
    <w:rsid w:val="009C7BB5"/>
    <w:rsid w:val="009C7FD9"/>
    <w:rsid w:val="009D0004"/>
    <w:rsid w:val="009D04E2"/>
    <w:rsid w:val="009D0783"/>
    <w:rsid w:val="009D0826"/>
    <w:rsid w:val="009D093A"/>
    <w:rsid w:val="009D09A1"/>
    <w:rsid w:val="009D0B01"/>
    <w:rsid w:val="009D0F8C"/>
    <w:rsid w:val="009D12B8"/>
    <w:rsid w:val="009D1534"/>
    <w:rsid w:val="009D15CE"/>
    <w:rsid w:val="009D16A3"/>
    <w:rsid w:val="009D20E8"/>
    <w:rsid w:val="009D21BD"/>
    <w:rsid w:val="009D24D9"/>
    <w:rsid w:val="009D267F"/>
    <w:rsid w:val="009D2764"/>
    <w:rsid w:val="009D2B37"/>
    <w:rsid w:val="009D2C64"/>
    <w:rsid w:val="009D2CFB"/>
    <w:rsid w:val="009D2F5B"/>
    <w:rsid w:val="009D3542"/>
    <w:rsid w:val="009D35AA"/>
    <w:rsid w:val="009D36A9"/>
    <w:rsid w:val="009D372E"/>
    <w:rsid w:val="009D3AB4"/>
    <w:rsid w:val="009D3BEC"/>
    <w:rsid w:val="009D3DD7"/>
    <w:rsid w:val="009D3F5B"/>
    <w:rsid w:val="009D3F66"/>
    <w:rsid w:val="009D4018"/>
    <w:rsid w:val="009D40E5"/>
    <w:rsid w:val="009D4782"/>
    <w:rsid w:val="009D47A7"/>
    <w:rsid w:val="009D49B2"/>
    <w:rsid w:val="009D4F42"/>
    <w:rsid w:val="009D4FC0"/>
    <w:rsid w:val="009D510C"/>
    <w:rsid w:val="009D5483"/>
    <w:rsid w:val="009D54EB"/>
    <w:rsid w:val="009D5811"/>
    <w:rsid w:val="009D58B3"/>
    <w:rsid w:val="009D597E"/>
    <w:rsid w:val="009D59D1"/>
    <w:rsid w:val="009D5A29"/>
    <w:rsid w:val="009D5A9A"/>
    <w:rsid w:val="009D5B3C"/>
    <w:rsid w:val="009D5BFA"/>
    <w:rsid w:val="009D5C82"/>
    <w:rsid w:val="009D5DCB"/>
    <w:rsid w:val="009D5EF9"/>
    <w:rsid w:val="009D6192"/>
    <w:rsid w:val="009D6352"/>
    <w:rsid w:val="009D63F9"/>
    <w:rsid w:val="009D67EF"/>
    <w:rsid w:val="009D6962"/>
    <w:rsid w:val="009D6A66"/>
    <w:rsid w:val="009D6BBA"/>
    <w:rsid w:val="009D6DE3"/>
    <w:rsid w:val="009D6E06"/>
    <w:rsid w:val="009D6F69"/>
    <w:rsid w:val="009D7156"/>
    <w:rsid w:val="009D7446"/>
    <w:rsid w:val="009D769D"/>
    <w:rsid w:val="009D7C65"/>
    <w:rsid w:val="009D7F85"/>
    <w:rsid w:val="009E007B"/>
    <w:rsid w:val="009E008A"/>
    <w:rsid w:val="009E027E"/>
    <w:rsid w:val="009E02F8"/>
    <w:rsid w:val="009E0615"/>
    <w:rsid w:val="009E0760"/>
    <w:rsid w:val="009E080F"/>
    <w:rsid w:val="009E0850"/>
    <w:rsid w:val="009E0992"/>
    <w:rsid w:val="009E0B0C"/>
    <w:rsid w:val="009E0B19"/>
    <w:rsid w:val="009E0B48"/>
    <w:rsid w:val="009E0C4C"/>
    <w:rsid w:val="009E0DE4"/>
    <w:rsid w:val="009E0EB1"/>
    <w:rsid w:val="009E0F9D"/>
    <w:rsid w:val="009E1112"/>
    <w:rsid w:val="009E116D"/>
    <w:rsid w:val="009E1230"/>
    <w:rsid w:val="009E127D"/>
    <w:rsid w:val="009E1519"/>
    <w:rsid w:val="009E1598"/>
    <w:rsid w:val="009E1DE2"/>
    <w:rsid w:val="009E1DF5"/>
    <w:rsid w:val="009E1E51"/>
    <w:rsid w:val="009E1E9C"/>
    <w:rsid w:val="009E1EA0"/>
    <w:rsid w:val="009E1FB8"/>
    <w:rsid w:val="009E2301"/>
    <w:rsid w:val="009E23DD"/>
    <w:rsid w:val="009E24BB"/>
    <w:rsid w:val="009E273E"/>
    <w:rsid w:val="009E2813"/>
    <w:rsid w:val="009E2B40"/>
    <w:rsid w:val="009E2B42"/>
    <w:rsid w:val="009E2B8C"/>
    <w:rsid w:val="009E2C8B"/>
    <w:rsid w:val="009E2E57"/>
    <w:rsid w:val="009E2FE8"/>
    <w:rsid w:val="009E311D"/>
    <w:rsid w:val="009E34C9"/>
    <w:rsid w:val="009E388C"/>
    <w:rsid w:val="009E3931"/>
    <w:rsid w:val="009E3A15"/>
    <w:rsid w:val="009E3C73"/>
    <w:rsid w:val="009E3CBB"/>
    <w:rsid w:val="009E3F95"/>
    <w:rsid w:val="009E42B8"/>
    <w:rsid w:val="009E44AD"/>
    <w:rsid w:val="009E452F"/>
    <w:rsid w:val="009E45A7"/>
    <w:rsid w:val="009E49BC"/>
    <w:rsid w:val="009E4A3B"/>
    <w:rsid w:val="009E4AEB"/>
    <w:rsid w:val="009E4C8D"/>
    <w:rsid w:val="009E4CA6"/>
    <w:rsid w:val="009E4DCE"/>
    <w:rsid w:val="009E526A"/>
    <w:rsid w:val="009E52E8"/>
    <w:rsid w:val="009E53AD"/>
    <w:rsid w:val="009E55D6"/>
    <w:rsid w:val="009E577B"/>
    <w:rsid w:val="009E590A"/>
    <w:rsid w:val="009E5960"/>
    <w:rsid w:val="009E5A8F"/>
    <w:rsid w:val="009E5D7B"/>
    <w:rsid w:val="009E5E3A"/>
    <w:rsid w:val="009E5FD8"/>
    <w:rsid w:val="009E6286"/>
    <w:rsid w:val="009E64A7"/>
    <w:rsid w:val="009E6ABC"/>
    <w:rsid w:val="009E6B39"/>
    <w:rsid w:val="009E6E03"/>
    <w:rsid w:val="009E6E0A"/>
    <w:rsid w:val="009E7136"/>
    <w:rsid w:val="009E7239"/>
    <w:rsid w:val="009E7A33"/>
    <w:rsid w:val="009E7A41"/>
    <w:rsid w:val="009E7B82"/>
    <w:rsid w:val="009E7B9A"/>
    <w:rsid w:val="009F044A"/>
    <w:rsid w:val="009F0459"/>
    <w:rsid w:val="009F0619"/>
    <w:rsid w:val="009F0E52"/>
    <w:rsid w:val="009F1318"/>
    <w:rsid w:val="009F136F"/>
    <w:rsid w:val="009F1706"/>
    <w:rsid w:val="009F19BD"/>
    <w:rsid w:val="009F1A40"/>
    <w:rsid w:val="009F1BA0"/>
    <w:rsid w:val="009F1D40"/>
    <w:rsid w:val="009F1F24"/>
    <w:rsid w:val="009F2605"/>
    <w:rsid w:val="009F28EC"/>
    <w:rsid w:val="009F2A7E"/>
    <w:rsid w:val="009F2BB4"/>
    <w:rsid w:val="009F2C75"/>
    <w:rsid w:val="009F2D0C"/>
    <w:rsid w:val="009F2DED"/>
    <w:rsid w:val="009F2FED"/>
    <w:rsid w:val="009F307E"/>
    <w:rsid w:val="009F316C"/>
    <w:rsid w:val="009F34A0"/>
    <w:rsid w:val="009F3730"/>
    <w:rsid w:val="009F3EA1"/>
    <w:rsid w:val="009F3F54"/>
    <w:rsid w:val="009F3FA9"/>
    <w:rsid w:val="009F4320"/>
    <w:rsid w:val="009F448D"/>
    <w:rsid w:val="009F44E0"/>
    <w:rsid w:val="009F47C4"/>
    <w:rsid w:val="009F48B3"/>
    <w:rsid w:val="009F4C05"/>
    <w:rsid w:val="009F4CEF"/>
    <w:rsid w:val="009F51A2"/>
    <w:rsid w:val="009F5380"/>
    <w:rsid w:val="009F5756"/>
    <w:rsid w:val="009F58F9"/>
    <w:rsid w:val="009F5923"/>
    <w:rsid w:val="009F5990"/>
    <w:rsid w:val="009F5B4C"/>
    <w:rsid w:val="009F5B84"/>
    <w:rsid w:val="009F5B87"/>
    <w:rsid w:val="009F5C96"/>
    <w:rsid w:val="009F5D52"/>
    <w:rsid w:val="009F5DB0"/>
    <w:rsid w:val="009F6453"/>
    <w:rsid w:val="009F6738"/>
    <w:rsid w:val="009F6A91"/>
    <w:rsid w:val="009F6D2E"/>
    <w:rsid w:val="009F6E6D"/>
    <w:rsid w:val="009F6F26"/>
    <w:rsid w:val="009F708C"/>
    <w:rsid w:val="009F7223"/>
    <w:rsid w:val="009F7240"/>
    <w:rsid w:val="009F759C"/>
    <w:rsid w:val="009F75FF"/>
    <w:rsid w:val="009F7736"/>
    <w:rsid w:val="009F7926"/>
    <w:rsid w:val="009F795F"/>
    <w:rsid w:val="009F7992"/>
    <w:rsid w:val="009F7B26"/>
    <w:rsid w:val="009F7D04"/>
    <w:rsid w:val="009F7E73"/>
    <w:rsid w:val="009F7F66"/>
    <w:rsid w:val="00A0006C"/>
    <w:rsid w:val="00A00260"/>
    <w:rsid w:val="00A0028C"/>
    <w:rsid w:val="00A00340"/>
    <w:rsid w:val="00A00353"/>
    <w:rsid w:val="00A003A3"/>
    <w:rsid w:val="00A00544"/>
    <w:rsid w:val="00A005EB"/>
    <w:rsid w:val="00A006DD"/>
    <w:rsid w:val="00A00C40"/>
    <w:rsid w:val="00A00F1C"/>
    <w:rsid w:val="00A00F5F"/>
    <w:rsid w:val="00A012DA"/>
    <w:rsid w:val="00A0140C"/>
    <w:rsid w:val="00A015AF"/>
    <w:rsid w:val="00A015F3"/>
    <w:rsid w:val="00A01AA9"/>
    <w:rsid w:val="00A01B50"/>
    <w:rsid w:val="00A01F6B"/>
    <w:rsid w:val="00A02056"/>
    <w:rsid w:val="00A0208F"/>
    <w:rsid w:val="00A02521"/>
    <w:rsid w:val="00A0293C"/>
    <w:rsid w:val="00A02CB4"/>
    <w:rsid w:val="00A02CD2"/>
    <w:rsid w:val="00A02D5D"/>
    <w:rsid w:val="00A02F0A"/>
    <w:rsid w:val="00A03046"/>
    <w:rsid w:val="00A0307C"/>
    <w:rsid w:val="00A03178"/>
    <w:rsid w:val="00A0329E"/>
    <w:rsid w:val="00A03410"/>
    <w:rsid w:val="00A03417"/>
    <w:rsid w:val="00A03556"/>
    <w:rsid w:val="00A0365F"/>
    <w:rsid w:val="00A0380E"/>
    <w:rsid w:val="00A03960"/>
    <w:rsid w:val="00A039B5"/>
    <w:rsid w:val="00A03ACE"/>
    <w:rsid w:val="00A03B54"/>
    <w:rsid w:val="00A03D0A"/>
    <w:rsid w:val="00A03E3A"/>
    <w:rsid w:val="00A0407D"/>
    <w:rsid w:val="00A04170"/>
    <w:rsid w:val="00A04201"/>
    <w:rsid w:val="00A0420F"/>
    <w:rsid w:val="00A043C6"/>
    <w:rsid w:val="00A04483"/>
    <w:rsid w:val="00A0461E"/>
    <w:rsid w:val="00A0473D"/>
    <w:rsid w:val="00A047C6"/>
    <w:rsid w:val="00A04858"/>
    <w:rsid w:val="00A04C18"/>
    <w:rsid w:val="00A04E4E"/>
    <w:rsid w:val="00A04EB3"/>
    <w:rsid w:val="00A0514F"/>
    <w:rsid w:val="00A05224"/>
    <w:rsid w:val="00A05414"/>
    <w:rsid w:val="00A05BBD"/>
    <w:rsid w:val="00A05D7B"/>
    <w:rsid w:val="00A062A7"/>
    <w:rsid w:val="00A063AF"/>
    <w:rsid w:val="00A063E7"/>
    <w:rsid w:val="00A064F1"/>
    <w:rsid w:val="00A06671"/>
    <w:rsid w:val="00A066AE"/>
    <w:rsid w:val="00A06723"/>
    <w:rsid w:val="00A06731"/>
    <w:rsid w:val="00A0685E"/>
    <w:rsid w:val="00A068BB"/>
    <w:rsid w:val="00A06C81"/>
    <w:rsid w:val="00A06D68"/>
    <w:rsid w:val="00A06DA4"/>
    <w:rsid w:val="00A06ED2"/>
    <w:rsid w:val="00A07036"/>
    <w:rsid w:val="00A0720F"/>
    <w:rsid w:val="00A076C8"/>
    <w:rsid w:val="00A0795B"/>
    <w:rsid w:val="00A07C36"/>
    <w:rsid w:val="00A1010E"/>
    <w:rsid w:val="00A101AD"/>
    <w:rsid w:val="00A1021A"/>
    <w:rsid w:val="00A10658"/>
    <w:rsid w:val="00A1070C"/>
    <w:rsid w:val="00A10BB7"/>
    <w:rsid w:val="00A10D93"/>
    <w:rsid w:val="00A11222"/>
    <w:rsid w:val="00A1130D"/>
    <w:rsid w:val="00A11479"/>
    <w:rsid w:val="00A116FA"/>
    <w:rsid w:val="00A11796"/>
    <w:rsid w:val="00A11843"/>
    <w:rsid w:val="00A118ED"/>
    <w:rsid w:val="00A11C57"/>
    <w:rsid w:val="00A12003"/>
    <w:rsid w:val="00A1239E"/>
    <w:rsid w:val="00A12475"/>
    <w:rsid w:val="00A1258D"/>
    <w:rsid w:val="00A125D4"/>
    <w:rsid w:val="00A12990"/>
    <w:rsid w:val="00A129C5"/>
    <w:rsid w:val="00A12A57"/>
    <w:rsid w:val="00A12C0B"/>
    <w:rsid w:val="00A12F15"/>
    <w:rsid w:val="00A12FD3"/>
    <w:rsid w:val="00A131AD"/>
    <w:rsid w:val="00A132F2"/>
    <w:rsid w:val="00A13315"/>
    <w:rsid w:val="00A13343"/>
    <w:rsid w:val="00A13380"/>
    <w:rsid w:val="00A1341A"/>
    <w:rsid w:val="00A134AE"/>
    <w:rsid w:val="00A135E3"/>
    <w:rsid w:val="00A139C3"/>
    <w:rsid w:val="00A139CA"/>
    <w:rsid w:val="00A13BA1"/>
    <w:rsid w:val="00A13D4B"/>
    <w:rsid w:val="00A13E11"/>
    <w:rsid w:val="00A13EAC"/>
    <w:rsid w:val="00A146ED"/>
    <w:rsid w:val="00A14B07"/>
    <w:rsid w:val="00A15045"/>
    <w:rsid w:val="00A151E7"/>
    <w:rsid w:val="00A1535A"/>
    <w:rsid w:val="00A153EC"/>
    <w:rsid w:val="00A15406"/>
    <w:rsid w:val="00A154E6"/>
    <w:rsid w:val="00A15655"/>
    <w:rsid w:val="00A156DE"/>
    <w:rsid w:val="00A15866"/>
    <w:rsid w:val="00A15F8A"/>
    <w:rsid w:val="00A1614E"/>
    <w:rsid w:val="00A161E8"/>
    <w:rsid w:val="00A1625A"/>
    <w:rsid w:val="00A16595"/>
    <w:rsid w:val="00A16774"/>
    <w:rsid w:val="00A168DB"/>
    <w:rsid w:val="00A168E7"/>
    <w:rsid w:val="00A16BC4"/>
    <w:rsid w:val="00A16C9D"/>
    <w:rsid w:val="00A16DF5"/>
    <w:rsid w:val="00A17130"/>
    <w:rsid w:val="00A17659"/>
    <w:rsid w:val="00A17671"/>
    <w:rsid w:val="00A1789C"/>
    <w:rsid w:val="00A178EE"/>
    <w:rsid w:val="00A179FB"/>
    <w:rsid w:val="00A17AB1"/>
    <w:rsid w:val="00A17C3B"/>
    <w:rsid w:val="00A20150"/>
    <w:rsid w:val="00A20159"/>
    <w:rsid w:val="00A203A5"/>
    <w:rsid w:val="00A20C08"/>
    <w:rsid w:val="00A20CAB"/>
    <w:rsid w:val="00A20D75"/>
    <w:rsid w:val="00A20F09"/>
    <w:rsid w:val="00A210E1"/>
    <w:rsid w:val="00A2184D"/>
    <w:rsid w:val="00A219E4"/>
    <w:rsid w:val="00A21ED4"/>
    <w:rsid w:val="00A21F34"/>
    <w:rsid w:val="00A21F3B"/>
    <w:rsid w:val="00A21F87"/>
    <w:rsid w:val="00A225A0"/>
    <w:rsid w:val="00A225C5"/>
    <w:rsid w:val="00A22A09"/>
    <w:rsid w:val="00A22A7F"/>
    <w:rsid w:val="00A22F81"/>
    <w:rsid w:val="00A23096"/>
    <w:rsid w:val="00A232BD"/>
    <w:rsid w:val="00A232CB"/>
    <w:rsid w:val="00A23330"/>
    <w:rsid w:val="00A2351F"/>
    <w:rsid w:val="00A23583"/>
    <w:rsid w:val="00A2378A"/>
    <w:rsid w:val="00A24077"/>
    <w:rsid w:val="00A2411B"/>
    <w:rsid w:val="00A243C9"/>
    <w:rsid w:val="00A243E7"/>
    <w:rsid w:val="00A24603"/>
    <w:rsid w:val="00A24716"/>
    <w:rsid w:val="00A2472D"/>
    <w:rsid w:val="00A24749"/>
    <w:rsid w:val="00A249A8"/>
    <w:rsid w:val="00A24B6B"/>
    <w:rsid w:val="00A24E93"/>
    <w:rsid w:val="00A24F9D"/>
    <w:rsid w:val="00A2592C"/>
    <w:rsid w:val="00A2597F"/>
    <w:rsid w:val="00A25A80"/>
    <w:rsid w:val="00A25B20"/>
    <w:rsid w:val="00A25CCD"/>
    <w:rsid w:val="00A25D58"/>
    <w:rsid w:val="00A25EF7"/>
    <w:rsid w:val="00A2606D"/>
    <w:rsid w:val="00A26214"/>
    <w:rsid w:val="00A26590"/>
    <w:rsid w:val="00A2671F"/>
    <w:rsid w:val="00A2680E"/>
    <w:rsid w:val="00A26928"/>
    <w:rsid w:val="00A26A6A"/>
    <w:rsid w:val="00A26C4A"/>
    <w:rsid w:val="00A26D49"/>
    <w:rsid w:val="00A26FB3"/>
    <w:rsid w:val="00A27867"/>
    <w:rsid w:val="00A27901"/>
    <w:rsid w:val="00A27936"/>
    <w:rsid w:val="00A27980"/>
    <w:rsid w:val="00A27CD0"/>
    <w:rsid w:val="00A27DAC"/>
    <w:rsid w:val="00A27EF1"/>
    <w:rsid w:val="00A27F1D"/>
    <w:rsid w:val="00A3023F"/>
    <w:rsid w:val="00A306B7"/>
    <w:rsid w:val="00A30833"/>
    <w:rsid w:val="00A30B84"/>
    <w:rsid w:val="00A30C3B"/>
    <w:rsid w:val="00A30CD8"/>
    <w:rsid w:val="00A30CDD"/>
    <w:rsid w:val="00A30ED4"/>
    <w:rsid w:val="00A31408"/>
    <w:rsid w:val="00A31943"/>
    <w:rsid w:val="00A3199B"/>
    <w:rsid w:val="00A31AA8"/>
    <w:rsid w:val="00A31C7F"/>
    <w:rsid w:val="00A31D45"/>
    <w:rsid w:val="00A31D57"/>
    <w:rsid w:val="00A32031"/>
    <w:rsid w:val="00A322C3"/>
    <w:rsid w:val="00A322F8"/>
    <w:rsid w:val="00A32764"/>
    <w:rsid w:val="00A32841"/>
    <w:rsid w:val="00A32B5F"/>
    <w:rsid w:val="00A32D5B"/>
    <w:rsid w:val="00A32DD4"/>
    <w:rsid w:val="00A33152"/>
    <w:rsid w:val="00A33773"/>
    <w:rsid w:val="00A33858"/>
    <w:rsid w:val="00A33960"/>
    <w:rsid w:val="00A33A29"/>
    <w:rsid w:val="00A33B2F"/>
    <w:rsid w:val="00A33F1C"/>
    <w:rsid w:val="00A33FF7"/>
    <w:rsid w:val="00A34065"/>
    <w:rsid w:val="00A34075"/>
    <w:rsid w:val="00A34207"/>
    <w:rsid w:val="00A34596"/>
    <w:rsid w:val="00A34616"/>
    <w:rsid w:val="00A347EB"/>
    <w:rsid w:val="00A34937"/>
    <w:rsid w:val="00A3494F"/>
    <w:rsid w:val="00A34A31"/>
    <w:rsid w:val="00A34C2E"/>
    <w:rsid w:val="00A34C66"/>
    <w:rsid w:val="00A350DB"/>
    <w:rsid w:val="00A35238"/>
    <w:rsid w:val="00A3524C"/>
    <w:rsid w:val="00A357E4"/>
    <w:rsid w:val="00A359A5"/>
    <w:rsid w:val="00A35D2B"/>
    <w:rsid w:val="00A35FA7"/>
    <w:rsid w:val="00A3628E"/>
    <w:rsid w:val="00A363B6"/>
    <w:rsid w:val="00A3668B"/>
    <w:rsid w:val="00A366A1"/>
    <w:rsid w:val="00A36707"/>
    <w:rsid w:val="00A367F5"/>
    <w:rsid w:val="00A36895"/>
    <w:rsid w:val="00A3692B"/>
    <w:rsid w:val="00A36A0F"/>
    <w:rsid w:val="00A36A83"/>
    <w:rsid w:val="00A37080"/>
    <w:rsid w:val="00A3709E"/>
    <w:rsid w:val="00A37358"/>
    <w:rsid w:val="00A37400"/>
    <w:rsid w:val="00A37454"/>
    <w:rsid w:val="00A37630"/>
    <w:rsid w:val="00A3764B"/>
    <w:rsid w:val="00A37F8C"/>
    <w:rsid w:val="00A400E9"/>
    <w:rsid w:val="00A40385"/>
    <w:rsid w:val="00A40514"/>
    <w:rsid w:val="00A40822"/>
    <w:rsid w:val="00A4083F"/>
    <w:rsid w:val="00A40ADD"/>
    <w:rsid w:val="00A4108A"/>
    <w:rsid w:val="00A412AA"/>
    <w:rsid w:val="00A4157E"/>
    <w:rsid w:val="00A4174B"/>
    <w:rsid w:val="00A4191D"/>
    <w:rsid w:val="00A41BDC"/>
    <w:rsid w:val="00A41E98"/>
    <w:rsid w:val="00A41EC2"/>
    <w:rsid w:val="00A4213B"/>
    <w:rsid w:val="00A4218B"/>
    <w:rsid w:val="00A423DC"/>
    <w:rsid w:val="00A4242A"/>
    <w:rsid w:val="00A42483"/>
    <w:rsid w:val="00A428FB"/>
    <w:rsid w:val="00A42BB3"/>
    <w:rsid w:val="00A42BF9"/>
    <w:rsid w:val="00A42C5B"/>
    <w:rsid w:val="00A42E26"/>
    <w:rsid w:val="00A42E61"/>
    <w:rsid w:val="00A42E7B"/>
    <w:rsid w:val="00A42EBD"/>
    <w:rsid w:val="00A43320"/>
    <w:rsid w:val="00A43386"/>
    <w:rsid w:val="00A43475"/>
    <w:rsid w:val="00A4354A"/>
    <w:rsid w:val="00A4374D"/>
    <w:rsid w:val="00A43778"/>
    <w:rsid w:val="00A4396A"/>
    <w:rsid w:val="00A43AB7"/>
    <w:rsid w:val="00A43AE1"/>
    <w:rsid w:val="00A43B07"/>
    <w:rsid w:val="00A43D74"/>
    <w:rsid w:val="00A43D7D"/>
    <w:rsid w:val="00A43EC5"/>
    <w:rsid w:val="00A43F67"/>
    <w:rsid w:val="00A44057"/>
    <w:rsid w:val="00A4415C"/>
    <w:rsid w:val="00A442A8"/>
    <w:rsid w:val="00A443BC"/>
    <w:rsid w:val="00A4465F"/>
    <w:rsid w:val="00A44719"/>
    <w:rsid w:val="00A449FD"/>
    <w:rsid w:val="00A44AB4"/>
    <w:rsid w:val="00A44B9A"/>
    <w:rsid w:val="00A44C99"/>
    <w:rsid w:val="00A44E2F"/>
    <w:rsid w:val="00A4554C"/>
    <w:rsid w:val="00A455A8"/>
    <w:rsid w:val="00A45910"/>
    <w:rsid w:val="00A45965"/>
    <w:rsid w:val="00A459C1"/>
    <w:rsid w:val="00A45DD3"/>
    <w:rsid w:val="00A46117"/>
    <w:rsid w:val="00A466A8"/>
    <w:rsid w:val="00A46739"/>
    <w:rsid w:val="00A46DAA"/>
    <w:rsid w:val="00A470F4"/>
    <w:rsid w:val="00A4716B"/>
    <w:rsid w:val="00A471D6"/>
    <w:rsid w:val="00A47256"/>
    <w:rsid w:val="00A47349"/>
    <w:rsid w:val="00A4760B"/>
    <w:rsid w:val="00A4781F"/>
    <w:rsid w:val="00A47B6F"/>
    <w:rsid w:val="00A47EE7"/>
    <w:rsid w:val="00A501C6"/>
    <w:rsid w:val="00A5022E"/>
    <w:rsid w:val="00A502E8"/>
    <w:rsid w:val="00A50428"/>
    <w:rsid w:val="00A5046C"/>
    <w:rsid w:val="00A504A8"/>
    <w:rsid w:val="00A50721"/>
    <w:rsid w:val="00A5098F"/>
    <w:rsid w:val="00A50A32"/>
    <w:rsid w:val="00A50F7B"/>
    <w:rsid w:val="00A51386"/>
    <w:rsid w:val="00A516A5"/>
    <w:rsid w:val="00A516E5"/>
    <w:rsid w:val="00A516F4"/>
    <w:rsid w:val="00A5185C"/>
    <w:rsid w:val="00A519D8"/>
    <w:rsid w:val="00A51C27"/>
    <w:rsid w:val="00A51CE5"/>
    <w:rsid w:val="00A51CEF"/>
    <w:rsid w:val="00A51D0E"/>
    <w:rsid w:val="00A51EB6"/>
    <w:rsid w:val="00A51FD7"/>
    <w:rsid w:val="00A51FFA"/>
    <w:rsid w:val="00A52065"/>
    <w:rsid w:val="00A525A3"/>
    <w:rsid w:val="00A525F7"/>
    <w:rsid w:val="00A529C4"/>
    <w:rsid w:val="00A52C79"/>
    <w:rsid w:val="00A52F3F"/>
    <w:rsid w:val="00A52FAC"/>
    <w:rsid w:val="00A53252"/>
    <w:rsid w:val="00A532C6"/>
    <w:rsid w:val="00A53493"/>
    <w:rsid w:val="00A534D1"/>
    <w:rsid w:val="00A5364E"/>
    <w:rsid w:val="00A53E2A"/>
    <w:rsid w:val="00A53F10"/>
    <w:rsid w:val="00A5402E"/>
    <w:rsid w:val="00A54075"/>
    <w:rsid w:val="00A544AF"/>
    <w:rsid w:val="00A54656"/>
    <w:rsid w:val="00A5466E"/>
    <w:rsid w:val="00A549DF"/>
    <w:rsid w:val="00A54CC1"/>
    <w:rsid w:val="00A54CDA"/>
    <w:rsid w:val="00A54E92"/>
    <w:rsid w:val="00A54FF6"/>
    <w:rsid w:val="00A550AB"/>
    <w:rsid w:val="00A55127"/>
    <w:rsid w:val="00A553D8"/>
    <w:rsid w:val="00A55417"/>
    <w:rsid w:val="00A55637"/>
    <w:rsid w:val="00A55840"/>
    <w:rsid w:val="00A559C5"/>
    <w:rsid w:val="00A55A8E"/>
    <w:rsid w:val="00A55BF6"/>
    <w:rsid w:val="00A55DB6"/>
    <w:rsid w:val="00A55EA2"/>
    <w:rsid w:val="00A55EAC"/>
    <w:rsid w:val="00A55FE8"/>
    <w:rsid w:val="00A561B0"/>
    <w:rsid w:val="00A561DE"/>
    <w:rsid w:val="00A564CB"/>
    <w:rsid w:val="00A56728"/>
    <w:rsid w:val="00A56734"/>
    <w:rsid w:val="00A56793"/>
    <w:rsid w:val="00A5693B"/>
    <w:rsid w:val="00A569B8"/>
    <w:rsid w:val="00A56A01"/>
    <w:rsid w:val="00A56CDB"/>
    <w:rsid w:val="00A57081"/>
    <w:rsid w:val="00A5724A"/>
    <w:rsid w:val="00A57300"/>
    <w:rsid w:val="00A5766F"/>
    <w:rsid w:val="00A57A67"/>
    <w:rsid w:val="00A57C07"/>
    <w:rsid w:val="00A57F47"/>
    <w:rsid w:val="00A600B2"/>
    <w:rsid w:val="00A60256"/>
    <w:rsid w:val="00A60328"/>
    <w:rsid w:val="00A60559"/>
    <w:rsid w:val="00A60A81"/>
    <w:rsid w:val="00A60B01"/>
    <w:rsid w:val="00A60B46"/>
    <w:rsid w:val="00A60B79"/>
    <w:rsid w:val="00A60B8A"/>
    <w:rsid w:val="00A60C13"/>
    <w:rsid w:val="00A60CAA"/>
    <w:rsid w:val="00A60E35"/>
    <w:rsid w:val="00A60F17"/>
    <w:rsid w:val="00A610A0"/>
    <w:rsid w:val="00A61110"/>
    <w:rsid w:val="00A613BF"/>
    <w:rsid w:val="00A61636"/>
    <w:rsid w:val="00A616B6"/>
    <w:rsid w:val="00A617FB"/>
    <w:rsid w:val="00A618C8"/>
    <w:rsid w:val="00A61B33"/>
    <w:rsid w:val="00A61C40"/>
    <w:rsid w:val="00A61DA0"/>
    <w:rsid w:val="00A61F2C"/>
    <w:rsid w:val="00A620FD"/>
    <w:rsid w:val="00A625E0"/>
    <w:rsid w:val="00A626DC"/>
    <w:rsid w:val="00A6277B"/>
    <w:rsid w:val="00A62809"/>
    <w:rsid w:val="00A6293C"/>
    <w:rsid w:val="00A62B04"/>
    <w:rsid w:val="00A62DF4"/>
    <w:rsid w:val="00A62FF2"/>
    <w:rsid w:val="00A63117"/>
    <w:rsid w:val="00A631FE"/>
    <w:rsid w:val="00A632E5"/>
    <w:rsid w:val="00A635EC"/>
    <w:rsid w:val="00A6381D"/>
    <w:rsid w:val="00A63950"/>
    <w:rsid w:val="00A63A9A"/>
    <w:rsid w:val="00A63B85"/>
    <w:rsid w:val="00A63CB2"/>
    <w:rsid w:val="00A63DEE"/>
    <w:rsid w:val="00A63F9E"/>
    <w:rsid w:val="00A63FA7"/>
    <w:rsid w:val="00A63FC1"/>
    <w:rsid w:val="00A6405A"/>
    <w:rsid w:val="00A64310"/>
    <w:rsid w:val="00A64317"/>
    <w:rsid w:val="00A64343"/>
    <w:rsid w:val="00A64353"/>
    <w:rsid w:val="00A64367"/>
    <w:rsid w:val="00A64470"/>
    <w:rsid w:val="00A645DE"/>
    <w:rsid w:val="00A649E9"/>
    <w:rsid w:val="00A64A17"/>
    <w:rsid w:val="00A64BD3"/>
    <w:rsid w:val="00A64CA0"/>
    <w:rsid w:val="00A64E64"/>
    <w:rsid w:val="00A65471"/>
    <w:rsid w:val="00A655BB"/>
    <w:rsid w:val="00A65766"/>
    <w:rsid w:val="00A65AE9"/>
    <w:rsid w:val="00A65C16"/>
    <w:rsid w:val="00A65C3B"/>
    <w:rsid w:val="00A65DB6"/>
    <w:rsid w:val="00A65E9C"/>
    <w:rsid w:val="00A66026"/>
    <w:rsid w:val="00A663FB"/>
    <w:rsid w:val="00A664CA"/>
    <w:rsid w:val="00A66525"/>
    <w:rsid w:val="00A665CA"/>
    <w:rsid w:val="00A665E0"/>
    <w:rsid w:val="00A6667D"/>
    <w:rsid w:val="00A66777"/>
    <w:rsid w:val="00A668EB"/>
    <w:rsid w:val="00A66A99"/>
    <w:rsid w:val="00A66CC8"/>
    <w:rsid w:val="00A66FF5"/>
    <w:rsid w:val="00A67009"/>
    <w:rsid w:val="00A670DD"/>
    <w:rsid w:val="00A6737C"/>
    <w:rsid w:val="00A67522"/>
    <w:rsid w:val="00A676BB"/>
    <w:rsid w:val="00A67922"/>
    <w:rsid w:val="00A67BA3"/>
    <w:rsid w:val="00A67C7B"/>
    <w:rsid w:val="00A67D3E"/>
    <w:rsid w:val="00A67D5B"/>
    <w:rsid w:val="00A67EE8"/>
    <w:rsid w:val="00A7000F"/>
    <w:rsid w:val="00A70038"/>
    <w:rsid w:val="00A709C5"/>
    <w:rsid w:val="00A70BD2"/>
    <w:rsid w:val="00A70CCB"/>
    <w:rsid w:val="00A70D6C"/>
    <w:rsid w:val="00A70D75"/>
    <w:rsid w:val="00A70D8B"/>
    <w:rsid w:val="00A70EA9"/>
    <w:rsid w:val="00A7130F"/>
    <w:rsid w:val="00A713C8"/>
    <w:rsid w:val="00A7146F"/>
    <w:rsid w:val="00A715A2"/>
    <w:rsid w:val="00A716A5"/>
    <w:rsid w:val="00A717D6"/>
    <w:rsid w:val="00A71868"/>
    <w:rsid w:val="00A71A3E"/>
    <w:rsid w:val="00A71B42"/>
    <w:rsid w:val="00A71C93"/>
    <w:rsid w:val="00A71DF1"/>
    <w:rsid w:val="00A71E8B"/>
    <w:rsid w:val="00A71FC3"/>
    <w:rsid w:val="00A72108"/>
    <w:rsid w:val="00A722BE"/>
    <w:rsid w:val="00A723E0"/>
    <w:rsid w:val="00A72499"/>
    <w:rsid w:val="00A72683"/>
    <w:rsid w:val="00A7277D"/>
    <w:rsid w:val="00A727CA"/>
    <w:rsid w:val="00A727E1"/>
    <w:rsid w:val="00A7280F"/>
    <w:rsid w:val="00A72888"/>
    <w:rsid w:val="00A72A30"/>
    <w:rsid w:val="00A72ED6"/>
    <w:rsid w:val="00A730E4"/>
    <w:rsid w:val="00A7319A"/>
    <w:rsid w:val="00A73439"/>
    <w:rsid w:val="00A735BE"/>
    <w:rsid w:val="00A73BA7"/>
    <w:rsid w:val="00A73D7E"/>
    <w:rsid w:val="00A73EFA"/>
    <w:rsid w:val="00A742C9"/>
    <w:rsid w:val="00A7441A"/>
    <w:rsid w:val="00A747E0"/>
    <w:rsid w:val="00A74AA9"/>
    <w:rsid w:val="00A74D4E"/>
    <w:rsid w:val="00A74D52"/>
    <w:rsid w:val="00A74DC6"/>
    <w:rsid w:val="00A74E92"/>
    <w:rsid w:val="00A74EE0"/>
    <w:rsid w:val="00A75047"/>
    <w:rsid w:val="00A7505C"/>
    <w:rsid w:val="00A752C6"/>
    <w:rsid w:val="00A75464"/>
    <w:rsid w:val="00A756A4"/>
    <w:rsid w:val="00A757A0"/>
    <w:rsid w:val="00A75826"/>
    <w:rsid w:val="00A758D0"/>
    <w:rsid w:val="00A7592B"/>
    <w:rsid w:val="00A759EF"/>
    <w:rsid w:val="00A75D98"/>
    <w:rsid w:val="00A7605D"/>
    <w:rsid w:val="00A76144"/>
    <w:rsid w:val="00A763AC"/>
    <w:rsid w:val="00A763B4"/>
    <w:rsid w:val="00A766DB"/>
    <w:rsid w:val="00A766E0"/>
    <w:rsid w:val="00A768A8"/>
    <w:rsid w:val="00A7697A"/>
    <w:rsid w:val="00A76AF7"/>
    <w:rsid w:val="00A77096"/>
    <w:rsid w:val="00A77A7E"/>
    <w:rsid w:val="00A77B06"/>
    <w:rsid w:val="00A77C56"/>
    <w:rsid w:val="00A77EF8"/>
    <w:rsid w:val="00A77FF0"/>
    <w:rsid w:val="00A802B4"/>
    <w:rsid w:val="00A8048A"/>
    <w:rsid w:val="00A80492"/>
    <w:rsid w:val="00A80A26"/>
    <w:rsid w:val="00A80CCF"/>
    <w:rsid w:val="00A80CE7"/>
    <w:rsid w:val="00A80D72"/>
    <w:rsid w:val="00A80E5A"/>
    <w:rsid w:val="00A80EDF"/>
    <w:rsid w:val="00A81172"/>
    <w:rsid w:val="00A81197"/>
    <w:rsid w:val="00A811CB"/>
    <w:rsid w:val="00A81745"/>
    <w:rsid w:val="00A819AB"/>
    <w:rsid w:val="00A81B6F"/>
    <w:rsid w:val="00A81DFA"/>
    <w:rsid w:val="00A81F85"/>
    <w:rsid w:val="00A820AA"/>
    <w:rsid w:val="00A82199"/>
    <w:rsid w:val="00A822E2"/>
    <w:rsid w:val="00A825A7"/>
    <w:rsid w:val="00A82997"/>
    <w:rsid w:val="00A82AC7"/>
    <w:rsid w:val="00A82C64"/>
    <w:rsid w:val="00A82CFA"/>
    <w:rsid w:val="00A82E5C"/>
    <w:rsid w:val="00A82EC3"/>
    <w:rsid w:val="00A8306F"/>
    <w:rsid w:val="00A8321D"/>
    <w:rsid w:val="00A83365"/>
    <w:rsid w:val="00A833B6"/>
    <w:rsid w:val="00A833CE"/>
    <w:rsid w:val="00A833D4"/>
    <w:rsid w:val="00A835AA"/>
    <w:rsid w:val="00A83743"/>
    <w:rsid w:val="00A837F6"/>
    <w:rsid w:val="00A83AA1"/>
    <w:rsid w:val="00A83AB0"/>
    <w:rsid w:val="00A83C41"/>
    <w:rsid w:val="00A83E02"/>
    <w:rsid w:val="00A83EAD"/>
    <w:rsid w:val="00A84291"/>
    <w:rsid w:val="00A846A0"/>
    <w:rsid w:val="00A84838"/>
    <w:rsid w:val="00A84906"/>
    <w:rsid w:val="00A849B2"/>
    <w:rsid w:val="00A84AD9"/>
    <w:rsid w:val="00A8527E"/>
    <w:rsid w:val="00A85672"/>
    <w:rsid w:val="00A857BF"/>
    <w:rsid w:val="00A85A92"/>
    <w:rsid w:val="00A85CA0"/>
    <w:rsid w:val="00A85CC9"/>
    <w:rsid w:val="00A85D59"/>
    <w:rsid w:val="00A85E36"/>
    <w:rsid w:val="00A85EA4"/>
    <w:rsid w:val="00A86000"/>
    <w:rsid w:val="00A86182"/>
    <w:rsid w:val="00A862C7"/>
    <w:rsid w:val="00A865BC"/>
    <w:rsid w:val="00A86DFE"/>
    <w:rsid w:val="00A86E5D"/>
    <w:rsid w:val="00A87162"/>
    <w:rsid w:val="00A872A9"/>
    <w:rsid w:val="00A872F0"/>
    <w:rsid w:val="00A87903"/>
    <w:rsid w:val="00A87A0F"/>
    <w:rsid w:val="00A87A63"/>
    <w:rsid w:val="00A87D28"/>
    <w:rsid w:val="00A87E33"/>
    <w:rsid w:val="00A87EB9"/>
    <w:rsid w:val="00A902BE"/>
    <w:rsid w:val="00A90306"/>
    <w:rsid w:val="00A90429"/>
    <w:rsid w:val="00A90512"/>
    <w:rsid w:val="00A90599"/>
    <w:rsid w:val="00A905D2"/>
    <w:rsid w:val="00A90874"/>
    <w:rsid w:val="00A90939"/>
    <w:rsid w:val="00A909AE"/>
    <w:rsid w:val="00A90CED"/>
    <w:rsid w:val="00A90E51"/>
    <w:rsid w:val="00A90F1C"/>
    <w:rsid w:val="00A912D5"/>
    <w:rsid w:val="00A91571"/>
    <w:rsid w:val="00A917F9"/>
    <w:rsid w:val="00A91DC2"/>
    <w:rsid w:val="00A91EEB"/>
    <w:rsid w:val="00A91F54"/>
    <w:rsid w:val="00A92110"/>
    <w:rsid w:val="00A92114"/>
    <w:rsid w:val="00A92321"/>
    <w:rsid w:val="00A92404"/>
    <w:rsid w:val="00A92489"/>
    <w:rsid w:val="00A92900"/>
    <w:rsid w:val="00A92F59"/>
    <w:rsid w:val="00A9314D"/>
    <w:rsid w:val="00A93269"/>
    <w:rsid w:val="00A93375"/>
    <w:rsid w:val="00A9356F"/>
    <w:rsid w:val="00A935FD"/>
    <w:rsid w:val="00A938D3"/>
    <w:rsid w:val="00A9392E"/>
    <w:rsid w:val="00A93A8D"/>
    <w:rsid w:val="00A93BB6"/>
    <w:rsid w:val="00A93D12"/>
    <w:rsid w:val="00A93F4B"/>
    <w:rsid w:val="00A93F5A"/>
    <w:rsid w:val="00A94035"/>
    <w:rsid w:val="00A94067"/>
    <w:rsid w:val="00A940D2"/>
    <w:rsid w:val="00A9411A"/>
    <w:rsid w:val="00A941A0"/>
    <w:rsid w:val="00A94229"/>
    <w:rsid w:val="00A942DF"/>
    <w:rsid w:val="00A94370"/>
    <w:rsid w:val="00A9450A"/>
    <w:rsid w:val="00A9462E"/>
    <w:rsid w:val="00A946A1"/>
    <w:rsid w:val="00A94813"/>
    <w:rsid w:val="00A9497A"/>
    <w:rsid w:val="00A94B10"/>
    <w:rsid w:val="00A94B5C"/>
    <w:rsid w:val="00A94BAE"/>
    <w:rsid w:val="00A94E6A"/>
    <w:rsid w:val="00A94EAE"/>
    <w:rsid w:val="00A951AF"/>
    <w:rsid w:val="00A9578D"/>
    <w:rsid w:val="00A9597F"/>
    <w:rsid w:val="00A95F96"/>
    <w:rsid w:val="00A96161"/>
    <w:rsid w:val="00A9699A"/>
    <w:rsid w:val="00A96E07"/>
    <w:rsid w:val="00A97147"/>
    <w:rsid w:val="00A973A4"/>
    <w:rsid w:val="00A9741F"/>
    <w:rsid w:val="00A9748A"/>
    <w:rsid w:val="00A97514"/>
    <w:rsid w:val="00A97648"/>
    <w:rsid w:val="00A97740"/>
    <w:rsid w:val="00A977B5"/>
    <w:rsid w:val="00A97C62"/>
    <w:rsid w:val="00A97C86"/>
    <w:rsid w:val="00A97E40"/>
    <w:rsid w:val="00AA0325"/>
    <w:rsid w:val="00AA0444"/>
    <w:rsid w:val="00AA055E"/>
    <w:rsid w:val="00AA0640"/>
    <w:rsid w:val="00AA06E4"/>
    <w:rsid w:val="00AA0722"/>
    <w:rsid w:val="00AA07AD"/>
    <w:rsid w:val="00AA0B8D"/>
    <w:rsid w:val="00AA0D4D"/>
    <w:rsid w:val="00AA0EFA"/>
    <w:rsid w:val="00AA0F62"/>
    <w:rsid w:val="00AA15BF"/>
    <w:rsid w:val="00AA1602"/>
    <w:rsid w:val="00AA19CE"/>
    <w:rsid w:val="00AA19EF"/>
    <w:rsid w:val="00AA1A11"/>
    <w:rsid w:val="00AA1B83"/>
    <w:rsid w:val="00AA1E27"/>
    <w:rsid w:val="00AA1E55"/>
    <w:rsid w:val="00AA1EA9"/>
    <w:rsid w:val="00AA1F66"/>
    <w:rsid w:val="00AA1FF9"/>
    <w:rsid w:val="00AA21C4"/>
    <w:rsid w:val="00AA2205"/>
    <w:rsid w:val="00AA273C"/>
    <w:rsid w:val="00AA2814"/>
    <w:rsid w:val="00AA285A"/>
    <w:rsid w:val="00AA2BF7"/>
    <w:rsid w:val="00AA2DBC"/>
    <w:rsid w:val="00AA2E09"/>
    <w:rsid w:val="00AA2F0F"/>
    <w:rsid w:val="00AA305D"/>
    <w:rsid w:val="00AA30AF"/>
    <w:rsid w:val="00AA319D"/>
    <w:rsid w:val="00AA3296"/>
    <w:rsid w:val="00AA3379"/>
    <w:rsid w:val="00AA3517"/>
    <w:rsid w:val="00AA38FA"/>
    <w:rsid w:val="00AA3990"/>
    <w:rsid w:val="00AA3D18"/>
    <w:rsid w:val="00AA3D72"/>
    <w:rsid w:val="00AA3DC0"/>
    <w:rsid w:val="00AA3DF6"/>
    <w:rsid w:val="00AA3E5D"/>
    <w:rsid w:val="00AA3F4A"/>
    <w:rsid w:val="00AA40C6"/>
    <w:rsid w:val="00AA42F8"/>
    <w:rsid w:val="00AA4577"/>
    <w:rsid w:val="00AA45F6"/>
    <w:rsid w:val="00AA4920"/>
    <w:rsid w:val="00AA4B0F"/>
    <w:rsid w:val="00AA4BEB"/>
    <w:rsid w:val="00AA4CA3"/>
    <w:rsid w:val="00AA5169"/>
    <w:rsid w:val="00AA519F"/>
    <w:rsid w:val="00AA524F"/>
    <w:rsid w:val="00AA52E3"/>
    <w:rsid w:val="00AA52EE"/>
    <w:rsid w:val="00AA548C"/>
    <w:rsid w:val="00AA5A92"/>
    <w:rsid w:val="00AA5C32"/>
    <w:rsid w:val="00AA5E51"/>
    <w:rsid w:val="00AA6011"/>
    <w:rsid w:val="00AA6077"/>
    <w:rsid w:val="00AA6407"/>
    <w:rsid w:val="00AA6429"/>
    <w:rsid w:val="00AA657D"/>
    <w:rsid w:val="00AA667E"/>
    <w:rsid w:val="00AA66C0"/>
    <w:rsid w:val="00AA6742"/>
    <w:rsid w:val="00AA6950"/>
    <w:rsid w:val="00AA6A9D"/>
    <w:rsid w:val="00AA6AE3"/>
    <w:rsid w:val="00AA6B47"/>
    <w:rsid w:val="00AA6CC2"/>
    <w:rsid w:val="00AA6D11"/>
    <w:rsid w:val="00AA6D13"/>
    <w:rsid w:val="00AA6D43"/>
    <w:rsid w:val="00AA6D47"/>
    <w:rsid w:val="00AA6E18"/>
    <w:rsid w:val="00AA6FBA"/>
    <w:rsid w:val="00AA7123"/>
    <w:rsid w:val="00AA71E0"/>
    <w:rsid w:val="00AA73EE"/>
    <w:rsid w:val="00AA7427"/>
    <w:rsid w:val="00AA753D"/>
    <w:rsid w:val="00AA79E6"/>
    <w:rsid w:val="00AA7D21"/>
    <w:rsid w:val="00AA7F63"/>
    <w:rsid w:val="00AA7F99"/>
    <w:rsid w:val="00AB0130"/>
    <w:rsid w:val="00AB0393"/>
    <w:rsid w:val="00AB04AC"/>
    <w:rsid w:val="00AB0E76"/>
    <w:rsid w:val="00AB0EE7"/>
    <w:rsid w:val="00AB1314"/>
    <w:rsid w:val="00AB1624"/>
    <w:rsid w:val="00AB1629"/>
    <w:rsid w:val="00AB1A5E"/>
    <w:rsid w:val="00AB1BF7"/>
    <w:rsid w:val="00AB1F00"/>
    <w:rsid w:val="00AB2283"/>
    <w:rsid w:val="00AB2447"/>
    <w:rsid w:val="00AB2641"/>
    <w:rsid w:val="00AB2654"/>
    <w:rsid w:val="00AB2685"/>
    <w:rsid w:val="00AB272B"/>
    <w:rsid w:val="00AB28AA"/>
    <w:rsid w:val="00AB2D27"/>
    <w:rsid w:val="00AB30DA"/>
    <w:rsid w:val="00AB31D2"/>
    <w:rsid w:val="00AB3384"/>
    <w:rsid w:val="00AB35DE"/>
    <w:rsid w:val="00AB3714"/>
    <w:rsid w:val="00AB37BB"/>
    <w:rsid w:val="00AB38CD"/>
    <w:rsid w:val="00AB396C"/>
    <w:rsid w:val="00AB3AC2"/>
    <w:rsid w:val="00AB3AFB"/>
    <w:rsid w:val="00AB3B31"/>
    <w:rsid w:val="00AB3C0E"/>
    <w:rsid w:val="00AB3D98"/>
    <w:rsid w:val="00AB3DEA"/>
    <w:rsid w:val="00AB4247"/>
    <w:rsid w:val="00AB42E1"/>
    <w:rsid w:val="00AB45C2"/>
    <w:rsid w:val="00AB48FC"/>
    <w:rsid w:val="00AB499F"/>
    <w:rsid w:val="00AB4A74"/>
    <w:rsid w:val="00AB4AAF"/>
    <w:rsid w:val="00AB4C55"/>
    <w:rsid w:val="00AB4FD0"/>
    <w:rsid w:val="00AB50EE"/>
    <w:rsid w:val="00AB510A"/>
    <w:rsid w:val="00AB5393"/>
    <w:rsid w:val="00AB54BA"/>
    <w:rsid w:val="00AB554E"/>
    <w:rsid w:val="00AB564B"/>
    <w:rsid w:val="00AB576F"/>
    <w:rsid w:val="00AB5781"/>
    <w:rsid w:val="00AB596E"/>
    <w:rsid w:val="00AB59EA"/>
    <w:rsid w:val="00AB5A21"/>
    <w:rsid w:val="00AB5B3A"/>
    <w:rsid w:val="00AB5BEB"/>
    <w:rsid w:val="00AB5C9C"/>
    <w:rsid w:val="00AB613D"/>
    <w:rsid w:val="00AB6881"/>
    <w:rsid w:val="00AB699A"/>
    <w:rsid w:val="00AB6A99"/>
    <w:rsid w:val="00AB6BC7"/>
    <w:rsid w:val="00AB6CE2"/>
    <w:rsid w:val="00AB6EF1"/>
    <w:rsid w:val="00AB6FDD"/>
    <w:rsid w:val="00AB77E1"/>
    <w:rsid w:val="00AB7812"/>
    <w:rsid w:val="00AB783F"/>
    <w:rsid w:val="00AB7A9E"/>
    <w:rsid w:val="00AB7AFF"/>
    <w:rsid w:val="00AB7DDB"/>
    <w:rsid w:val="00AC0314"/>
    <w:rsid w:val="00AC04F7"/>
    <w:rsid w:val="00AC062E"/>
    <w:rsid w:val="00AC0723"/>
    <w:rsid w:val="00AC07E4"/>
    <w:rsid w:val="00AC0AB5"/>
    <w:rsid w:val="00AC0D51"/>
    <w:rsid w:val="00AC0E45"/>
    <w:rsid w:val="00AC0E62"/>
    <w:rsid w:val="00AC0EFA"/>
    <w:rsid w:val="00AC0F5B"/>
    <w:rsid w:val="00AC1074"/>
    <w:rsid w:val="00AC155A"/>
    <w:rsid w:val="00AC16E0"/>
    <w:rsid w:val="00AC1BDA"/>
    <w:rsid w:val="00AC1C53"/>
    <w:rsid w:val="00AC1EA6"/>
    <w:rsid w:val="00AC1FF4"/>
    <w:rsid w:val="00AC20E4"/>
    <w:rsid w:val="00AC230D"/>
    <w:rsid w:val="00AC23A1"/>
    <w:rsid w:val="00AC2A3B"/>
    <w:rsid w:val="00AC2E6E"/>
    <w:rsid w:val="00AC2E9E"/>
    <w:rsid w:val="00AC2F3C"/>
    <w:rsid w:val="00AC30D9"/>
    <w:rsid w:val="00AC31DA"/>
    <w:rsid w:val="00AC320B"/>
    <w:rsid w:val="00AC33E5"/>
    <w:rsid w:val="00AC3816"/>
    <w:rsid w:val="00AC3853"/>
    <w:rsid w:val="00AC3874"/>
    <w:rsid w:val="00AC38D1"/>
    <w:rsid w:val="00AC3925"/>
    <w:rsid w:val="00AC407C"/>
    <w:rsid w:val="00AC42AB"/>
    <w:rsid w:val="00AC4335"/>
    <w:rsid w:val="00AC4385"/>
    <w:rsid w:val="00AC43EE"/>
    <w:rsid w:val="00AC44B2"/>
    <w:rsid w:val="00AC45C1"/>
    <w:rsid w:val="00AC45F9"/>
    <w:rsid w:val="00AC46DC"/>
    <w:rsid w:val="00AC481A"/>
    <w:rsid w:val="00AC49EF"/>
    <w:rsid w:val="00AC4AE4"/>
    <w:rsid w:val="00AC4FF6"/>
    <w:rsid w:val="00AC5067"/>
    <w:rsid w:val="00AC5233"/>
    <w:rsid w:val="00AC5382"/>
    <w:rsid w:val="00AC540E"/>
    <w:rsid w:val="00AC5582"/>
    <w:rsid w:val="00AC5755"/>
    <w:rsid w:val="00AC58F7"/>
    <w:rsid w:val="00AC5A38"/>
    <w:rsid w:val="00AC5AF8"/>
    <w:rsid w:val="00AC5AFB"/>
    <w:rsid w:val="00AC5C69"/>
    <w:rsid w:val="00AC5CE5"/>
    <w:rsid w:val="00AC5F7B"/>
    <w:rsid w:val="00AC60D6"/>
    <w:rsid w:val="00AC6392"/>
    <w:rsid w:val="00AC63C4"/>
    <w:rsid w:val="00AC63F5"/>
    <w:rsid w:val="00AC63FE"/>
    <w:rsid w:val="00AC662D"/>
    <w:rsid w:val="00AC68CC"/>
    <w:rsid w:val="00AC69E9"/>
    <w:rsid w:val="00AC6AC0"/>
    <w:rsid w:val="00AC6B8C"/>
    <w:rsid w:val="00AC6BB6"/>
    <w:rsid w:val="00AC6E21"/>
    <w:rsid w:val="00AC6F9C"/>
    <w:rsid w:val="00AC7003"/>
    <w:rsid w:val="00AC708F"/>
    <w:rsid w:val="00AC7125"/>
    <w:rsid w:val="00AC717F"/>
    <w:rsid w:val="00AC7188"/>
    <w:rsid w:val="00AC72F5"/>
    <w:rsid w:val="00AC7397"/>
    <w:rsid w:val="00AC7492"/>
    <w:rsid w:val="00AC74AE"/>
    <w:rsid w:val="00AC7983"/>
    <w:rsid w:val="00AC79F2"/>
    <w:rsid w:val="00AC7B2C"/>
    <w:rsid w:val="00AC7C0D"/>
    <w:rsid w:val="00AC7DE2"/>
    <w:rsid w:val="00AC7DEC"/>
    <w:rsid w:val="00AD019D"/>
    <w:rsid w:val="00AD0375"/>
    <w:rsid w:val="00AD0396"/>
    <w:rsid w:val="00AD042D"/>
    <w:rsid w:val="00AD074C"/>
    <w:rsid w:val="00AD0825"/>
    <w:rsid w:val="00AD0A43"/>
    <w:rsid w:val="00AD0A5D"/>
    <w:rsid w:val="00AD0C82"/>
    <w:rsid w:val="00AD0CF0"/>
    <w:rsid w:val="00AD0DB8"/>
    <w:rsid w:val="00AD0E31"/>
    <w:rsid w:val="00AD14E8"/>
    <w:rsid w:val="00AD171E"/>
    <w:rsid w:val="00AD1AF0"/>
    <w:rsid w:val="00AD1CB4"/>
    <w:rsid w:val="00AD1E27"/>
    <w:rsid w:val="00AD20A6"/>
    <w:rsid w:val="00AD2290"/>
    <w:rsid w:val="00AD23E3"/>
    <w:rsid w:val="00AD24F3"/>
    <w:rsid w:val="00AD2544"/>
    <w:rsid w:val="00AD26AE"/>
    <w:rsid w:val="00AD295A"/>
    <w:rsid w:val="00AD29CE"/>
    <w:rsid w:val="00AD2B9E"/>
    <w:rsid w:val="00AD2F91"/>
    <w:rsid w:val="00AD2F96"/>
    <w:rsid w:val="00AD3004"/>
    <w:rsid w:val="00AD30A1"/>
    <w:rsid w:val="00AD33DE"/>
    <w:rsid w:val="00AD3A3F"/>
    <w:rsid w:val="00AD3A6D"/>
    <w:rsid w:val="00AD3EC4"/>
    <w:rsid w:val="00AD3FE9"/>
    <w:rsid w:val="00AD4353"/>
    <w:rsid w:val="00AD4988"/>
    <w:rsid w:val="00AD4B09"/>
    <w:rsid w:val="00AD4B36"/>
    <w:rsid w:val="00AD4C5C"/>
    <w:rsid w:val="00AD4DF6"/>
    <w:rsid w:val="00AD4E3C"/>
    <w:rsid w:val="00AD4E82"/>
    <w:rsid w:val="00AD4EFF"/>
    <w:rsid w:val="00AD4F9C"/>
    <w:rsid w:val="00AD4FCB"/>
    <w:rsid w:val="00AD502E"/>
    <w:rsid w:val="00AD531D"/>
    <w:rsid w:val="00AD5361"/>
    <w:rsid w:val="00AD5451"/>
    <w:rsid w:val="00AD59DD"/>
    <w:rsid w:val="00AD5A52"/>
    <w:rsid w:val="00AD5C8B"/>
    <w:rsid w:val="00AD6239"/>
    <w:rsid w:val="00AD635D"/>
    <w:rsid w:val="00AD64D5"/>
    <w:rsid w:val="00AD67F1"/>
    <w:rsid w:val="00AD69A3"/>
    <w:rsid w:val="00AD69EC"/>
    <w:rsid w:val="00AD6D42"/>
    <w:rsid w:val="00AD6ED3"/>
    <w:rsid w:val="00AD6F45"/>
    <w:rsid w:val="00AD6F4D"/>
    <w:rsid w:val="00AD7234"/>
    <w:rsid w:val="00AD7368"/>
    <w:rsid w:val="00AD75A5"/>
    <w:rsid w:val="00AD77F2"/>
    <w:rsid w:val="00AD79D2"/>
    <w:rsid w:val="00AD7A0F"/>
    <w:rsid w:val="00AD7C0F"/>
    <w:rsid w:val="00AD7C74"/>
    <w:rsid w:val="00AD7D54"/>
    <w:rsid w:val="00AE006A"/>
    <w:rsid w:val="00AE045B"/>
    <w:rsid w:val="00AE056C"/>
    <w:rsid w:val="00AE0575"/>
    <w:rsid w:val="00AE0928"/>
    <w:rsid w:val="00AE0A86"/>
    <w:rsid w:val="00AE0A92"/>
    <w:rsid w:val="00AE0B3E"/>
    <w:rsid w:val="00AE0B56"/>
    <w:rsid w:val="00AE0BB8"/>
    <w:rsid w:val="00AE0C8A"/>
    <w:rsid w:val="00AE0E4D"/>
    <w:rsid w:val="00AE0F75"/>
    <w:rsid w:val="00AE132A"/>
    <w:rsid w:val="00AE15B8"/>
    <w:rsid w:val="00AE1A85"/>
    <w:rsid w:val="00AE1ACB"/>
    <w:rsid w:val="00AE1BA3"/>
    <w:rsid w:val="00AE1BF7"/>
    <w:rsid w:val="00AE1C26"/>
    <w:rsid w:val="00AE1F20"/>
    <w:rsid w:val="00AE1FB8"/>
    <w:rsid w:val="00AE202B"/>
    <w:rsid w:val="00AE20B0"/>
    <w:rsid w:val="00AE2606"/>
    <w:rsid w:val="00AE2839"/>
    <w:rsid w:val="00AE2965"/>
    <w:rsid w:val="00AE2B03"/>
    <w:rsid w:val="00AE2C3C"/>
    <w:rsid w:val="00AE2D5B"/>
    <w:rsid w:val="00AE2D6A"/>
    <w:rsid w:val="00AE2E0F"/>
    <w:rsid w:val="00AE2ED5"/>
    <w:rsid w:val="00AE2FC8"/>
    <w:rsid w:val="00AE307D"/>
    <w:rsid w:val="00AE3169"/>
    <w:rsid w:val="00AE3253"/>
    <w:rsid w:val="00AE36AA"/>
    <w:rsid w:val="00AE371C"/>
    <w:rsid w:val="00AE38EE"/>
    <w:rsid w:val="00AE3AC7"/>
    <w:rsid w:val="00AE3AD6"/>
    <w:rsid w:val="00AE3DA8"/>
    <w:rsid w:val="00AE3E21"/>
    <w:rsid w:val="00AE3ECB"/>
    <w:rsid w:val="00AE3F01"/>
    <w:rsid w:val="00AE419A"/>
    <w:rsid w:val="00AE4320"/>
    <w:rsid w:val="00AE4D4D"/>
    <w:rsid w:val="00AE4F76"/>
    <w:rsid w:val="00AE519D"/>
    <w:rsid w:val="00AE52CC"/>
    <w:rsid w:val="00AE57D1"/>
    <w:rsid w:val="00AE592B"/>
    <w:rsid w:val="00AE5A34"/>
    <w:rsid w:val="00AE5A5A"/>
    <w:rsid w:val="00AE5A9C"/>
    <w:rsid w:val="00AE5D0A"/>
    <w:rsid w:val="00AE5D82"/>
    <w:rsid w:val="00AE5EDA"/>
    <w:rsid w:val="00AE60AE"/>
    <w:rsid w:val="00AE6212"/>
    <w:rsid w:val="00AE6351"/>
    <w:rsid w:val="00AE6566"/>
    <w:rsid w:val="00AE6654"/>
    <w:rsid w:val="00AE66C8"/>
    <w:rsid w:val="00AE672E"/>
    <w:rsid w:val="00AE67EF"/>
    <w:rsid w:val="00AE6A58"/>
    <w:rsid w:val="00AE6D9B"/>
    <w:rsid w:val="00AE7134"/>
    <w:rsid w:val="00AE728B"/>
    <w:rsid w:val="00AE74D1"/>
    <w:rsid w:val="00AE7532"/>
    <w:rsid w:val="00AE754E"/>
    <w:rsid w:val="00AE78F7"/>
    <w:rsid w:val="00AE7A26"/>
    <w:rsid w:val="00AE7BC0"/>
    <w:rsid w:val="00AE7C48"/>
    <w:rsid w:val="00AF04EE"/>
    <w:rsid w:val="00AF062B"/>
    <w:rsid w:val="00AF0678"/>
    <w:rsid w:val="00AF0762"/>
    <w:rsid w:val="00AF08A7"/>
    <w:rsid w:val="00AF090C"/>
    <w:rsid w:val="00AF09F8"/>
    <w:rsid w:val="00AF0BE3"/>
    <w:rsid w:val="00AF0E47"/>
    <w:rsid w:val="00AF0FA9"/>
    <w:rsid w:val="00AF0FC6"/>
    <w:rsid w:val="00AF10FE"/>
    <w:rsid w:val="00AF12EE"/>
    <w:rsid w:val="00AF1A3F"/>
    <w:rsid w:val="00AF1BA8"/>
    <w:rsid w:val="00AF1C34"/>
    <w:rsid w:val="00AF1D97"/>
    <w:rsid w:val="00AF1FF4"/>
    <w:rsid w:val="00AF2296"/>
    <w:rsid w:val="00AF22D2"/>
    <w:rsid w:val="00AF22FC"/>
    <w:rsid w:val="00AF2313"/>
    <w:rsid w:val="00AF2547"/>
    <w:rsid w:val="00AF256F"/>
    <w:rsid w:val="00AF2727"/>
    <w:rsid w:val="00AF28F7"/>
    <w:rsid w:val="00AF294D"/>
    <w:rsid w:val="00AF2B8A"/>
    <w:rsid w:val="00AF2D36"/>
    <w:rsid w:val="00AF2D67"/>
    <w:rsid w:val="00AF2DDA"/>
    <w:rsid w:val="00AF2EF0"/>
    <w:rsid w:val="00AF3038"/>
    <w:rsid w:val="00AF305E"/>
    <w:rsid w:val="00AF30A6"/>
    <w:rsid w:val="00AF30C1"/>
    <w:rsid w:val="00AF314A"/>
    <w:rsid w:val="00AF338C"/>
    <w:rsid w:val="00AF3427"/>
    <w:rsid w:val="00AF390C"/>
    <w:rsid w:val="00AF39A8"/>
    <w:rsid w:val="00AF3A9D"/>
    <w:rsid w:val="00AF3C97"/>
    <w:rsid w:val="00AF3D0A"/>
    <w:rsid w:val="00AF3D63"/>
    <w:rsid w:val="00AF3DB8"/>
    <w:rsid w:val="00AF3DFF"/>
    <w:rsid w:val="00AF41B7"/>
    <w:rsid w:val="00AF41DD"/>
    <w:rsid w:val="00AF4349"/>
    <w:rsid w:val="00AF47AA"/>
    <w:rsid w:val="00AF482F"/>
    <w:rsid w:val="00AF48D1"/>
    <w:rsid w:val="00AF4924"/>
    <w:rsid w:val="00AF4951"/>
    <w:rsid w:val="00AF4A91"/>
    <w:rsid w:val="00AF4BC1"/>
    <w:rsid w:val="00AF4C14"/>
    <w:rsid w:val="00AF4D03"/>
    <w:rsid w:val="00AF4D9F"/>
    <w:rsid w:val="00AF4E84"/>
    <w:rsid w:val="00AF52B3"/>
    <w:rsid w:val="00AF52DA"/>
    <w:rsid w:val="00AF52FE"/>
    <w:rsid w:val="00AF54EA"/>
    <w:rsid w:val="00AF5A67"/>
    <w:rsid w:val="00AF5B75"/>
    <w:rsid w:val="00AF5C2A"/>
    <w:rsid w:val="00AF5C2B"/>
    <w:rsid w:val="00AF5F08"/>
    <w:rsid w:val="00AF62B7"/>
    <w:rsid w:val="00AF632E"/>
    <w:rsid w:val="00AF6333"/>
    <w:rsid w:val="00AF64C6"/>
    <w:rsid w:val="00AF654D"/>
    <w:rsid w:val="00AF65FD"/>
    <w:rsid w:val="00AF673D"/>
    <w:rsid w:val="00AF688F"/>
    <w:rsid w:val="00AF6920"/>
    <w:rsid w:val="00AF6C95"/>
    <w:rsid w:val="00AF6E02"/>
    <w:rsid w:val="00AF700F"/>
    <w:rsid w:val="00AF704C"/>
    <w:rsid w:val="00AF72B6"/>
    <w:rsid w:val="00AF73CB"/>
    <w:rsid w:val="00AF79E2"/>
    <w:rsid w:val="00AF7E0C"/>
    <w:rsid w:val="00B0000A"/>
    <w:rsid w:val="00B00054"/>
    <w:rsid w:val="00B0006D"/>
    <w:rsid w:val="00B004C5"/>
    <w:rsid w:val="00B0052D"/>
    <w:rsid w:val="00B00774"/>
    <w:rsid w:val="00B00AFB"/>
    <w:rsid w:val="00B00BF5"/>
    <w:rsid w:val="00B00CE4"/>
    <w:rsid w:val="00B00E96"/>
    <w:rsid w:val="00B0111D"/>
    <w:rsid w:val="00B013F7"/>
    <w:rsid w:val="00B015AB"/>
    <w:rsid w:val="00B015B5"/>
    <w:rsid w:val="00B01653"/>
    <w:rsid w:val="00B01920"/>
    <w:rsid w:val="00B01986"/>
    <w:rsid w:val="00B0199C"/>
    <w:rsid w:val="00B019A4"/>
    <w:rsid w:val="00B01ADC"/>
    <w:rsid w:val="00B01B3F"/>
    <w:rsid w:val="00B01C24"/>
    <w:rsid w:val="00B01C47"/>
    <w:rsid w:val="00B01D8A"/>
    <w:rsid w:val="00B01E63"/>
    <w:rsid w:val="00B01EF4"/>
    <w:rsid w:val="00B01FD5"/>
    <w:rsid w:val="00B02151"/>
    <w:rsid w:val="00B0224C"/>
    <w:rsid w:val="00B0263A"/>
    <w:rsid w:val="00B0296B"/>
    <w:rsid w:val="00B02A20"/>
    <w:rsid w:val="00B02DC7"/>
    <w:rsid w:val="00B02E62"/>
    <w:rsid w:val="00B0311B"/>
    <w:rsid w:val="00B032D6"/>
    <w:rsid w:val="00B032DC"/>
    <w:rsid w:val="00B0345B"/>
    <w:rsid w:val="00B034D4"/>
    <w:rsid w:val="00B03576"/>
    <w:rsid w:val="00B0370C"/>
    <w:rsid w:val="00B039E9"/>
    <w:rsid w:val="00B03D23"/>
    <w:rsid w:val="00B03E13"/>
    <w:rsid w:val="00B03F72"/>
    <w:rsid w:val="00B04058"/>
    <w:rsid w:val="00B0467A"/>
    <w:rsid w:val="00B04927"/>
    <w:rsid w:val="00B04AB2"/>
    <w:rsid w:val="00B04AC7"/>
    <w:rsid w:val="00B04ADC"/>
    <w:rsid w:val="00B04B02"/>
    <w:rsid w:val="00B04C58"/>
    <w:rsid w:val="00B04D94"/>
    <w:rsid w:val="00B04DC1"/>
    <w:rsid w:val="00B04F35"/>
    <w:rsid w:val="00B052AD"/>
    <w:rsid w:val="00B05337"/>
    <w:rsid w:val="00B055DA"/>
    <w:rsid w:val="00B05A17"/>
    <w:rsid w:val="00B05B49"/>
    <w:rsid w:val="00B05B9F"/>
    <w:rsid w:val="00B05BB6"/>
    <w:rsid w:val="00B063C7"/>
    <w:rsid w:val="00B0667B"/>
    <w:rsid w:val="00B0670A"/>
    <w:rsid w:val="00B0692B"/>
    <w:rsid w:val="00B06E92"/>
    <w:rsid w:val="00B06E9C"/>
    <w:rsid w:val="00B07198"/>
    <w:rsid w:val="00B07239"/>
    <w:rsid w:val="00B07524"/>
    <w:rsid w:val="00B0757B"/>
    <w:rsid w:val="00B0762D"/>
    <w:rsid w:val="00B07BAF"/>
    <w:rsid w:val="00B07C24"/>
    <w:rsid w:val="00B10164"/>
    <w:rsid w:val="00B101B4"/>
    <w:rsid w:val="00B103AF"/>
    <w:rsid w:val="00B10477"/>
    <w:rsid w:val="00B104C8"/>
    <w:rsid w:val="00B104CB"/>
    <w:rsid w:val="00B10522"/>
    <w:rsid w:val="00B10642"/>
    <w:rsid w:val="00B106B7"/>
    <w:rsid w:val="00B1074A"/>
    <w:rsid w:val="00B10877"/>
    <w:rsid w:val="00B10A52"/>
    <w:rsid w:val="00B10A87"/>
    <w:rsid w:val="00B10BAB"/>
    <w:rsid w:val="00B10C78"/>
    <w:rsid w:val="00B10F58"/>
    <w:rsid w:val="00B11055"/>
    <w:rsid w:val="00B111F8"/>
    <w:rsid w:val="00B11229"/>
    <w:rsid w:val="00B11355"/>
    <w:rsid w:val="00B11404"/>
    <w:rsid w:val="00B1155B"/>
    <w:rsid w:val="00B1159A"/>
    <w:rsid w:val="00B11622"/>
    <w:rsid w:val="00B11625"/>
    <w:rsid w:val="00B11CB9"/>
    <w:rsid w:val="00B11D3B"/>
    <w:rsid w:val="00B11E30"/>
    <w:rsid w:val="00B11F4A"/>
    <w:rsid w:val="00B121DF"/>
    <w:rsid w:val="00B12256"/>
    <w:rsid w:val="00B122DE"/>
    <w:rsid w:val="00B122E2"/>
    <w:rsid w:val="00B124AF"/>
    <w:rsid w:val="00B12641"/>
    <w:rsid w:val="00B1275C"/>
    <w:rsid w:val="00B12A88"/>
    <w:rsid w:val="00B12C5A"/>
    <w:rsid w:val="00B12E03"/>
    <w:rsid w:val="00B1308F"/>
    <w:rsid w:val="00B13153"/>
    <w:rsid w:val="00B1324A"/>
    <w:rsid w:val="00B13288"/>
    <w:rsid w:val="00B136A6"/>
    <w:rsid w:val="00B136C2"/>
    <w:rsid w:val="00B138BC"/>
    <w:rsid w:val="00B1394D"/>
    <w:rsid w:val="00B13C26"/>
    <w:rsid w:val="00B13EFC"/>
    <w:rsid w:val="00B1445E"/>
    <w:rsid w:val="00B1476E"/>
    <w:rsid w:val="00B147E6"/>
    <w:rsid w:val="00B14885"/>
    <w:rsid w:val="00B148D3"/>
    <w:rsid w:val="00B14AD6"/>
    <w:rsid w:val="00B14B96"/>
    <w:rsid w:val="00B14DF6"/>
    <w:rsid w:val="00B14EE9"/>
    <w:rsid w:val="00B1511E"/>
    <w:rsid w:val="00B152DC"/>
    <w:rsid w:val="00B153C7"/>
    <w:rsid w:val="00B15441"/>
    <w:rsid w:val="00B1559E"/>
    <w:rsid w:val="00B15635"/>
    <w:rsid w:val="00B156B3"/>
    <w:rsid w:val="00B15A08"/>
    <w:rsid w:val="00B15B14"/>
    <w:rsid w:val="00B15E7A"/>
    <w:rsid w:val="00B15F04"/>
    <w:rsid w:val="00B15F19"/>
    <w:rsid w:val="00B160A1"/>
    <w:rsid w:val="00B16280"/>
    <w:rsid w:val="00B16626"/>
    <w:rsid w:val="00B16933"/>
    <w:rsid w:val="00B16AB7"/>
    <w:rsid w:val="00B17039"/>
    <w:rsid w:val="00B1719C"/>
    <w:rsid w:val="00B171DE"/>
    <w:rsid w:val="00B173A6"/>
    <w:rsid w:val="00B17576"/>
    <w:rsid w:val="00B175AA"/>
    <w:rsid w:val="00B17702"/>
    <w:rsid w:val="00B1780D"/>
    <w:rsid w:val="00B179B3"/>
    <w:rsid w:val="00B17A8C"/>
    <w:rsid w:val="00B17CEE"/>
    <w:rsid w:val="00B17E80"/>
    <w:rsid w:val="00B200B5"/>
    <w:rsid w:val="00B205EB"/>
    <w:rsid w:val="00B20893"/>
    <w:rsid w:val="00B20CAD"/>
    <w:rsid w:val="00B20E84"/>
    <w:rsid w:val="00B210A4"/>
    <w:rsid w:val="00B210A8"/>
    <w:rsid w:val="00B21217"/>
    <w:rsid w:val="00B212CE"/>
    <w:rsid w:val="00B21310"/>
    <w:rsid w:val="00B213B7"/>
    <w:rsid w:val="00B215B6"/>
    <w:rsid w:val="00B215F4"/>
    <w:rsid w:val="00B21693"/>
    <w:rsid w:val="00B2178D"/>
    <w:rsid w:val="00B2187F"/>
    <w:rsid w:val="00B21A54"/>
    <w:rsid w:val="00B21CFA"/>
    <w:rsid w:val="00B21D0A"/>
    <w:rsid w:val="00B21D58"/>
    <w:rsid w:val="00B21EA5"/>
    <w:rsid w:val="00B21EBA"/>
    <w:rsid w:val="00B21ED2"/>
    <w:rsid w:val="00B22110"/>
    <w:rsid w:val="00B22351"/>
    <w:rsid w:val="00B224FA"/>
    <w:rsid w:val="00B22848"/>
    <w:rsid w:val="00B22855"/>
    <w:rsid w:val="00B2292C"/>
    <w:rsid w:val="00B22EF5"/>
    <w:rsid w:val="00B22F3E"/>
    <w:rsid w:val="00B22F93"/>
    <w:rsid w:val="00B232EB"/>
    <w:rsid w:val="00B2347B"/>
    <w:rsid w:val="00B23750"/>
    <w:rsid w:val="00B23896"/>
    <w:rsid w:val="00B23A23"/>
    <w:rsid w:val="00B23E48"/>
    <w:rsid w:val="00B23FFA"/>
    <w:rsid w:val="00B240C9"/>
    <w:rsid w:val="00B240EE"/>
    <w:rsid w:val="00B241A1"/>
    <w:rsid w:val="00B24716"/>
    <w:rsid w:val="00B248E2"/>
    <w:rsid w:val="00B24A17"/>
    <w:rsid w:val="00B24CE6"/>
    <w:rsid w:val="00B24DE8"/>
    <w:rsid w:val="00B250B4"/>
    <w:rsid w:val="00B251A6"/>
    <w:rsid w:val="00B252CF"/>
    <w:rsid w:val="00B254F4"/>
    <w:rsid w:val="00B25605"/>
    <w:rsid w:val="00B25CB9"/>
    <w:rsid w:val="00B25CE5"/>
    <w:rsid w:val="00B25D1B"/>
    <w:rsid w:val="00B25E69"/>
    <w:rsid w:val="00B26150"/>
    <w:rsid w:val="00B2626B"/>
    <w:rsid w:val="00B2637B"/>
    <w:rsid w:val="00B2640E"/>
    <w:rsid w:val="00B26474"/>
    <w:rsid w:val="00B267EE"/>
    <w:rsid w:val="00B2687F"/>
    <w:rsid w:val="00B26B42"/>
    <w:rsid w:val="00B26D24"/>
    <w:rsid w:val="00B26E19"/>
    <w:rsid w:val="00B270AD"/>
    <w:rsid w:val="00B2719E"/>
    <w:rsid w:val="00B272E3"/>
    <w:rsid w:val="00B277AA"/>
    <w:rsid w:val="00B27891"/>
    <w:rsid w:val="00B27927"/>
    <w:rsid w:val="00B27CCB"/>
    <w:rsid w:val="00B27E10"/>
    <w:rsid w:val="00B27F92"/>
    <w:rsid w:val="00B30468"/>
    <w:rsid w:val="00B305A2"/>
    <w:rsid w:val="00B305B0"/>
    <w:rsid w:val="00B30822"/>
    <w:rsid w:val="00B309DE"/>
    <w:rsid w:val="00B30C0D"/>
    <w:rsid w:val="00B30CFE"/>
    <w:rsid w:val="00B30F68"/>
    <w:rsid w:val="00B3101F"/>
    <w:rsid w:val="00B31E2E"/>
    <w:rsid w:val="00B320D8"/>
    <w:rsid w:val="00B321B1"/>
    <w:rsid w:val="00B3256B"/>
    <w:rsid w:val="00B325F7"/>
    <w:rsid w:val="00B3294E"/>
    <w:rsid w:val="00B32B3B"/>
    <w:rsid w:val="00B32B7F"/>
    <w:rsid w:val="00B3312B"/>
    <w:rsid w:val="00B3333A"/>
    <w:rsid w:val="00B333C3"/>
    <w:rsid w:val="00B334E0"/>
    <w:rsid w:val="00B339E6"/>
    <w:rsid w:val="00B33BF4"/>
    <w:rsid w:val="00B33E56"/>
    <w:rsid w:val="00B33F5A"/>
    <w:rsid w:val="00B34039"/>
    <w:rsid w:val="00B34088"/>
    <w:rsid w:val="00B34275"/>
    <w:rsid w:val="00B342F5"/>
    <w:rsid w:val="00B345CB"/>
    <w:rsid w:val="00B347DB"/>
    <w:rsid w:val="00B34BB4"/>
    <w:rsid w:val="00B34E57"/>
    <w:rsid w:val="00B34E6D"/>
    <w:rsid w:val="00B34F95"/>
    <w:rsid w:val="00B350F3"/>
    <w:rsid w:val="00B35244"/>
    <w:rsid w:val="00B354D3"/>
    <w:rsid w:val="00B357DB"/>
    <w:rsid w:val="00B35945"/>
    <w:rsid w:val="00B3595B"/>
    <w:rsid w:val="00B359C6"/>
    <w:rsid w:val="00B35A9B"/>
    <w:rsid w:val="00B35AC3"/>
    <w:rsid w:val="00B35C24"/>
    <w:rsid w:val="00B35DAE"/>
    <w:rsid w:val="00B360A8"/>
    <w:rsid w:val="00B3616E"/>
    <w:rsid w:val="00B36182"/>
    <w:rsid w:val="00B36336"/>
    <w:rsid w:val="00B36364"/>
    <w:rsid w:val="00B3639F"/>
    <w:rsid w:val="00B365CF"/>
    <w:rsid w:val="00B365EE"/>
    <w:rsid w:val="00B3667C"/>
    <w:rsid w:val="00B36B7D"/>
    <w:rsid w:val="00B36C5F"/>
    <w:rsid w:val="00B36C77"/>
    <w:rsid w:val="00B36C86"/>
    <w:rsid w:val="00B36FB9"/>
    <w:rsid w:val="00B370E9"/>
    <w:rsid w:val="00B371ED"/>
    <w:rsid w:val="00B37574"/>
    <w:rsid w:val="00B379B5"/>
    <w:rsid w:val="00B37A9A"/>
    <w:rsid w:val="00B37AD7"/>
    <w:rsid w:val="00B37FDE"/>
    <w:rsid w:val="00B40111"/>
    <w:rsid w:val="00B403AE"/>
    <w:rsid w:val="00B404C8"/>
    <w:rsid w:val="00B4065B"/>
    <w:rsid w:val="00B40684"/>
    <w:rsid w:val="00B40791"/>
    <w:rsid w:val="00B407C0"/>
    <w:rsid w:val="00B40828"/>
    <w:rsid w:val="00B40B6A"/>
    <w:rsid w:val="00B40C7D"/>
    <w:rsid w:val="00B40EA1"/>
    <w:rsid w:val="00B41201"/>
    <w:rsid w:val="00B412DE"/>
    <w:rsid w:val="00B4137F"/>
    <w:rsid w:val="00B4188C"/>
    <w:rsid w:val="00B418E1"/>
    <w:rsid w:val="00B41A33"/>
    <w:rsid w:val="00B41E53"/>
    <w:rsid w:val="00B41F01"/>
    <w:rsid w:val="00B41FD4"/>
    <w:rsid w:val="00B421AA"/>
    <w:rsid w:val="00B423A5"/>
    <w:rsid w:val="00B42441"/>
    <w:rsid w:val="00B424C4"/>
    <w:rsid w:val="00B425AE"/>
    <w:rsid w:val="00B42886"/>
    <w:rsid w:val="00B4293E"/>
    <w:rsid w:val="00B42B13"/>
    <w:rsid w:val="00B42C39"/>
    <w:rsid w:val="00B4308A"/>
    <w:rsid w:val="00B43551"/>
    <w:rsid w:val="00B435EB"/>
    <w:rsid w:val="00B43664"/>
    <w:rsid w:val="00B43668"/>
    <w:rsid w:val="00B43BEB"/>
    <w:rsid w:val="00B440C0"/>
    <w:rsid w:val="00B4410E"/>
    <w:rsid w:val="00B443B2"/>
    <w:rsid w:val="00B4467E"/>
    <w:rsid w:val="00B44734"/>
    <w:rsid w:val="00B44980"/>
    <w:rsid w:val="00B44D05"/>
    <w:rsid w:val="00B44D11"/>
    <w:rsid w:val="00B44D72"/>
    <w:rsid w:val="00B44EE4"/>
    <w:rsid w:val="00B44FBA"/>
    <w:rsid w:val="00B4508A"/>
    <w:rsid w:val="00B45233"/>
    <w:rsid w:val="00B452E6"/>
    <w:rsid w:val="00B4543B"/>
    <w:rsid w:val="00B45468"/>
    <w:rsid w:val="00B45483"/>
    <w:rsid w:val="00B4549E"/>
    <w:rsid w:val="00B454F6"/>
    <w:rsid w:val="00B4595D"/>
    <w:rsid w:val="00B4598C"/>
    <w:rsid w:val="00B45AD7"/>
    <w:rsid w:val="00B45B17"/>
    <w:rsid w:val="00B45C4A"/>
    <w:rsid w:val="00B45CAE"/>
    <w:rsid w:val="00B45E4D"/>
    <w:rsid w:val="00B45FBD"/>
    <w:rsid w:val="00B4604E"/>
    <w:rsid w:val="00B461C5"/>
    <w:rsid w:val="00B464E0"/>
    <w:rsid w:val="00B4694F"/>
    <w:rsid w:val="00B469DC"/>
    <w:rsid w:val="00B46D43"/>
    <w:rsid w:val="00B46F0E"/>
    <w:rsid w:val="00B4701D"/>
    <w:rsid w:val="00B47050"/>
    <w:rsid w:val="00B47442"/>
    <w:rsid w:val="00B47526"/>
    <w:rsid w:val="00B47932"/>
    <w:rsid w:val="00B47979"/>
    <w:rsid w:val="00B47E10"/>
    <w:rsid w:val="00B47EB2"/>
    <w:rsid w:val="00B50050"/>
    <w:rsid w:val="00B50270"/>
    <w:rsid w:val="00B5031D"/>
    <w:rsid w:val="00B505C9"/>
    <w:rsid w:val="00B505DC"/>
    <w:rsid w:val="00B508A9"/>
    <w:rsid w:val="00B509F5"/>
    <w:rsid w:val="00B50A9C"/>
    <w:rsid w:val="00B50BA5"/>
    <w:rsid w:val="00B50D0B"/>
    <w:rsid w:val="00B51087"/>
    <w:rsid w:val="00B510AB"/>
    <w:rsid w:val="00B51155"/>
    <w:rsid w:val="00B51239"/>
    <w:rsid w:val="00B515ED"/>
    <w:rsid w:val="00B51773"/>
    <w:rsid w:val="00B51863"/>
    <w:rsid w:val="00B51D7E"/>
    <w:rsid w:val="00B51E5D"/>
    <w:rsid w:val="00B5246B"/>
    <w:rsid w:val="00B52511"/>
    <w:rsid w:val="00B525D3"/>
    <w:rsid w:val="00B528DE"/>
    <w:rsid w:val="00B529D2"/>
    <w:rsid w:val="00B52A51"/>
    <w:rsid w:val="00B52B86"/>
    <w:rsid w:val="00B52B89"/>
    <w:rsid w:val="00B52C69"/>
    <w:rsid w:val="00B52FA8"/>
    <w:rsid w:val="00B52FF3"/>
    <w:rsid w:val="00B531B3"/>
    <w:rsid w:val="00B531FD"/>
    <w:rsid w:val="00B53350"/>
    <w:rsid w:val="00B533E0"/>
    <w:rsid w:val="00B534FB"/>
    <w:rsid w:val="00B536EE"/>
    <w:rsid w:val="00B537EE"/>
    <w:rsid w:val="00B53832"/>
    <w:rsid w:val="00B538C3"/>
    <w:rsid w:val="00B53A23"/>
    <w:rsid w:val="00B53AAE"/>
    <w:rsid w:val="00B53C69"/>
    <w:rsid w:val="00B53CDB"/>
    <w:rsid w:val="00B53D91"/>
    <w:rsid w:val="00B5425D"/>
    <w:rsid w:val="00B54372"/>
    <w:rsid w:val="00B545F8"/>
    <w:rsid w:val="00B54986"/>
    <w:rsid w:val="00B54B17"/>
    <w:rsid w:val="00B54C55"/>
    <w:rsid w:val="00B54F14"/>
    <w:rsid w:val="00B54FB3"/>
    <w:rsid w:val="00B553A9"/>
    <w:rsid w:val="00B553C3"/>
    <w:rsid w:val="00B55744"/>
    <w:rsid w:val="00B559A6"/>
    <w:rsid w:val="00B55B00"/>
    <w:rsid w:val="00B55C2B"/>
    <w:rsid w:val="00B55C77"/>
    <w:rsid w:val="00B55D48"/>
    <w:rsid w:val="00B55EC7"/>
    <w:rsid w:val="00B55EF2"/>
    <w:rsid w:val="00B55F4E"/>
    <w:rsid w:val="00B56096"/>
    <w:rsid w:val="00B5643B"/>
    <w:rsid w:val="00B5645D"/>
    <w:rsid w:val="00B56682"/>
    <w:rsid w:val="00B569D2"/>
    <w:rsid w:val="00B56AF7"/>
    <w:rsid w:val="00B56CB6"/>
    <w:rsid w:val="00B56EDF"/>
    <w:rsid w:val="00B56EED"/>
    <w:rsid w:val="00B5715B"/>
    <w:rsid w:val="00B57234"/>
    <w:rsid w:val="00B57562"/>
    <w:rsid w:val="00B57853"/>
    <w:rsid w:val="00B579C5"/>
    <w:rsid w:val="00B57A61"/>
    <w:rsid w:val="00B57B43"/>
    <w:rsid w:val="00B57B88"/>
    <w:rsid w:val="00B57C89"/>
    <w:rsid w:val="00B57EDD"/>
    <w:rsid w:val="00B60502"/>
    <w:rsid w:val="00B605C2"/>
    <w:rsid w:val="00B60628"/>
    <w:rsid w:val="00B60737"/>
    <w:rsid w:val="00B60840"/>
    <w:rsid w:val="00B6088B"/>
    <w:rsid w:val="00B60A8D"/>
    <w:rsid w:val="00B60E78"/>
    <w:rsid w:val="00B61154"/>
    <w:rsid w:val="00B61382"/>
    <w:rsid w:val="00B616ED"/>
    <w:rsid w:val="00B61717"/>
    <w:rsid w:val="00B61723"/>
    <w:rsid w:val="00B6172A"/>
    <w:rsid w:val="00B6180A"/>
    <w:rsid w:val="00B61AE8"/>
    <w:rsid w:val="00B61BB9"/>
    <w:rsid w:val="00B61C1D"/>
    <w:rsid w:val="00B62016"/>
    <w:rsid w:val="00B62213"/>
    <w:rsid w:val="00B623E0"/>
    <w:rsid w:val="00B62434"/>
    <w:rsid w:val="00B6263D"/>
    <w:rsid w:val="00B62804"/>
    <w:rsid w:val="00B6283D"/>
    <w:rsid w:val="00B6298B"/>
    <w:rsid w:val="00B629A7"/>
    <w:rsid w:val="00B629E6"/>
    <w:rsid w:val="00B62ABE"/>
    <w:rsid w:val="00B62C92"/>
    <w:rsid w:val="00B62DC0"/>
    <w:rsid w:val="00B63244"/>
    <w:rsid w:val="00B6331E"/>
    <w:rsid w:val="00B634BC"/>
    <w:rsid w:val="00B634FA"/>
    <w:rsid w:val="00B63665"/>
    <w:rsid w:val="00B638C8"/>
    <w:rsid w:val="00B63A7A"/>
    <w:rsid w:val="00B63A7E"/>
    <w:rsid w:val="00B63D0D"/>
    <w:rsid w:val="00B6415A"/>
    <w:rsid w:val="00B64439"/>
    <w:rsid w:val="00B64488"/>
    <w:rsid w:val="00B64601"/>
    <w:rsid w:val="00B647EC"/>
    <w:rsid w:val="00B649BD"/>
    <w:rsid w:val="00B64A17"/>
    <w:rsid w:val="00B64B72"/>
    <w:rsid w:val="00B64B85"/>
    <w:rsid w:val="00B64BF4"/>
    <w:rsid w:val="00B64D29"/>
    <w:rsid w:val="00B64DF6"/>
    <w:rsid w:val="00B64E8F"/>
    <w:rsid w:val="00B65179"/>
    <w:rsid w:val="00B6519F"/>
    <w:rsid w:val="00B651C7"/>
    <w:rsid w:val="00B6574F"/>
    <w:rsid w:val="00B65D25"/>
    <w:rsid w:val="00B65F6E"/>
    <w:rsid w:val="00B66017"/>
    <w:rsid w:val="00B660BF"/>
    <w:rsid w:val="00B662A4"/>
    <w:rsid w:val="00B66324"/>
    <w:rsid w:val="00B6636C"/>
    <w:rsid w:val="00B664F9"/>
    <w:rsid w:val="00B66552"/>
    <w:rsid w:val="00B666C0"/>
    <w:rsid w:val="00B66713"/>
    <w:rsid w:val="00B66722"/>
    <w:rsid w:val="00B667B3"/>
    <w:rsid w:val="00B66A39"/>
    <w:rsid w:val="00B66A3A"/>
    <w:rsid w:val="00B66ECC"/>
    <w:rsid w:val="00B6730D"/>
    <w:rsid w:val="00B67323"/>
    <w:rsid w:val="00B6789A"/>
    <w:rsid w:val="00B67A13"/>
    <w:rsid w:val="00B67D49"/>
    <w:rsid w:val="00B7061B"/>
    <w:rsid w:val="00B70645"/>
    <w:rsid w:val="00B706A2"/>
    <w:rsid w:val="00B7080A"/>
    <w:rsid w:val="00B709A7"/>
    <w:rsid w:val="00B70C3F"/>
    <w:rsid w:val="00B70F10"/>
    <w:rsid w:val="00B70F44"/>
    <w:rsid w:val="00B71149"/>
    <w:rsid w:val="00B71262"/>
    <w:rsid w:val="00B7131C"/>
    <w:rsid w:val="00B7144B"/>
    <w:rsid w:val="00B719CF"/>
    <w:rsid w:val="00B71A51"/>
    <w:rsid w:val="00B71A75"/>
    <w:rsid w:val="00B71AB1"/>
    <w:rsid w:val="00B71E49"/>
    <w:rsid w:val="00B72244"/>
    <w:rsid w:val="00B72499"/>
    <w:rsid w:val="00B725D3"/>
    <w:rsid w:val="00B725DC"/>
    <w:rsid w:val="00B7262E"/>
    <w:rsid w:val="00B72816"/>
    <w:rsid w:val="00B728FF"/>
    <w:rsid w:val="00B7291F"/>
    <w:rsid w:val="00B72B03"/>
    <w:rsid w:val="00B72BDD"/>
    <w:rsid w:val="00B72C76"/>
    <w:rsid w:val="00B72DD6"/>
    <w:rsid w:val="00B72DF3"/>
    <w:rsid w:val="00B72DF4"/>
    <w:rsid w:val="00B72E82"/>
    <w:rsid w:val="00B72F5F"/>
    <w:rsid w:val="00B72F96"/>
    <w:rsid w:val="00B73397"/>
    <w:rsid w:val="00B7342B"/>
    <w:rsid w:val="00B73BA0"/>
    <w:rsid w:val="00B73D3B"/>
    <w:rsid w:val="00B73DD5"/>
    <w:rsid w:val="00B73F94"/>
    <w:rsid w:val="00B740C7"/>
    <w:rsid w:val="00B74280"/>
    <w:rsid w:val="00B746B8"/>
    <w:rsid w:val="00B7473A"/>
    <w:rsid w:val="00B74766"/>
    <w:rsid w:val="00B748BD"/>
    <w:rsid w:val="00B74A30"/>
    <w:rsid w:val="00B74C78"/>
    <w:rsid w:val="00B74CBE"/>
    <w:rsid w:val="00B7545B"/>
    <w:rsid w:val="00B755E3"/>
    <w:rsid w:val="00B75706"/>
    <w:rsid w:val="00B7573C"/>
    <w:rsid w:val="00B75805"/>
    <w:rsid w:val="00B7597A"/>
    <w:rsid w:val="00B75AB7"/>
    <w:rsid w:val="00B75BA9"/>
    <w:rsid w:val="00B75D65"/>
    <w:rsid w:val="00B75DA6"/>
    <w:rsid w:val="00B76009"/>
    <w:rsid w:val="00B760AF"/>
    <w:rsid w:val="00B76169"/>
    <w:rsid w:val="00B76524"/>
    <w:rsid w:val="00B765C4"/>
    <w:rsid w:val="00B7672B"/>
    <w:rsid w:val="00B7679B"/>
    <w:rsid w:val="00B768E5"/>
    <w:rsid w:val="00B7696B"/>
    <w:rsid w:val="00B76A41"/>
    <w:rsid w:val="00B76CE1"/>
    <w:rsid w:val="00B76CF3"/>
    <w:rsid w:val="00B76CFB"/>
    <w:rsid w:val="00B76DDF"/>
    <w:rsid w:val="00B76EE7"/>
    <w:rsid w:val="00B76FBE"/>
    <w:rsid w:val="00B7708F"/>
    <w:rsid w:val="00B77213"/>
    <w:rsid w:val="00B7729E"/>
    <w:rsid w:val="00B772AA"/>
    <w:rsid w:val="00B77586"/>
    <w:rsid w:val="00B776AC"/>
    <w:rsid w:val="00B77702"/>
    <w:rsid w:val="00B77B5B"/>
    <w:rsid w:val="00B77F8D"/>
    <w:rsid w:val="00B80506"/>
    <w:rsid w:val="00B80594"/>
    <w:rsid w:val="00B80715"/>
    <w:rsid w:val="00B8074F"/>
    <w:rsid w:val="00B807B7"/>
    <w:rsid w:val="00B80D13"/>
    <w:rsid w:val="00B81397"/>
    <w:rsid w:val="00B8139D"/>
    <w:rsid w:val="00B814EC"/>
    <w:rsid w:val="00B81586"/>
    <w:rsid w:val="00B816A7"/>
    <w:rsid w:val="00B817B7"/>
    <w:rsid w:val="00B81B81"/>
    <w:rsid w:val="00B81BFB"/>
    <w:rsid w:val="00B81C2C"/>
    <w:rsid w:val="00B81EC8"/>
    <w:rsid w:val="00B8215A"/>
    <w:rsid w:val="00B8223C"/>
    <w:rsid w:val="00B82531"/>
    <w:rsid w:val="00B8255B"/>
    <w:rsid w:val="00B8259B"/>
    <w:rsid w:val="00B825C6"/>
    <w:rsid w:val="00B828C0"/>
    <w:rsid w:val="00B82A29"/>
    <w:rsid w:val="00B82AA8"/>
    <w:rsid w:val="00B82AD4"/>
    <w:rsid w:val="00B82BC5"/>
    <w:rsid w:val="00B82CD7"/>
    <w:rsid w:val="00B82D0C"/>
    <w:rsid w:val="00B82E65"/>
    <w:rsid w:val="00B8309E"/>
    <w:rsid w:val="00B83114"/>
    <w:rsid w:val="00B8322B"/>
    <w:rsid w:val="00B83343"/>
    <w:rsid w:val="00B8336D"/>
    <w:rsid w:val="00B833DB"/>
    <w:rsid w:val="00B8347C"/>
    <w:rsid w:val="00B8359B"/>
    <w:rsid w:val="00B83620"/>
    <w:rsid w:val="00B836F5"/>
    <w:rsid w:val="00B83937"/>
    <w:rsid w:val="00B83A3E"/>
    <w:rsid w:val="00B83AB5"/>
    <w:rsid w:val="00B83B65"/>
    <w:rsid w:val="00B83BE0"/>
    <w:rsid w:val="00B83C5B"/>
    <w:rsid w:val="00B83CCF"/>
    <w:rsid w:val="00B83EDF"/>
    <w:rsid w:val="00B83F00"/>
    <w:rsid w:val="00B84138"/>
    <w:rsid w:val="00B84186"/>
    <w:rsid w:val="00B841CE"/>
    <w:rsid w:val="00B841ED"/>
    <w:rsid w:val="00B84500"/>
    <w:rsid w:val="00B84697"/>
    <w:rsid w:val="00B84708"/>
    <w:rsid w:val="00B84733"/>
    <w:rsid w:val="00B848F5"/>
    <w:rsid w:val="00B84941"/>
    <w:rsid w:val="00B84F4A"/>
    <w:rsid w:val="00B8521F"/>
    <w:rsid w:val="00B856F4"/>
    <w:rsid w:val="00B858B1"/>
    <w:rsid w:val="00B85A57"/>
    <w:rsid w:val="00B85A79"/>
    <w:rsid w:val="00B85A98"/>
    <w:rsid w:val="00B85AE7"/>
    <w:rsid w:val="00B85DAE"/>
    <w:rsid w:val="00B85E31"/>
    <w:rsid w:val="00B85EA4"/>
    <w:rsid w:val="00B85F6B"/>
    <w:rsid w:val="00B8602C"/>
    <w:rsid w:val="00B8639C"/>
    <w:rsid w:val="00B86479"/>
    <w:rsid w:val="00B864BB"/>
    <w:rsid w:val="00B86AD1"/>
    <w:rsid w:val="00B86B79"/>
    <w:rsid w:val="00B86C63"/>
    <w:rsid w:val="00B86E40"/>
    <w:rsid w:val="00B872AF"/>
    <w:rsid w:val="00B873F3"/>
    <w:rsid w:val="00B87448"/>
    <w:rsid w:val="00B87800"/>
    <w:rsid w:val="00B87808"/>
    <w:rsid w:val="00B87AB7"/>
    <w:rsid w:val="00B87EE8"/>
    <w:rsid w:val="00B87FD9"/>
    <w:rsid w:val="00B902BE"/>
    <w:rsid w:val="00B902D5"/>
    <w:rsid w:val="00B9046D"/>
    <w:rsid w:val="00B90D06"/>
    <w:rsid w:val="00B90E09"/>
    <w:rsid w:val="00B90FF1"/>
    <w:rsid w:val="00B911EA"/>
    <w:rsid w:val="00B91297"/>
    <w:rsid w:val="00B915F1"/>
    <w:rsid w:val="00B91A42"/>
    <w:rsid w:val="00B91BAA"/>
    <w:rsid w:val="00B92070"/>
    <w:rsid w:val="00B92093"/>
    <w:rsid w:val="00B9244D"/>
    <w:rsid w:val="00B92460"/>
    <w:rsid w:val="00B926D6"/>
    <w:rsid w:val="00B926E1"/>
    <w:rsid w:val="00B92AEC"/>
    <w:rsid w:val="00B92C7A"/>
    <w:rsid w:val="00B92C92"/>
    <w:rsid w:val="00B92D12"/>
    <w:rsid w:val="00B9308A"/>
    <w:rsid w:val="00B930E7"/>
    <w:rsid w:val="00B9352A"/>
    <w:rsid w:val="00B93537"/>
    <w:rsid w:val="00B9358F"/>
    <w:rsid w:val="00B93A4F"/>
    <w:rsid w:val="00B93D2C"/>
    <w:rsid w:val="00B93F1E"/>
    <w:rsid w:val="00B93FEE"/>
    <w:rsid w:val="00B941D2"/>
    <w:rsid w:val="00B94346"/>
    <w:rsid w:val="00B94410"/>
    <w:rsid w:val="00B944D8"/>
    <w:rsid w:val="00B94663"/>
    <w:rsid w:val="00B9479E"/>
    <w:rsid w:val="00B94B8B"/>
    <w:rsid w:val="00B94CB8"/>
    <w:rsid w:val="00B94E5D"/>
    <w:rsid w:val="00B950DA"/>
    <w:rsid w:val="00B95121"/>
    <w:rsid w:val="00B951FE"/>
    <w:rsid w:val="00B9530D"/>
    <w:rsid w:val="00B953C1"/>
    <w:rsid w:val="00B953EA"/>
    <w:rsid w:val="00B954D8"/>
    <w:rsid w:val="00B957D6"/>
    <w:rsid w:val="00B958AD"/>
    <w:rsid w:val="00B95C44"/>
    <w:rsid w:val="00B95C66"/>
    <w:rsid w:val="00B95D55"/>
    <w:rsid w:val="00B95F20"/>
    <w:rsid w:val="00B96058"/>
    <w:rsid w:val="00B9614E"/>
    <w:rsid w:val="00B96201"/>
    <w:rsid w:val="00B96502"/>
    <w:rsid w:val="00B9656D"/>
    <w:rsid w:val="00B9679B"/>
    <w:rsid w:val="00B9688F"/>
    <w:rsid w:val="00B96896"/>
    <w:rsid w:val="00B96950"/>
    <w:rsid w:val="00B96AD9"/>
    <w:rsid w:val="00B96D24"/>
    <w:rsid w:val="00B96F79"/>
    <w:rsid w:val="00B97001"/>
    <w:rsid w:val="00B972CA"/>
    <w:rsid w:val="00B97356"/>
    <w:rsid w:val="00B9780E"/>
    <w:rsid w:val="00B978EF"/>
    <w:rsid w:val="00B97B5D"/>
    <w:rsid w:val="00BA006F"/>
    <w:rsid w:val="00BA014D"/>
    <w:rsid w:val="00BA050E"/>
    <w:rsid w:val="00BA0534"/>
    <w:rsid w:val="00BA0B82"/>
    <w:rsid w:val="00BA0EA5"/>
    <w:rsid w:val="00BA0FAE"/>
    <w:rsid w:val="00BA1240"/>
    <w:rsid w:val="00BA1349"/>
    <w:rsid w:val="00BA16E5"/>
    <w:rsid w:val="00BA1910"/>
    <w:rsid w:val="00BA1AD5"/>
    <w:rsid w:val="00BA1B13"/>
    <w:rsid w:val="00BA1F11"/>
    <w:rsid w:val="00BA22D5"/>
    <w:rsid w:val="00BA24CC"/>
    <w:rsid w:val="00BA263B"/>
    <w:rsid w:val="00BA2773"/>
    <w:rsid w:val="00BA2B30"/>
    <w:rsid w:val="00BA2D92"/>
    <w:rsid w:val="00BA2E32"/>
    <w:rsid w:val="00BA2E48"/>
    <w:rsid w:val="00BA3355"/>
    <w:rsid w:val="00BA3407"/>
    <w:rsid w:val="00BA3452"/>
    <w:rsid w:val="00BA34A2"/>
    <w:rsid w:val="00BA3541"/>
    <w:rsid w:val="00BA37FE"/>
    <w:rsid w:val="00BA38B1"/>
    <w:rsid w:val="00BA3A14"/>
    <w:rsid w:val="00BA3B37"/>
    <w:rsid w:val="00BA3B60"/>
    <w:rsid w:val="00BA3C00"/>
    <w:rsid w:val="00BA3D3C"/>
    <w:rsid w:val="00BA3D46"/>
    <w:rsid w:val="00BA4038"/>
    <w:rsid w:val="00BA40A1"/>
    <w:rsid w:val="00BA40F3"/>
    <w:rsid w:val="00BA4ABA"/>
    <w:rsid w:val="00BA4AD8"/>
    <w:rsid w:val="00BA4DEE"/>
    <w:rsid w:val="00BA4F94"/>
    <w:rsid w:val="00BA51B1"/>
    <w:rsid w:val="00BA51E6"/>
    <w:rsid w:val="00BA5315"/>
    <w:rsid w:val="00BA536A"/>
    <w:rsid w:val="00BA5517"/>
    <w:rsid w:val="00BA57B2"/>
    <w:rsid w:val="00BA5859"/>
    <w:rsid w:val="00BA5D13"/>
    <w:rsid w:val="00BA5E24"/>
    <w:rsid w:val="00BA5E5D"/>
    <w:rsid w:val="00BA60BB"/>
    <w:rsid w:val="00BA6154"/>
    <w:rsid w:val="00BA623F"/>
    <w:rsid w:val="00BA6546"/>
    <w:rsid w:val="00BA675B"/>
    <w:rsid w:val="00BA6969"/>
    <w:rsid w:val="00BA6B96"/>
    <w:rsid w:val="00BA6B9C"/>
    <w:rsid w:val="00BA6BE6"/>
    <w:rsid w:val="00BA6D10"/>
    <w:rsid w:val="00BA6D29"/>
    <w:rsid w:val="00BA6F6F"/>
    <w:rsid w:val="00BA726D"/>
    <w:rsid w:val="00BA74AF"/>
    <w:rsid w:val="00BA753B"/>
    <w:rsid w:val="00BA7575"/>
    <w:rsid w:val="00BA76F8"/>
    <w:rsid w:val="00BA7910"/>
    <w:rsid w:val="00BA7B0E"/>
    <w:rsid w:val="00BA7C76"/>
    <w:rsid w:val="00BA7EEB"/>
    <w:rsid w:val="00BB008F"/>
    <w:rsid w:val="00BB0223"/>
    <w:rsid w:val="00BB0256"/>
    <w:rsid w:val="00BB0270"/>
    <w:rsid w:val="00BB037C"/>
    <w:rsid w:val="00BB069C"/>
    <w:rsid w:val="00BB089A"/>
    <w:rsid w:val="00BB0A00"/>
    <w:rsid w:val="00BB0A2C"/>
    <w:rsid w:val="00BB0A92"/>
    <w:rsid w:val="00BB0B0E"/>
    <w:rsid w:val="00BB0B16"/>
    <w:rsid w:val="00BB0B1E"/>
    <w:rsid w:val="00BB0BC7"/>
    <w:rsid w:val="00BB0C53"/>
    <w:rsid w:val="00BB0CDC"/>
    <w:rsid w:val="00BB0F57"/>
    <w:rsid w:val="00BB0F5A"/>
    <w:rsid w:val="00BB1031"/>
    <w:rsid w:val="00BB1052"/>
    <w:rsid w:val="00BB13D5"/>
    <w:rsid w:val="00BB171C"/>
    <w:rsid w:val="00BB1855"/>
    <w:rsid w:val="00BB1866"/>
    <w:rsid w:val="00BB1B3E"/>
    <w:rsid w:val="00BB1D16"/>
    <w:rsid w:val="00BB2090"/>
    <w:rsid w:val="00BB248E"/>
    <w:rsid w:val="00BB2532"/>
    <w:rsid w:val="00BB26A7"/>
    <w:rsid w:val="00BB2F68"/>
    <w:rsid w:val="00BB2F9D"/>
    <w:rsid w:val="00BB311C"/>
    <w:rsid w:val="00BB313A"/>
    <w:rsid w:val="00BB3185"/>
    <w:rsid w:val="00BB328D"/>
    <w:rsid w:val="00BB34CF"/>
    <w:rsid w:val="00BB3550"/>
    <w:rsid w:val="00BB35AC"/>
    <w:rsid w:val="00BB406B"/>
    <w:rsid w:val="00BB4174"/>
    <w:rsid w:val="00BB448A"/>
    <w:rsid w:val="00BB4786"/>
    <w:rsid w:val="00BB49E3"/>
    <w:rsid w:val="00BB4B2C"/>
    <w:rsid w:val="00BB4C30"/>
    <w:rsid w:val="00BB4D14"/>
    <w:rsid w:val="00BB507D"/>
    <w:rsid w:val="00BB5093"/>
    <w:rsid w:val="00BB51D3"/>
    <w:rsid w:val="00BB52EA"/>
    <w:rsid w:val="00BB53CA"/>
    <w:rsid w:val="00BB57FB"/>
    <w:rsid w:val="00BB58F1"/>
    <w:rsid w:val="00BB5930"/>
    <w:rsid w:val="00BB5B01"/>
    <w:rsid w:val="00BB5B5D"/>
    <w:rsid w:val="00BB5C25"/>
    <w:rsid w:val="00BB5F17"/>
    <w:rsid w:val="00BB60C1"/>
    <w:rsid w:val="00BB612B"/>
    <w:rsid w:val="00BB6540"/>
    <w:rsid w:val="00BB6658"/>
    <w:rsid w:val="00BB66B8"/>
    <w:rsid w:val="00BB6778"/>
    <w:rsid w:val="00BB6872"/>
    <w:rsid w:val="00BB6953"/>
    <w:rsid w:val="00BB6BAC"/>
    <w:rsid w:val="00BB6F0D"/>
    <w:rsid w:val="00BB7015"/>
    <w:rsid w:val="00BB72A5"/>
    <w:rsid w:val="00BB7453"/>
    <w:rsid w:val="00BB7604"/>
    <w:rsid w:val="00BB770F"/>
    <w:rsid w:val="00BB771B"/>
    <w:rsid w:val="00BB7733"/>
    <w:rsid w:val="00BB77BB"/>
    <w:rsid w:val="00BB7C94"/>
    <w:rsid w:val="00BB7E96"/>
    <w:rsid w:val="00BB7F77"/>
    <w:rsid w:val="00BB7FB0"/>
    <w:rsid w:val="00BC0105"/>
    <w:rsid w:val="00BC06AE"/>
    <w:rsid w:val="00BC07AD"/>
    <w:rsid w:val="00BC083C"/>
    <w:rsid w:val="00BC0990"/>
    <w:rsid w:val="00BC09A5"/>
    <w:rsid w:val="00BC0A95"/>
    <w:rsid w:val="00BC0C2E"/>
    <w:rsid w:val="00BC0D6F"/>
    <w:rsid w:val="00BC0EF2"/>
    <w:rsid w:val="00BC0F20"/>
    <w:rsid w:val="00BC11D3"/>
    <w:rsid w:val="00BC15F2"/>
    <w:rsid w:val="00BC16EA"/>
    <w:rsid w:val="00BC1ABE"/>
    <w:rsid w:val="00BC1F0E"/>
    <w:rsid w:val="00BC2090"/>
    <w:rsid w:val="00BC2493"/>
    <w:rsid w:val="00BC2494"/>
    <w:rsid w:val="00BC290A"/>
    <w:rsid w:val="00BC3025"/>
    <w:rsid w:val="00BC309D"/>
    <w:rsid w:val="00BC3279"/>
    <w:rsid w:val="00BC333D"/>
    <w:rsid w:val="00BC3462"/>
    <w:rsid w:val="00BC3793"/>
    <w:rsid w:val="00BC3C25"/>
    <w:rsid w:val="00BC3C50"/>
    <w:rsid w:val="00BC3D58"/>
    <w:rsid w:val="00BC43C0"/>
    <w:rsid w:val="00BC43D8"/>
    <w:rsid w:val="00BC4484"/>
    <w:rsid w:val="00BC4A32"/>
    <w:rsid w:val="00BC4A56"/>
    <w:rsid w:val="00BC4DD2"/>
    <w:rsid w:val="00BC50BD"/>
    <w:rsid w:val="00BC51FE"/>
    <w:rsid w:val="00BC52DC"/>
    <w:rsid w:val="00BC5372"/>
    <w:rsid w:val="00BC5374"/>
    <w:rsid w:val="00BC538B"/>
    <w:rsid w:val="00BC5661"/>
    <w:rsid w:val="00BC5757"/>
    <w:rsid w:val="00BC5A6A"/>
    <w:rsid w:val="00BC5C7D"/>
    <w:rsid w:val="00BC5D21"/>
    <w:rsid w:val="00BC5D2C"/>
    <w:rsid w:val="00BC6326"/>
    <w:rsid w:val="00BC6403"/>
    <w:rsid w:val="00BC6438"/>
    <w:rsid w:val="00BC652F"/>
    <w:rsid w:val="00BC656A"/>
    <w:rsid w:val="00BC65D1"/>
    <w:rsid w:val="00BC6993"/>
    <w:rsid w:val="00BC69D1"/>
    <w:rsid w:val="00BC6C1D"/>
    <w:rsid w:val="00BC6E76"/>
    <w:rsid w:val="00BC7026"/>
    <w:rsid w:val="00BC7160"/>
    <w:rsid w:val="00BC726B"/>
    <w:rsid w:val="00BC726E"/>
    <w:rsid w:val="00BC7274"/>
    <w:rsid w:val="00BC7338"/>
    <w:rsid w:val="00BC756C"/>
    <w:rsid w:val="00BC759D"/>
    <w:rsid w:val="00BC75C7"/>
    <w:rsid w:val="00BC78D4"/>
    <w:rsid w:val="00BC7ADA"/>
    <w:rsid w:val="00BC7B0A"/>
    <w:rsid w:val="00BC7C7B"/>
    <w:rsid w:val="00BC7E26"/>
    <w:rsid w:val="00BC7EEB"/>
    <w:rsid w:val="00BD0090"/>
    <w:rsid w:val="00BD0248"/>
    <w:rsid w:val="00BD02CA"/>
    <w:rsid w:val="00BD02F7"/>
    <w:rsid w:val="00BD0378"/>
    <w:rsid w:val="00BD04E3"/>
    <w:rsid w:val="00BD05E5"/>
    <w:rsid w:val="00BD0662"/>
    <w:rsid w:val="00BD06CD"/>
    <w:rsid w:val="00BD0819"/>
    <w:rsid w:val="00BD1167"/>
    <w:rsid w:val="00BD1522"/>
    <w:rsid w:val="00BD15AE"/>
    <w:rsid w:val="00BD1690"/>
    <w:rsid w:val="00BD179F"/>
    <w:rsid w:val="00BD182C"/>
    <w:rsid w:val="00BD196F"/>
    <w:rsid w:val="00BD1B50"/>
    <w:rsid w:val="00BD1C21"/>
    <w:rsid w:val="00BD1C2F"/>
    <w:rsid w:val="00BD1F68"/>
    <w:rsid w:val="00BD21B7"/>
    <w:rsid w:val="00BD21D9"/>
    <w:rsid w:val="00BD222C"/>
    <w:rsid w:val="00BD22DA"/>
    <w:rsid w:val="00BD23CE"/>
    <w:rsid w:val="00BD2516"/>
    <w:rsid w:val="00BD29F9"/>
    <w:rsid w:val="00BD2B0D"/>
    <w:rsid w:val="00BD2B89"/>
    <w:rsid w:val="00BD2D15"/>
    <w:rsid w:val="00BD2DA7"/>
    <w:rsid w:val="00BD2E1E"/>
    <w:rsid w:val="00BD2F7B"/>
    <w:rsid w:val="00BD305D"/>
    <w:rsid w:val="00BD32AC"/>
    <w:rsid w:val="00BD33E1"/>
    <w:rsid w:val="00BD36F8"/>
    <w:rsid w:val="00BD37EC"/>
    <w:rsid w:val="00BD384E"/>
    <w:rsid w:val="00BD391C"/>
    <w:rsid w:val="00BD39C5"/>
    <w:rsid w:val="00BD3E95"/>
    <w:rsid w:val="00BD4060"/>
    <w:rsid w:val="00BD42BA"/>
    <w:rsid w:val="00BD4305"/>
    <w:rsid w:val="00BD4464"/>
    <w:rsid w:val="00BD46F6"/>
    <w:rsid w:val="00BD481F"/>
    <w:rsid w:val="00BD4964"/>
    <w:rsid w:val="00BD49C9"/>
    <w:rsid w:val="00BD4B09"/>
    <w:rsid w:val="00BD5021"/>
    <w:rsid w:val="00BD506E"/>
    <w:rsid w:val="00BD5411"/>
    <w:rsid w:val="00BD56CB"/>
    <w:rsid w:val="00BD5AFE"/>
    <w:rsid w:val="00BD6164"/>
    <w:rsid w:val="00BD6456"/>
    <w:rsid w:val="00BD65DC"/>
    <w:rsid w:val="00BD681B"/>
    <w:rsid w:val="00BD68CE"/>
    <w:rsid w:val="00BD6969"/>
    <w:rsid w:val="00BD6CA1"/>
    <w:rsid w:val="00BD6D7A"/>
    <w:rsid w:val="00BD6DE7"/>
    <w:rsid w:val="00BD6E56"/>
    <w:rsid w:val="00BD7015"/>
    <w:rsid w:val="00BD70BC"/>
    <w:rsid w:val="00BD70F0"/>
    <w:rsid w:val="00BD71BD"/>
    <w:rsid w:val="00BD72E7"/>
    <w:rsid w:val="00BD735F"/>
    <w:rsid w:val="00BD7505"/>
    <w:rsid w:val="00BD7560"/>
    <w:rsid w:val="00BD76F2"/>
    <w:rsid w:val="00BD76F6"/>
    <w:rsid w:val="00BD7877"/>
    <w:rsid w:val="00BD7925"/>
    <w:rsid w:val="00BD7B8D"/>
    <w:rsid w:val="00BD7BEE"/>
    <w:rsid w:val="00BD7CC2"/>
    <w:rsid w:val="00BD7D5D"/>
    <w:rsid w:val="00BD7D72"/>
    <w:rsid w:val="00BD7E55"/>
    <w:rsid w:val="00BE0006"/>
    <w:rsid w:val="00BE00F7"/>
    <w:rsid w:val="00BE0135"/>
    <w:rsid w:val="00BE01A7"/>
    <w:rsid w:val="00BE0530"/>
    <w:rsid w:val="00BE06EF"/>
    <w:rsid w:val="00BE07E5"/>
    <w:rsid w:val="00BE09A9"/>
    <w:rsid w:val="00BE0B97"/>
    <w:rsid w:val="00BE0BFE"/>
    <w:rsid w:val="00BE0D46"/>
    <w:rsid w:val="00BE0E1E"/>
    <w:rsid w:val="00BE1A2E"/>
    <w:rsid w:val="00BE1A87"/>
    <w:rsid w:val="00BE1ADB"/>
    <w:rsid w:val="00BE1BF1"/>
    <w:rsid w:val="00BE2045"/>
    <w:rsid w:val="00BE23E1"/>
    <w:rsid w:val="00BE2879"/>
    <w:rsid w:val="00BE2989"/>
    <w:rsid w:val="00BE2BA0"/>
    <w:rsid w:val="00BE2CF0"/>
    <w:rsid w:val="00BE2F94"/>
    <w:rsid w:val="00BE3293"/>
    <w:rsid w:val="00BE34BF"/>
    <w:rsid w:val="00BE35BF"/>
    <w:rsid w:val="00BE36F5"/>
    <w:rsid w:val="00BE3D38"/>
    <w:rsid w:val="00BE3D91"/>
    <w:rsid w:val="00BE3E8F"/>
    <w:rsid w:val="00BE3F89"/>
    <w:rsid w:val="00BE407B"/>
    <w:rsid w:val="00BE4B72"/>
    <w:rsid w:val="00BE4BD8"/>
    <w:rsid w:val="00BE4D4C"/>
    <w:rsid w:val="00BE4D57"/>
    <w:rsid w:val="00BE51F4"/>
    <w:rsid w:val="00BE5339"/>
    <w:rsid w:val="00BE5418"/>
    <w:rsid w:val="00BE546E"/>
    <w:rsid w:val="00BE548E"/>
    <w:rsid w:val="00BE555D"/>
    <w:rsid w:val="00BE5756"/>
    <w:rsid w:val="00BE5776"/>
    <w:rsid w:val="00BE5C40"/>
    <w:rsid w:val="00BE5F50"/>
    <w:rsid w:val="00BE65E5"/>
    <w:rsid w:val="00BE68B1"/>
    <w:rsid w:val="00BE6B5E"/>
    <w:rsid w:val="00BE6BB8"/>
    <w:rsid w:val="00BE6C2C"/>
    <w:rsid w:val="00BE6DD0"/>
    <w:rsid w:val="00BE6F8E"/>
    <w:rsid w:val="00BE705D"/>
    <w:rsid w:val="00BE7254"/>
    <w:rsid w:val="00BE738A"/>
    <w:rsid w:val="00BE749B"/>
    <w:rsid w:val="00BE74DB"/>
    <w:rsid w:val="00BE773E"/>
    <w:rsid w:val="00BE77F7"/>
    <w:rsid w:val="00BE7B07"/>
    <w:rsid w:val="00BE7B8E"/>
    <w:rsid w:val="00BE7DEF"/>
    <w:rsid w:val="00BF01C9"/>
    <w:rsid w:val="00BF0775"/>
    <w:rsid w:val="00BF078D"/>
    <w:rsid w:val="00BF0905"/>
    <w:rsid w:val="00BF0C65"/>
    <w:rsid w:val="00BF0E9C"/>
    <w:rsid w:val="00BF0F42"/>
    <w:rsid w:val="00BF0FF8"/>
    <w:rsid w:val="00BF1327"/>
    <w:rsid w:val="00BF17E7"/>
    <w:rsid w:val="00BF1936"/>
    <w:rsid w:val="00BF1A94"/>
    <w:rsid w:val="00BF1B7D"/>
    <w:rsid w:val="00BF1BB0"/>
    <w:rsid w:val="00BF1C27"/>
    <w:rsid w:val="00BF1CEF"/>
    <w:rsid w:val="00BF1DC3"/>
    <w:rsid w:val="00BF1E24"/>
    <w:rsid w:val="00BF1E94"/>
    <w:rsid w:val="00BF1F78"/>
    <w:rsid w:val="00BF2031"/>
    <w:rsid w:val="00BF209E"/>
    <w:rsid w:val="00BF217D"/>
    <w:rsid w:val="00BF2204"/>
    <w:rsid w:val="00BF23D2"/>
    <w:rsid w:val="00BF2690"/>
    <w:rsid w:val="00BF288A"/>
    <w:rsid w:val="00BF28D9"/>
    <w:rsid w:val="00BF2D49"/>
    <w:rsid w:val="00BF3150"/>
    <w:rsid w:val="00BF323A"/>
    <w:rsid w:val="00BF3581"/>
    <w:rsid w:val="00BF37A3"/>
    <w:rsid w:val="00BF3813"/>
    <w:rsid w:val="00BF3B58"/>
    <w:rsid w:val="00BF3BC6"/>
    <w:rsid w:val="00BF3EE9"/>
    <w:rsid w:val="00BF3F8E"/>
    <w:rsid w:val="00BF4587"/>
    <w:rsid w:val="00BF4683"/>
    <w:rsid w:val="00BF46E7"/>
    <w:rsid w:val="00BF47ED"/>
    <w:rsid w:val="00BF4B73"/>
    <w:rsid w:val="00BF4C6B"/>
    <w:rsid w:val="00BF52DF"/>
    <w:rsid w:val="00BF55DC"/>
    <w:rsid w:val="00BF5652"/>
    <w:rsid w:val="00BF5738"/>
    <w:rsid w:val="00BF576B"/>
    <w:rsid w:val="00BF59EE"/>
    <w:rsid w:val="00BF5A3C"/>
    <w:rsid w:val="00BF5C7A"/>
    <w:rsid w:val="00BF5D00"/>
    <w:rsid w:val="00BF5D5C"/>
    <w:rsid w:val="00BF5E3A"/>
    <w:rsid w:val="00BF5FD7"/>
    <w:rsid w:val="00BF6100"/>
    <w:rsid w:val="00BF6355"/>
    <w:rsid w:val="00BF63B3"/>
    <w:rsid w:val="00BF6465"/>
    <w:rsid w:val="00BF66B6"/>
    <w:rsid w:val="00BF66FF"/>
    <w:rsid w:val="00BF68D9"/>
    <w:rsid w:val="00BF6E01"/>
    <w:rsid w:val="00BF72EE"/>
    <w:rsid w:val="00BF7337"/>
    <w:rsid w:val="00BF73D1"/>
    <w:rsid w:val="00BF744A"/>
    <w:rsid w:val="00BF76DB"/>
    <w:rsid w:val="00BF7ACF"/>
    <w:rsid w:val="00BF7AF4"/>
    <w:rsid w:val="00BF7D6A"/>
    <w:rsid w:val="00BF7F33"/>
    <w:rsid w:val="00BF7F6D"/>
    <w:rsid w:val="00C0021D"/>
    <w:rsid w:val="00C002E7"/>
    <w:rsid w:val="00C004B3"/>
    <w:rsid w:val="00C004BE"/>
    <w:rsid w:val="00C004E1"/>
    <w:rsid w:val="00C00B25"/>
    <w:rsid w:val="00C00B73"/>
    <w:rsid w:val="00C00BCE"/>
    <w:rsid w:val="00C00C5D"/>
    <w:rsid w:val="00C00CC3"/>
    <w:rsid w:val="00C00CE7"/>
    <w:rsid w:val="00C00DAB"/>
    <w:rsid w:val="00C00FE6"/>
    <w:rsid w:val="00C010F8"/>
    <w:rsid w:val="00C010FE"/>
    <w:rsid w:val="00C01115"/>
    <w:rsid w:val="00C01273"/>
    <w:rsid w:val="00C01358"/>
    <w:rsid w:val="00C0160F"/>
    <w:rsid w:val="00C018A0"/>
    <w:rsid w:val="00C01B6A"/>
    <w:rsid w:val="00C01C1C"/>
    <w:rsid w:val="00C01C8A"/>
    <w:rsid w:val="00C01DE1"/>
    <w:rsid w:val="00C01E7E"/>
    <w:rsid w:val="00C020E5"/>
    <w:rsid w:val="00C02194"/>
    <w:rsid w:val="00C021AA"/>
    <w:rsid w:val="00C021BD"/>
    <w:rsid w:val="00C02273"/>
    <w:rsid w:val="00C023C0"/>
    <w:rsid w:val="00C024E8"/>
    <w:rsid w:val="00C02604"/>
    <w:rsid w:val="00C02685"/>
    <w:rsid w:val="00C02B37"/>
    <w:rsid w:val="00C02B48"/>
    <w:rsid w:val="00C02C7D"/>
    <w:rsid w:val="00C02DFA"/>
    <w:rsid w:val="00C0304F"/>
    <w:rsid w:val="00C032A0"/>
    <w:rsid w:val="00C03398"/>
    <w:rsid w:val="00C03432"/>
    <w:rsid w:val="00C0344A"/>
    <w:rsid w:val="00C03616"/>
    <w:rsid w:val="00C036B8"/>
    <w:rsid w:val="00C0382F"/>
    <w:rsid w:val="00C03898"/>
    <w:rsid w:val="00C038EF"/>
    <w:rsid w:val="00C03B3C"/>
    <w:rsid w:val="00C03BF0"/>
    <w:rsid w:val="00C03C52"/>
    <w:rsid w:val="00C03ED7"/>
    <w:rsid w:val="00C03F0E"/>
    <w:rsid w:val="00C041D1"/>
    <w:rsid w:val="00C041D9"/>
    <w:rsid w:val="00C04243"/>
    <w:rsid w:val="00C042C3"/>
    <w:rsid w:val="00C04529"/>
    <w:rsid w:val="00C0493C"/>
    <w:rsid w:val="00C04EC2"/>
    <w:rsid w:val="00C04F3A"/>
    <w:rsid w:val="00C04FA6"/>
    <w:rsid w:val="00C05040"/>
    <w:rsid w:val="00C0523B"/>
    <w:rsid w:val="00C05419"/>
    <w:rsid w:val="00C057AE"/>
    <w:rsid w:val="00C0586E"/>
    <w:rsid w:val="00C058AB"/>
    <w:rsid w:val="00C058F3"/>
    <w:rsid w:val="00C06754"/>
    <w:rsid w:val="00C06908"/>
    <w:rsid w:val="00C06C05"/>
    <w:rsid w:val="00C06F44"/>
    <w:rsid w:val="00C06F4F"/>
    <w:rsid w:val="00C07091"/>
    <w:rsid w:val="00C070CC"/>
    <w:rsid w:val="00C07174"/>
    <w:rsid w:val="00C072B5"/>
    <w:rsid w:val="00C072BA"/>
    <w:rsid w:val="00C072E6"/>
    <w:rsid w:val="00C07767"/>
    <w:rsid w:val="00C07B65"/>
    <w:rsid w:val="00C07FA2"/>
    <w:rsid w:val="00C07FCA"/>
    <w:rsid w:val="00C101D1"/>
    <w:rsid w:val="00C103C6"/>
    <w:rsid w:val="00C104A3"/>
    <w:rsid w:val="00C105E7"/>
    <w:rsid w:val="00C10712"/>
    <w:rsid w:val="00C1072C"/>
    <w:rsid w:val="00C107C5"/>
    <w:rsid w:val="00C108DF"/>
    <w:rsid w:val="00C10A42"/>
    <w:rsid w:val="00C10CE6"/>
    <w:rsid w:val="00C10D48"/>
    <w:rsid w:val="00C10D98"/>
    <w:rsid w:val="00C110F5"/>
    <w:rsid w:val="00C11119"/>
    <w:rsid w:val="00C112E0"/>
    <w:rsid w:val="00C11444"/>
    <w:rsid w:val="00C1149B"/>
    <w:rsid w:val="00C1165D"/>
    <w:rsid w:val="00C116E9"/>
    <w:rsid w:val="00C11714"/>
    <w:rsid w:val="00C117BF"/>
    <w:rsid w:val="00C119F4"/>
    <w:rsid w:val="00C11C75"/>
    <w:rsid w:val="00C11DEE"/>
    <w:rsid w:val="00C11F54"/>
    <w:rsid w:val="00C12126"/>
    <w:rsid w:val="00C1241A"/>
    <w:rsid w:val="00C1242F"/>
    <w:rsid w:val="00C12F4C"/>
    <w:rsid w:val="00C12FD8"/>
    <w:rsid w:val="00C12FF5"/>
    <w:rsid w:val="00C13091"/>
    <w:rsid w:val="00C132E6"/>
    <w:rsid w:val="00C137A0"/>
    <w:rsid w:val="00C13860"/>
    <w:rsid w:val="00C13924"/>
    <w:rsid w:val="00C13E69"/>
    <w:rsid w:val="00C14014"/>
    <w:rsid w:val="00C14503"/>
    <w:rsid w:val="00C14611"/>
    <w:rsid w:val="00C1468C"/>
    <w:rsid w:val="00C1491E"/>
    <w:rsid w:val="00C14A67"/>
    <w:rsid w:val="00C14C5C"/>
    <w:rsid w:val="00C14C78"/>
    <w:rsid w:val="00C14E2B"/>
    <w:rsid w:val="00C15465"/>
    <w:rsid w:val="00C154F7"/>
    <w:rsid w:val="00C15AD0"/>
    <w:rsid w:val="00C15BB2"/>
    <w:rsid w:val="00C15DEA"/>
    <w:rsid w:val="00C15E18"/>
    <w:rsid w:val="00C15EEE"/>
    <w:rsid w:val="00C1625F"/>
    <w:rsid w:val="00C16380"/>
    <w:rsid w:val="00C1639D"/>
    <w:rsid w:val="00C163CA"/>
    <w:rsid w:val="00C164EA"/>
    <w:rsid w:val="00C16807"/>
    <w:rsid w:val="00C168BE"/>
    <w:rsid w:val="00C169C9"/>
    <w:rsid w:val="00C16A53"/>
    <w:rsid w:val="00C16AA4"/>
    <w:rsid w:val="00C16B0C"/>
    <w:rsid w:val="00C16D80"/>
    <w:rsid w:val="00C16D9E"/>
    <w:rsid w:val="00C16F98"/>
    <w:rsid w:val="00C17621"/>
    <w:rsid w:val="00C177E2"/>
    <w:rsid w:val="00C17D50"/>
    <w:rsid w:val="00C17ED7"/>
    <w:rsid w:val="00C20133"/>
    <w:rsid w:val="00C20250"/>
    <w:rsid w:val="00C202F5"/>
    <w:rsid w:val="00C2031C"/>
    <w:rsid w:val="00C204DA"/>
    <w:rsid w:val="00C2078C"/>
    <w:rsid w:val="00C2099E"/>
    <w:rsid w:val="00C20B07"/>
    <w:rsid w:val="00C20F0F"/>
    <w:rsid w:val="00C20F9B"/>
    <w:rsid w:val="00C2117B"/>
    <w:rsid w:val="00C21207"/>
    <w:rsid w:val="00C21380"/>
    <w:rsid w:val="00C215BE"/>
    <w:rsid w:val="00C21930"/>
    <w:rsid w:val="00C21A3F"/>
    <w:rsid w:val="00C21AC6"/>
    <w:rsid w:val="00C21D1E"/>
    <w:rsid w:val="00C22200"/>
    <w:rsid w:val="00C2222D"/>
    <w:rsid w:val="00C2247E"/>
    <w:rsid w:val="00C226B5"/>
    <w:rsid w:val="00C229F6"/>
    <w:rsid w:val="00C22A13"/>
    <w:rsid w:val="00C22A71"/>
    <w:rsid w:val="00C22C19"/>
    <w:rsid w:val="00C22E7B"/>
    <w:rsid w:val="00C2322D"/>
    <w:rsid w:val="00C232E6"/>
    <w:rsid w:val="00C2350A"/>
    <w:rsid w:val="00C2351C"/>
    <w:rsid w:val="00C239FB"/>
    <w:rsid w:val="00C23B07"/>
    <w:rsid w:val="00C23D8F"/>
    <w:rsid w:val="00C23E00"/>
    <w:rsid w:val="00C23FBC"/>
    <w:rsid w:val="00C240CF"/>
    <w:rsid w:val="00C24146"/>
    <w:rsid w:val="00C241F0"/>
    <w:rsid w:val="00C24577"/>
    <w:rsid w:val="00C247EA"/>
    <w:rsid w:val="00C24D74"/>
    <w:rsid w:val="00C25300"/>
    <w:rsid w:val="00C253E4"/>
    <w:rsid w:val="00C256FC"/>
    <w:rsid w:val="00C25CB1"/>
    <w:rsid w:val="00C25F27"/>
    <w:rsid w:val="00C25FA4"/>
    <w:rsid w:val="00C260CA"/>
    <w:rsid w:val="00C2617B"/>
    <w:rsid w:val="00C26247"/>
    <w:rsid w:val="00C263B6"/>
    <w:rsid w:val="00C264F7"/>
    <w:rsid w:val="00C267C9"/>
    <w:rsid w:val="00C26B3F"/>
    <w:rsid w:val="00C26DDF"/>
    <w:rsid w:val="00C26EAA"/>
    <w:rsid w:val="00C26EE2"/>
    <w:rsid w:val="00C271F0"/>
    <w:rsid w:val="00C272F2"/>
    <w:rsid w:val="00C27715"/>
    <w:rsid w:val="00C27B36"/>
    <w:rsid w:val="00C27B4F"/>
    <w:rsid w:val="00C27C9C"/>
    <w:rsid w:val="00C27F61"/>
    <w:rsid w:val="00C30275"/>
    <w:rsid w:val="00C308DE"/>
    <w:rsid w:val="00C30C48"/>
    <w:rsid w:val="00C31302"/>
    <w:rsid w:val="00C31506"/>
    <w:rsid w:val="00C31567"/>
    <w:rsid w:val="00C3166B"/>
    <w:rsid w:val="00C31739"/>
    <w:rsid w:val="00C318AE"/>
    <w:rsid w:val="00C319B0"/>
    <w:rsid w:val="00C31C44"/>
    <w:rsid w:val="00C31CDD"/>
    <w:rsid w:val="00C31E40"/>
    <w:rsid w:val="00C31EA3"/>
    <w:rsid w:val="00C31EFD"/>
    <w:rsid w:val="00C329CB"/>
    <w:rsid w:val="00C32A1E"/>
    <w:rsid w:val="00C32AD7"/>
    <w:rsid w:val="00C32B35"/>
    <w:rsid w:val="00C32F2A"/>
    <w:rsid w:val="00C32F80"/>
    <w:rsid w:val="00C331CC"/>
    <w:rsid w:val="00C332EA"/>
    <w:rsid w:val="00C332F7"/>
    <w:rsid w:val="00C3341B"/>
    <w:rsid w:val="00C3343E"/>
    <w:rsid w:val="00C33578"/>
    <w:rsid w:val="00C33685"/>
    <w:rsid w:val="00C33714"/>
    <w:rsid w:val="00C3375B"/>
    <w:rsid w:val="00C33A05"/>
    <w:rsid w:val="00C33B61"/>
    <w:rsid w:val="00C33B89"/>
    <w:rsid w:val="00C33C24"/>
    <w:rsid w:val="00C33E55"/>
    <w:rsid w:val="00C33EE8"/>
    <w:rsid w:val="00C3417B"/>
    <w:rsid w:val="00C34403"/>
    <w:rsid w:val="00C34594"/>
    <w:rsid w:val="00C34606"/>
    <w:rsid w:val="00C3476D"/>
    <w:rsid w:val="00C34921"/>
    <w:rsid w:val="00C34927"/>
    <w:rsid w:val="00C34A53"/>
    <w:rsid w:val="00C34B50"/>
    <w:rsid w:val="00C34D88"/>
    <w:rsid w:val="00C34DA1"/>
    <w:rsid w:val="00C34E1B"/>
    <w:rsid w:val="00C351DD"/>
    <w:rsid w:val="00C3523F"/>
    <w:rsid w:val="00C35446"/>
    <w:rsid w:val="00C354F8"/>
    <w:rsid w:val="00C357D2"/>
    <w:rsid w:val="00C359A6"/>
    <w:rsid w:val="00C35AA6"/>
    <w:rsid w:val="00C35ADC"/>
    <w:rsid w:val="00C35BF4"/>
    <w:rsid w:val="00C35D11"/>
    <w:rsid w:val="00C35DE1"/>
    <w:rsid w:val="00C35F76"/>
    <w:rsid w:val="00C36047"/>
    <w:rsid w:val="00C361EE"/>
    <w:rsid w:val="00C365DA"/>
    <w:rsid w:val="00C36647"/>
    <w:rsid w:val="00C366E6"/>
    <w:rsid w:val="00C3679B"/>
    <w:rsid w:val="00C36859"/>
    <w:rsid w:val="00C368BC"/>
    <w:rsid w:val="00C3691E"/>
    <w:rsid w:val="00C36A17"/>
    <w:rsid w:val="00C36B0F"/>
    <w:rsid w:val="00C36B50"/>
    <w:rsid w:val="00C36BDE"/>
    <w:rsid w:val="00C36CEF"/>
    <w:rsid w:val="00C36D27"/>
    <w:rsid w:val="00C36E61"/>
    <w:rsid w:val="00C36FAC"/>
    <w:rsid w:val="00C36FE2"/>
    <w:rsid w:val="00C37081"/>
    <w:rsid w:val="00C3783B"/>
    <w:rsid w:val="00C37BEA"/>
    <w:rsid w:val="00C37C16"/>
    <w:rsid w:val="00C37E33"/>
    <w:rsid w:val="00C37EF2"/>
    <w:rsid w:val="00C400A4"/>
    <w:rsid w:val="00C401FA"/>
    <w:rsid w:val="00C40661"/>
    <w:rsid w:val="00C408D6"/>
    <w:rsid w:val="00C40D83"/>
    <w:rsid w:val="00C40E4A"/>
    <w:rsid w:val="00C40F90"/>
    <w:rsid w:val="00C40FED"/>
    <w:rsid w:val="00C41041"/>
    <w:rsid w:val="00C413DC"/>
    <w:rsid w:val="00C413F6"/>
    <w:rsid w:val="00C41465"/>
    <w:rsid w:val="00C414D7"/>
    <w:rsid w:val="00C418B9"/>
    <w:rsid w:val="00C419C8"/>
    <w:rsid w:val="00C41B51"/>
    <w:rsid w:val="00C41F42"/>
    <w:rsid w:val="00C42384"/>
    <w:rsid w:val="00C4256F"/>
    <w:rsid w:val="00C426B2"/>
    <w:rsid w:val="00C4280F"/>
    <w:rsid w:val="00C429DC"/>
    <w:rsid w:val="00C42F2C"/>
    <w:rsid w:val="00C42F9C"/>
    <w:rsid w:val="00C430BF"/>
    <w:rsid w:val="00C430E1"/>
    <w:rsid w:val="00C43152"/>
    <w:rsid w:val="00C43264"/>
    <w:rsid w:val="00C43308"/>
    <w:rsid w:val="00C4356E"/>
    <w:rsid w:val="00C437A7"/>
    <w:rsid w:val="00C438D5"/>
    <w:rsid w:val="00C43AD0"/>
    <w:rsid w:val="00C43C42"/>
    <w:rsid w:val="00C43C9D"/>
    <w:rsid w:val="00C44441"/>
    <w:rsid w:val="00C44512"/>
    <w:rsid w:val="00C44598"/>
    <w:rsid w:val="00C44779"/>
    <w:rsid w:val="00C44797"/>
    <w:rsid w:val="00C4481D"/>
    <w:rsid w:val="00C44AB6"/>
    <w:rsid w:val="00C44BBE"/>
    <w:rsid w:val="00C44DA4"/>
    <w:rsid w:val="00C44E7D"/>
    <w:rsid w:val="00C44EC3"/>
    <w:rsid w:val="00C44F56"/>
    <w:rsid w:val="00C44FF6"/>
    <w:rsid w:val="00C45015"/>
    <w:rsid w:val="00C455A4"/>
    <w:rsid w:val="00C455F5"/>
    <w:rsid w:val="00C45683"/>
    <w:rsid w:val="00C458A0"/>
    <w:rsid w:val="00C458BA"/>
    <w:rsid w:val="00C45A68"/>
    <w:rsid w:val="00C45B2E"/>
    <w:rsid w:val="00C45B53"/>
    <w:rsid w:val="00C45B7B"/>
    <w:rsid w:val="00C45BC5"/>
    <w:rsid w:val="00C45CCB"/>
    <w:rsid w:val="00C45F65"/>
    <w:rsid w:val="00C463E9"/>
    <w:rsid w:val="00C46638"/>
    <w:rsid w:val="00C4696F"/>
    <w:rsid w:val="00C46D62"/>
    <w:rsid w:val="00C46E71"/>
    <w:rsid w:val="00C46F10"/>
    <w:rsid w:val="00C46FCA"/>
    <w:rsid w:val="00C4717F"/>
    <w:rsid w:val="00C471CC"/>
    <w:rsid w:val="00C47B49"/>
    <w:rsid w:val="00C47BFD"/>
    <w:rsid w:val="00C47D90"/>
    <w:rsid w:val="00C5004B"/>
    <w:rsid w:val="00C5006C"/>
    <w:rsid w:val="00C5009D"/>
    <w:rsid w:val="00C5013E"/>
    <w:rsid w:val="00C50254"/>
    <w:rsid w:val="00C502DA"/>
    <w:rsid w:val="00C5033A"/>
    <w:rsid w:val="00C503A7"/>
    <w:rsid w:val="00C503D7"/>
    <w:rsid w:val="00C5065C"/>
    <w:rsid w:val="00C50666"/>
    <w:rsid w:val="00C50955"/>
    <w:rsid w:val="00C50A58"/>
    <w:rsid w:val="00C50F62"/>
    <w:rsid w:val="00C50FC6"/>
    <w:rsid w:val="00C5101A"/>
    <w:rsid w:val="00C512C0"/>
    <w:rsid w:val="00C51355"/>
    <w:rsid w:val="00C5148E"/>
    <w:rsid w:val="00C514C4"/>
    <w:rsid w:val="00C514FB"/>
    <w:rsid w:val="00C51632"/>
    <w:rsid w:val="00C51691"/>
    <w:rsid w:val="00C5183E"/>
    <w:rsid w:val="00C51B76"/>
    <w:rsid w:val="00C51CFD"/>
    <w:rsid w:val="00C51D66"/>
    <w:rsid w:val="00C525C7"/>
    <w:rsid w:val="00C528D8"/>
    <w:rsid w:val="00C52906"/>
    <w:rsid w:val="00C52C31"/>
    <w:rsid w:val="00C52C6C"/>
    <w:rsid w:val="00C52D6C"/>
    <w:rsid w:val="00C52F2D"/>
    <w:rsid w:val="00C52F5E"/>
    <w:rsid w:val="00C53051"/>
    <w:rsid w:val="00C5315D"/>
    <w:rsid w:val="00C5319C"/>
    <w:rsid w:val="00C531FB"/>
    <w:rsid w:val="00C53208"/>
    <w:rsid w:val="00C533E2"/>
    <w:rsid w:val="00C534B6"/>
    <w:rsid w:val="00C534DF"/>
    <w:rsid w:val="00C53951"/>
    <w:rsid w:val="00C53BFD"/>
    <w:rsid w:val="00C53CEC"/>
    <w:rsid w:val="00C53DA3"/>
    <w:rsid w:val="00C54090"/>
    <w:rsid w:val="00C54173"/>
    <w:rsid w:val="00C541BD"/>
    <w:rsid w:val="00C54268"/>
    <w:rsid w:val="00C54702"/>
    <w:rsid w:val="00C54A5B"/>
    <w:rsid w:val="00C54B7B"/>
    <w:rsid w:val="00C54C1C"/>
    <w:rsid w:val="00C54E2A"/>
    <w:rsid w:val="00C54E37"/>
    <w:rsid w:val="00C552B1"/>
    <w:rsid w:val="00C552CA"/>
    <w:rsid w:val="00C558DF"/>
    <w:rsid w:val="00C5590F"/>
    <w:rsid w:val="00C5594F"/>
    <w:rsid w:val="00C55A4F"/>
    <w:rsid w:val="00C55B64"/>
    <w:rsid w:val="00C56050"/>
    <w:rsid w:val="00C56352"/>
    <w:rsid w:val="00C5638C"/>
    <w:rsid w:val="00C56567"/>
    <w:rsid w:val="00C56595"/>
    <w:rsid w:val="00C56713"/>
    <w:rsid w:val="00C56B6A"/>
    <w:rsid w:val="00C56BB8"/>
    <w:rsid w:val="00C56E1E"/>
    <w:rsid w:val="00C56F12"/>
    <w:rsid w:val="00C56FBD"/>
    <w:rsid w:val="00C5718F"/>
    <w:rsid w:val="00C572FD"/>
    <w:rsid w:val="00C5733E"/>
    <w:rsid w:val="00C573EF"/>
    <w:rsid w:val="00C574F9"/>
    <w:rsid w:val="00C57595"/>
    <w:rsid w:val="00C57752"/>
    <w:rsid w:val="00C57965"/>
    <w:rsid w:val="00C57967"/>
    <w:rsid w:val="00C57A20"/>
    <w:rsid w:val="00C57B7B"/>
    <w:rsid w:val="00C57CFE"/>
    <w:rsid w:val="00C57DD9"/>
    <w:rsid w:val="00C601E5"/>
    <w:rsid w:val="00C60277"/>
    <w:rsid w:val="00C60366"/>
    <w:rsid w:val="00C60402"/>
    <w:rsid w:val="00C6061E"/>
    <w:rsid w:val="00C60801"/>
    <w:rsid w:val="00C60A55"/>
    <w:rsid w:val="00C60D04"/>
    <w:rsid w:val="00C60D07"/>
    <w:rsid w:val="00C60D24"/>
    <w:rsid w:val="00C61574"/>
    <w:rsid w:val="00C61695"/>
    <w:rsid w:val="00C61963"/>
    <w:rsid w:val="00C61A8D"/>
    <w:rsid w:val="00C61AA8"/>
    <w:rsid w:val="00C61AC1"/>
    <w:rsid w:val="00C61B79"/>
    <w:rsid w:val="00C61CC9"/>
    <w:rsid w:val="00C61D90"/>
    <w:rsid w:val="00C61DDD"/>
    <w:rsid w:val="00C61E66"/>
    <w:rsid w:val="00C6223E"/>
    <w:rsid w:val="00C623FE"/>
    <w:rsid w:val="00C62492"/>
    <w:rsid w:val="00C62867"/>
    <w:rsid w:val="00C62B83"/>
    <w:rsid w:val="00C62BB4"/>
    <w:rsid w:val="00C62BC0"/>
    <w:rsid w:val="00C62FF6"/>
    <w:rsid w:val="00C6323B"/>
    <w:rsid w:val="00C6331F"/>
    <w:rsid w:val="00C633F5"/>
    <w:rsid w:val="00C63880"/>
    <w:rsid w:val="00C6398C"/>
    <w:rsid w:val="00C639C0"/>
    <w:rsid w:val="00C639FF"/>
    <w:rsid w:val="00C63C61"/>
    <w:rsid w:val="00C63CD5"/>
    <w:rsid w:val="00C63CDB"/>
    <w:rsid w:val="00C641AA"/>
    <w:rsid w:val="00C641DF"/>
    <w:rsid w:val="00C642C2"/>
    <w:rsid w:val="00C6455A"/>
    <w:rsid w:val="00C64908"/>
    <w:rsid w:val="00C64AFF"/>
    <w:rsid w:val="00C64B01"/>
    <w:rsid w:val="00C64B2B"/>
    <w:rsid w:val="00C64D80"/>
    <w:rsid w:val="00C64EBC"/>
    <w:rsid w:val="00C64EFB"/>
    <w:rsid w:val="00C64F3F"/>
    <w:rsid w:val="00C65036"/>
    <w:rsid w:val="00C65293"/>
    <w:rsid w:val="00C653D8"/>
    <w:rsid w:val="00C655B3"/>
    <w:rsid w:val="00C65699"/>
    <w:rsid w:val="00C656E4"/>
    <w:rsid w:val="00C65B84"/>
    <w:rsid w:val="00C65BBF"/>
    <w:rsid w:val="00C65D7D"/>
    <w:rsid w:val="00C65D95"/>
    <w:rsid w:val="00C65F58"/>
    <w:rsid w:val="00C65FFB"/>
    <w:rsid w:val="00C660B4"/>
    <w:rsid w:val="00C660F6"/>
    <w:rsid w:val="00C6660E"/>
    <w:rsid w:val="00C6662E"/>
    <w:rsid w:val="00C666A4"/>
    <w:rsid w:val="00C6670D"/>
    <w:rsid w:val="00C6680F"/>
    <w:rsid w:val="00C66E5F"/>
    <w:rsid w:val="00C67468"/>
    <w:rsid w:val="00C678BD"/>
    <w:rsid w:val="00C67D09"/>
    <w:rsid w:val="00C67DB1"/>
    <w:rsid w:val="00C67EC9"/>
    <w:rsid w:val="00C70196"/>
    <w:rsid w:val="00C702B9"/>
    <w:rsid w:val="00C70304"/>
    <w:rsid w:val="00C704DE"/>
    <w:rsid w:val="00C70588"/>
    <w:rsid w:val="00C70799"/>
    <w:rsid w:val="00C7081D"/>
    <w:rsid w:val="00C70998"/>
    <w:rsid w:val="00C70A12"/>
    <w:rsid w:val="00C70EB8"/>
    <w:rsid w:val="00C70F83"/>
    <w:rsid w:val="00C70FBD"/>
    <w:rsid w:val="00C7102C"/>
    <w:rsid w:val="00C7119F"/>
    <w:rsid w:val="00C711DC"/>
    <w:rsid w:val="00C7132D"/>
    <w:rsid w:val="00C714AF"/>
    <w:rsid w:val="00C71680"/>
    <w:rsid w:val="00C71683"/>
    <w:rsid w:val="00C7190A"/>
    <w:rsid w:val="00C71936"/>
    <w:rsid w:val="00C71976"/>
    <w:rsid w:val="00C71BB9"/>
    <w:rsid w:val="00C71C96"/>
    <w:rsid w:val="00C71CA9"/>
    <w:rsid w:val="00C71D26"/>
    <w:rsid w:val="00C723B2"/>
    <w:rsid w:val="00C725C3"/>
    <w:rsid w:val="00C72A63"/>
    <w:rsid w:val="00C72A91"/>
    <w:rsid w:val="00C7310E"/>
    <w:rsid w:val="00C733E2"/>
    <w:rsid w:val="00C734D8"/>
    <w:rsid w:val="00C73667"/>
    <w:rsid w:val="00C7379A"/>
    <w:rsid w:val="00C737D2"/>
    <w:rsid w:val="00C737E3"/>
    <w:rsid w:val="00C739B9"/>
    <w:rsid w:val="00C73AAD"/>
    <w:rsid w:val="00C73AD4"/>
    <w:rsid w:val="00C73AD9"/>
    <w:rsid w:val="00C73AF6"/>
    <w:rsid w:val="00C73E6D"/>
    <w:rsid w:val="00C73F8B"/>
    <w:rsid w:val="00C73FCB"/>
    <w:rsid w:val="00C74012"/>
    <w:rsid w:val="00C740B3"/>
    <w:rsid w:val="00C7410A"/>
    <w:rsid w:val="00C7416A"/>
    <w:rsid w:val="00C74192"/>
    <w:rsid w:val="00C7421F"/>
    <w:rsid w:val="00C74382"/>
    <w:rsid w:val="00C74499"/>
    <w:rsid w:val="00C7463E"/>
    <w:rsid w:val="00C749CE"/>
    <w:rsid w:val="00C74A7A"/>
    <w:rsid w:val="00C74ABF"/>
    <w:rsid w:val="00C74ECA"/>
    <w:rsid w:val="00C74ECF"/>
    <w:rsid w:val="00C74F19"/>
    <w:rsid w:val="00C74F9C"/>
    <w:rsid w:val="00C75026"/>
    <w:rsid w:val="00C75036"/>
    <w:rsid w:val="00C7551D"/>
    <w:rsid w:val="00C755A5"/>
    <w:rsid w:val="00C755CF"/>
    <w:rsid w:val="00C755F7"/>
    <w:rsid w:val="00C756A0"/>
    <w:rsid w:val="00C75A4A"/>
    <w:rsid w:val="00C75A83"/>
    <w:rsid w:val="00C75E2A"/>
    <w:rsid w:val="00C75F76"/>
    <w:rsid w:val="00C7645E"/>
    <w:rsid w:val="00C764A7"/>
    <w:rsid w:val="00C764FF"/>
    <w:rsid w:val="00C7650E"/>
    <w:rsid w:val="00C76519"/>
    <w:rsid w:val="00C7671B"/>
    <w:rsid w:val="00C76B44"/>
    <w:rsid w:val="00C76DAC"/>
    <w:rsid w:val="00C76DBD"/>
    <w:rsid w:val="00C76FA1"/>
    <w:rsid w:val="00C77046"/>
    <w:rsid w:val="00C77312"/>
    <w:rsid w:val="00C77435"/>
    <w:rsid w:val="00C77442"/>
    <w:rsid w:val="00C77541"/>
    <w:rsid w:val="00C77689"/>
    <w:rsid w:val="00C77751"/>
    <w:rsid w:val="00C77C2A"/>
    <w:rsid w:val="00C77D9F"/>
    <w:rsid w:val="00C77DD9"/>
    <w:rsid w:val="00C77F61"/>
    <w:rsid w:val="00C8005B"/>
    <w:rsid w:val="00C800F2"/>
    <w:rsid w:val="00C800FA"/>
    <w:rsid w:val="00C80270"/>
    <w:rsid w:val="00C802DA"/>
    <w:rsid w:val="00C8045C"/>
    <w:rsid w:val="00C80574"/>
    <w:rsid w:val="00C806B7"/>
    <w:rsid w:val="00C8076C"/>
    <w:rsid w:val="00C80A94"/>
    <w:rsid w:val="00C80A98"/>
    <w:rsid w:val="00C80B91"/>
    <w:rsid w:val="00C80BCB"/>
    <w:rsid w:val="00C80CDC"/>
    <w:rsid w:val="00C81136"/>
    <w:rsid w:val="00C813D5"/>
    <w:rsid w:val="00C81462"/>
    <w:rsid w:val="00C81594"/>
    <w:rsid w:val="00C816B1"/>
    <w:rsid w:val="00C81707"/>
    <w:rsid w:val="00C817FF"/>
    <w:rsid w:val="00C8184F"/>
    <w:rsid w:val="00C81CFD"/>
    <w:rsid w:val="00C81E42"/>
    <w:rsid w:val="00C81EA6"/>
    <w:rsid w:val="00C81EDE"/>
    <w:rsid w:val="00C824F7"/>
    <w:rsid w:val="00C82667"/>
    <w:rsid w:val="00C8294D"/>
    <w:rsid w:val="00C82980"/>
    <w:rsid w:val="00C82B16"/>
    <w:rsid w:val="00C82BD9"/>
    <w:rsid w:val="00C82D0A"/>
    <w:rsid w:val="00C82D38"/>
    <w:rsid w:val="00C82DB6"/>
    <w:rsid w:val="00C8306E"/>
    <w:rsid w:val="00C830B7"/>
    <w:rsid w:val="00C83245"/>
    <w:rsid w:val="00C83263"/>
    <w:rsid w:val="00C8335D"/>
    <w:rsid w:val="00C834C3"/>
    <w:rsid w:val="00C8356D"/>
    <w:rsid w:val="00C835E0"/>
    <w:rsid w:val="00C8368C"/>
    <w:rsid w:val="00C83A5A"/>
    <w:rsid w:val="00C83AD3"/>
    <w:rsid w:val="00C83C7B"/>
    <w:rsid w:val="00C83D1E"/>
    <w:rsid w:val="00C83E72"/>
    <w:rsid w:val="00C840A4"/>
    <w:rsid w:val="00C84333"/>
    <w:rsid w:val="00C845A4"/>
    <w:rsid w:val="00C84806"/>
    <w:rsid w:val="00C84A7F"/>
    <w:rsid w:val="00C84AE8"/>
    <w:rsid w:val="00C84BF4"/>
    <w:rsid w:val="00C84CA0"/>
    <w:rsid w:val="00C84F8F"/>
    <w:rsid w:val="00C84FAF"/>
    <w:rsid w:val="00C85010"/>
    <w:rsid w:val="00C85259"/>
    <w:rsid w:val="00C85451"/>
    <w:rsid w:val="00C856D3"/>
    <w:rsid w:val="00C85984"/>
    <w:rsid w:val="00C85AB7"/>
    <w:rsid w:val="00C85D3B"/>
    <w:rsid w:val="00C8617C"/>
    <w:rsid w:val="00C862E9"/>
    <w:rsid w:val="00C865B2"/>
    <w:rsid w:val="00C867A4"/>
    <w:rsid w:val="00C868A1"/>
    <w:rsid w:val="00C869BF"/>
    <w:rsid w:val="00C86C6D"/>
    <w:rsid w:val="00C86CD4"/>
    <w:rsid w:val="00C87155"/>
    <w:rsid w:val="00C87405"/>
    <w:rsid w:val="00C8782F"/>
    <w:rsid w:val="00C879F6"/>
    <w:rsid w:val="00C87CAE"/>
    <w:rsid w:val="00C90203"/>
    <w:rsid w:val="00C9033D"/>
    <w:rsid w:val="00C90352"/>
    <w:rsid w:val="00C90515"/>
    <w:rsid w:val="00C9063F"/>
    <w:rsid w:val="00C9064B"/>
    <w:rsid w:val="00C9069C"/>
    <w:rsid w:val="00C90896"/>
    <w:rsid w:val="00C909B4"/>
    <w:rsid w:val="00C90C7F"/>
    <w:rsid w:val="00C90CAC"/>
    <w:rsid w:val="00C90ED6"/>
    <w:rsid w:val="00C91200"/>
    <w:rsid w:val="00C91215"/>
    <w:rsid w:val="00C913F7"/>
    <w:rsid w:val="00C9142E"/>
    <w:rsid w:val="00C91439"/>
    <w:rsid w:val="00C9151E"/>
    <w:rsid w:val="00C9179A"/>
    <w:rsid w:val="00C917F8"/>
    <w:rsid w:val="00C9196B"/>
    <w:rsid w:val="00C91B85"/>
    <w:rsid w:val="00C91C66"/>
    <w:rsid w:val="00C91CD0"/>
    <w:rsid w:val="00C91EFE"/>
    <w:rsid w:val="00C92043"/>
    <w:rsid w:val="00C921FA"/>
    <w:rsid w:val="00C923E2"/>
    <w:rsid w:val="00C9276B"/>
    <w:rsid w:val="00C9282E"/>
    <w:rsid w:val="00C92956"/>
    <w:rsid w:val="00C92B7F"/>
    <w:rsid w:val="00C92B88"/>
    <w:rsid w:val="00C931BB"/>
    <w:rsid w:val="00C9360B"/>
    <w:rsid w:val="00C936EE"/>
    <w:rsid w:val="00C938D3"/>
    <w:rsid w:val="00C93A1F"/>
    <w:rsid w:val="00C93AEC"/>
    <w:rsid w:val="00C93D9B"/>
    <w:rsid w:val="00C93F7E"/>
    <w:rsid w:val="00C941CA"/>
    <w:rsid w:val="00C941E8"/>
    <w:rsid w:val="00C9426F"/>
    <w:rsid w:val="00C942EF"/>
    <w:rsid w:val="00C94366"/>
    <w:rsid w:val="00C944DA"/>
    <w:rsid w:val="00C9492A"/>
    <w:rsid w:val="00C94942"/>
    <w:rsid w:val="00C94BE8"/>
    <w:rsid w:val="00C94C30"/>
    <w:rsid w:val="00C94EB8"/>
    <w:rsid w:val="00C94FB4"/>
    <w:rsid w:val="00C95018"/>
    <w:rsid w:val="00C953E3"/>
    <w:rsid w:val="00C954F1"/>
    <w:rsid w:val="00C959F4"/>
    <w:rsid w:val="00C95C5F"/>
    <w:rsid w:val="00C95E0A"/>
    <w:rsid w:val="00C9604A"/>
    <w:rsid w:val="00C963C3"/>
    <w:rsid w:val="00C964FE"/>
    <w:rsid w:val="00C965D1"/>
    <w:rsid w:val="00C967F8"/>
    <w:rsid w:val="00C968B1"/>
    <w:rsid w:val="00C968BE"/>
    <w:rsid w:val="00C96A40"/>
    <w:rsid w:val="00C96A78"/>
    <w:rsid w:val="00C96AA2"/>
    <w:rsid w:val="00C96AE0"/>
    <w:rsid w:val="00C9709D"/>
    <w:rsid w:val="00C9713A"/>
    <w:rsid w:val="00C97218"/>
    <w:rsid w:val="00C972E4"/>
    <w:rsid w:val="00C97303"/>
    <w:rsid w:val="00C97913"/>
    <w:rsid w:val="00C97AB7"/>
    <w:rsid w:val="00C97BE4"/>
    <w:rsid w:val="00C97CB0"/>
    <w:rsid w:val="00C97DC1"/>
    <w:rsid w:val="00CA0023"/>
    <w:rsid w:val="00CA00BB"/>
    <w:rsid w:val="00CA02B2"/>
    <w:rsid w:val="00CA02ED"/>
    <w:rsid w:val="00CA0375"/>
    <w:rsid w:val="00CA03CC"/>
    <w:rsid w:val="00CA0426"/>
    <w:rsid w:val="00CA0634"/>
    <w:rsid w:val="00CA0876"/>
    <w:rsid w:val="00CA0A97"/>
    <w:rsid w:val="00CA0B5A"/>
    <w:rsid w:val="00CA0B7F"/>
    <w:rsid w:val="00CA0C82"/>
    <w:rsid w:val="00CA0CA2"/>
    <w:rsid w:val="00CA0D5B"/>
    <w:rsid w:val="00CA0F15"/>
    <w:rsid w:val="00CA10D7"/>
    <w:rsid w:val="00CA1243"/>
    <w:rsid w:val="00CA1299"/>
    <w:rsid w:val="00CA1330"/>
    <w:rsid w:val="00CA13CC"/>
    <w:rsid w:val="00CA159D"/>
    <w:rsid w:val="00CA16A0"/>
    <w:rsid w:val="00CA1719"/>
    <w:rsid w:val="00CA186C"/>
    <w:rsid w:val="00CA1B16"/>
    <w:rsid w:val="00CA1D3E"/>
    <w:rsid w:val="00CA1F48"/>
    <w:rsid w:val="00CA234D"/>
    <w:rsid w:val="00CA2582"/>
    <w:rsid w:val="00CA29E7"/>
    <w:rsid w:val="00CA2B28"/>
    <w:rsid w:val="00CA2C2F"/>
    <w:rsid w:val="00CA2C60"/>
    <w:rsid w:val="00CA2E8C"/>
    <w:rsid w:val="00CA2F24"/>
    <w:rsid w:val="00CA341C"/>
    <w:rsid w:val="00CA343E"/>
    <w:rsid w:val="00CA3519"/>
    <w:rsid w:val="00CA35B1"/>
    <w:rsid w:val="00CA399E"/>
    <w:rsid w:val="00CA3ACA"/>
    <w:rsid w:val="00CA3CB9"/>
    <w:rsid w:val="00CA3DC7"/>
    <w:rsid w:val="00CA3DFD"/>
    <w:rsid w:val="00CA3E9A"/>
    <w:rsid w:val="00CA3EDA"/>
    <w:rsid w:val="00CA3FCC"/>
    <w:rsid w:val="00CA41D7"/>
    <w:rsid w:val="00CA43BD"/>
    <w:rsid w:val="00CA44A2"/>
    <w:rsid w:val="00CA4AB5"/>
    <w:rsid w:val="00CA4AC1"/>
    <w:rsid w:val="00CA4C0C"/>
    <w:rsid w:val="00CA4E83"/>
    <w:rsid w:val="00CA537B"/>
    <w:rsid w:val="00CA5408"/>
    <w:rsid w:val="00CA543C"/>
    <w:rsid w:val="00CA563A"/>
    <w:rsid w:val="00CA5707"/>
    <w:rsid w:val="00CA5AA3"/>
    <w:rsid w:val="00CA5AD4"/>
    <w:rsid w:val="00CA5D53"/>
    <w:rsid w:val="00CA5FDD"/>
    <w:rsid w:val="00CA62EE"/>
    <w:rsid w:val="00CA657D"/>
    <w:rsid w:val="00CA6701"/>
    <w:rsid w:val="00CA6733"/>
    <w:rsid w:val="00CA6BC1"/>
    <w:rsid w:val="00CA6FE3"/>
    <w:rsid w:val="00CA7062"/>
    <w:rsid w:val="00CA7604"/>
    <w:rsid w:val="00CA7908"/>
    <w:rsid w:val="00CA7942"/>
    <w:rsid w:val="00CA79F0"/>
    <w:rsid w:val="00CA7B0F"/>
    <w:rsid w:val="00CA7C2E"/>
    <w:rsid w:val="00CA7E59"/>
    <w:rsid w:val="00CB0084"/>
    <w:rsid w:val="00CB02C9"/>
    <w:rsid w:val="00CB0881"/>
    <w:rsid w:val="00CB0C05"/>
    <w:rsid w:val="00CB0CDA"/>
    <w:rsid w:val="00CB0E90"/>
    <w:rsid w:val="00CB0ECF"/>
    <w:rsid w:val="00CB0EEC"/>
    <w:rsid w:val="00CB104D"/>
    <w:rsid w:val="00CB11B0"/>
    <w:rsid w:val="00CB132A"/>
    <w:rsid w:val="00CB149D"/>
    <w:rsid w:val="00CB1947"/>
    <w:rsid w:val="00CB19DC"/>
    <w:rsid w:val="00CB2050"/>
    <w:rsid w:val="00CB20CF"/>
    <w:rsid w:val="00CB21B9"/>
    <w:rsid w:val="00CB22FB"/>
    <w:rsid w:val="00CB2377"/>
    <w:rsid w:val="00CB25EF"/>
    <w:rsid w:val="00CB278D"/>
    <w:rsid w:val="00CB27B4"/>
    <w:rsid w:val="00CB2814"/>
    <w:rsid w:val="00CB2894"/>
    <w:rsid w:val="00CB28F6"/>
    <w:rsid w:val="00CB2A6F"/>
    <w:rsid w:val="00CB302C"/>
    <w:rsid w:val="00CB317B"/>
    <w:rsid w:val="00CB3661"/>
    <w:rsid w:val="00CB3922"/>
    <w:rsid w:val="00CB3A64"/>
    <w:rsid w:val="00CB3B3C"/>
    <w:rsid w:val="00CB3D6E"/>
    <w:rsid w:val="00CB3ECD"/>
    <w:rsid w:val="00CB3F93"/>
    <w:rsid w:val="00CB4471"/>
    <w:rsid w:val="00CB47CE"/>
    <w:rsid w:val="00CB48C0"/>
    <w:rsid w:val="00CB4964"/>
    <w:rsid w:val="00CB4ABD"/>
    <w:rsid w:val="00CB4CB4"/>
    <w:rsid w:val="00CB51EE"/>
    <w:rsid w:val="00CB52AE"/>
    <w:rsid w:val="00CB52E5"/>
    <w:rsid w:val="00CB5495"/>
    <w:rsid w:val="00CB5723"/>
    <w:rsid w:val="00CB5949"/>
    <w:rsid w:val="00CB5D1B"/>
    <w:rsid w:val="00CB5D92"/>
    <w:rsid w:val="00CB6130"/>
    <w:rsid w:val="00CB64EB"/>
    <w:rsid w:val="00CB65CF"/>
    <w:rsid w:val="00CB6838"/>
    <w:rsid w:val="00CB689D"/>
    <w:rsid w:val="00CB68A6"/>
    <w:rsid w:val="00CB6E48"/>
    <w:rsid w:val="00CB6F55"/>
    <w:rsid w:val="00CB714D"/>
    <w:rsid w:val="00CB718A"/>
    <w:rsid w:val="00CB7195"/>
    <w:rsid w:val="00CB756C"/>
    <w:rsid w:val="00CB7637"/>
    <w:rsid w:val="00CB7735"/>
    <w:rsid w:val="00CB7B83"/>
    <w:rsid w:val="00CB7C3E"/>
    <w:rsid w:val="00CB7CC6"/>
    <w:rsid w:val="00CB7FA1"/>
    <w:rsid w:val="00CC005D"/>
    <w:rsid w:val="00CC00B6"/>
    <w:rsid w:val="00CC04A5"/>
    <w:rsid w:val="00CC05CF"/>
    <w:rsid w:val="00CC061D"/>
    <w:rsid w:val="00CC067E"/>
    <w:rsid w:val="00CC0CBC"/>
    <w:rsid w:val="00CC0EEA"/>
    <w:rsid w:val="00CC0EF5"/>
    <w:rsid w:val="00CC0F8F"/>
    <w:rsid w:val="00CC10E9"/>
    <w:rsid w:val="00CC134B"/>
    <w:rsid w:val="00CC14E8"/>
    <w:rsid w:val="00CC1563"/>
    <w:rsid w:val="00CC1598"/>
    <w:rsid w:val="00CC15C7"/>
    <w:rsid w:val="00CC1606"/>
    <w:rsid w:val="00CC1630"/>
    <w:rsid w:val="00CC1837"/>
    <w:rsid w:val="00CC1C26"/>
    <w:rsid w:val="00CC1D41"/>
    <w:rsid w:val="00CC1DF5"/>
    <w:rsid w:val="00CC23CB"/>
    <w:rsid w:val="00CC2904"/>
    <w:rsid w:val="00CC2B65"/>
    <w:rsid w:val="00CC2BD1"/>
    <w:rsid w:val="00CC2E6D"/>
    <w:rsid w:val="00CC3173"/>
    <w:rsid w:val="00CC3175"/>
    <w:rsid w:val="00CC361C"/>
    <w:rsid w:val="00CC3719"/>
    <w:rsid w:val="00CC376F"/>
    <w:rsid w:val="00CC3BDE"/>
    <w:rsid w:val="00CC3C3D"/>
    <w:rsid w:val="00CC3C53"/>
    <w:rsid w:val="00CC3C84"/>
    <w:rsid w:val="00CC3E8C"/>
    <w:rsid w:val="00CC4296"/>
    <w:rsid w:val="00CC43C1"/>
    <w:rsid w:val="00CC43CB"/>
    <w:rsid w:val="00CC442C"/>
    <w:rsid w:val="00CC4629"/>
    <w:rsid w:val="00CC4659"/>
    <w:rsid w:val="00CC4704"/>
    <w:rsid w:val="00CC49C8"/>
    <w:rsid w:val="00CC5004"/>
    <w:rsid w:val="00CC535E"/>
    <w:rsid w:val="00CC544A"/>
    <w:rsid w:val="00CC54B7"/>
    <w:rsid w:val="00CC5520"/>
    <w:rsid w:val="00CC5B59"/>
    <w:rsid w:val="00CC5D1C"/>
    <w:rsid w:val="00CC5D7E"/>
    <w:rsid w:val="00CC6079"/>
    <w:rsid w:val="00CC6616"/>
    <w:rsid w:val="00CC665A"/>
    <w:rsid w:val="00CC6716"/>
    <w:rsid w:val="00CC681A"/>
    <w:rsid w:val="00CC698A"/>
    <w:rsid w:val="00CC69F4"/>
    <w:rsid w:val="00CC6B30"/>
    <w:rsid w:val="00CC6CF4"/>
    <w:rsid w:val="00CC6D5F"/>
    <w:rsid w:val="00CC7177"/>
    <w:rsid w:val="00CC73EE"/>
    <w:rsid w:val="00CC76A7"/>
    <w:rsid w:val="00CC775E"/>
    <w:rsid w:val="00CC7B03"/>
    <w:rsid w:val="00CC7CC8"/>
    <w:rsid w:val="00CC7D9D"/>
    <w:rsid w:val="00CC7E5D"/>
    <w:rsid w:val="00CC7EB4"/>
    <w:rsid w:val="00CC7F23"/>
    <w:rsid w:val="00CD0126"/>
    <w:rsid w:val="00CD0128"/>
    <w:rsid w:val="00CD01EA"/>
    <w:rsid w:val="00CD0225"/>
    <w:rsid w:val="00CD04BE"/>
    <w:rsid w:val="00CD06C3"/>
    <w:rsid w:val="00CD0CF4"/>
    <w:rsid w:val="00CD0F76"/>
    <w:rsid w:val="00CD1063"/>
    <w:rsid w:val="00CD11D1"/>
    <w:rsid w:val="00CD11FE"/>
    <w:rsid w:val="00CD13BD"/>
    <w:rsid w:val="00CD18D1"/>
    <w:rsid w:val="00CD1C9F"/>
    <w:rsid w:val="00CD1CA2"/>
    <w:rsid w:val="00CD1DBE"/>
    <w:rsid w:val="00CD1FA8"/>
    <w:rsid w:val="00CD215E"/>
    <w:rsid w:val="00CD2443"/>
    <w:rsid w:val="00CD255C"/>
    <w:rsid w:val="00CD259E"/>
    <w:rsid w:val="00CD28BC"/>
    <w:rsid w:val="00CD29CD"/>
    <w:rsid w:val="00CD2E4C"/>
    <w:rsid w:val="00CD2EC1"/>
    <w:rsid w:val="00CD2FEE"/>
    <w:rsid w:val="00CD3159"/>
    <w:rsid w:val="00CD3182"/>
    <w:rsid w:val="00CD33D1"/>
    <w:rsid w:val="00CD343D"/>
    <w:rsid w:val="00CD3505"/>
    <w:rsid w:val="00CD358D"/>
    <w:rsid w:val="00CD3597"/>
    <w:rsid w:val="00CD3BCA"/>
    <w:rsid w:val="00CD4038"/>
    <w:rsid w:val="00CD4096"/>
    <w:rsid w:val="00CD4268"/>
    <w:rsid w:val="00CD4333"/>
    <w:rsid w:val="00CD45C1"/>
    <w:rsid w:val="00CD474A"/>
    <w:rsid w:val="00CD47A9"/>
    <w:rsid w:val="00CD49B3"/>
    <w:rsid w:val="00CD4B40"/>
    <w:rsid w:val="00CD4BA4"/>
    <w:rsid w:val="00CD4D2C"/>
    <w:rsid w:val="00CD4D35"/>
    <w:rsid w:val="00CD4E19"/>
    <w:rsid w:val="00CD4E4A"/>
    <w:rsid w:val="00CD5034"/>
    <w:rsid w:val="00CD51CA"/>
    <w:rsid w:val="00CD536F"/>
    <w:rsid w:val="00CD53C3"/>
    <w:rsid w:val="00CD5B20"/>
    <w:rsid w:val="00CD5BA2"/>
    <w:rsid w:val="00CD5C23"/>
    <w:rsid w:val="00CD5C95"/>
    <w:rsid w:val="00CD5CA5"/>
    <w:rsid w:val="00CD5EF8"/>
    <w:rsid w:val="00CD5F1F"/>
    <w:rsid w:val="00CD6000"/>
    <w:rsid w:val="00CD61DF"/>
    <w:rsid w:val="00CD61F0"/>
    <w:rsid w:val="00CD62B4"/>
    <w:rsid w:val="00CD634B"/>
    <w:rsid w:val="00CD63B4"/>
    <w:rsid w:val="00CD64FB"/>
    <w:rsid w:val="00CD655A"/>
    <w:rsid w:val="00CD65A8"/>
    <w:rsid w:val="00CD6D3B"/>
    <w:rsid w:val="00CD7432"/>
    <w:rsid w:val="00CD7472"/>
    <w:rsid w:val="00CD7771"/>
    <w:rsid w:val="00CD7828"/>
    <w:rsid w:val="00CD7850"/>
    <w:rsid w:val="00CD7858"/>
    <w:rsid w:val="00CD7890"/>
    <w:rsid w:val="00CD7B0B"/>
    <w:rsid w:val="00CD7D90"/>
    <w:rsid w:val="00CE0171"/>
    <w:rsid w:val="00CE03BD"/>
    <w:rsid w:val="00CE07D9"/>
    <w:rsid w:val="00CE080A"/>
    <w:rsid w:val="00CE0AD7"/>
    <w:rsid w:val="00CE13F1"/>
    <w:rsid w:val="00CE1507"/>
    <w:rsid w:val="00CE1674"/>
    <w:rsid w:val="00CE168D"/>
    <w:rsid w:val="00CE1D19"/>
    <w:rsid w:val="00CE1EC1"/>
    <w:rsid w:val="00CE1F51"/>
    <w:rsid w:val="00CE1FB7"/>
    <w:rsid w:val="00CE1FE8"/>
    <w:rsid w:val="00CE2255"/>
    <w:rsid w:val="00CE22A1"/>
    <w:rsid w:val="00CE239C"/>
    <w:rsid w:val="00CE2500"/>
    <w:rsid w:val="00CE2532"/>
    <w:rsid w:val="00CE2792"/>
    <w:rsid w:val="00CE27C5"/>
    <w:rsid w:val="00CE28F4"/>
    <w:rsid w:val="00CE2976"/>
    <w:rsid w:val="00CE2B3E"/>
    <w:rsid w:val="00CE2B66"/>
    <w:rsid w:val="00CE2B6C"/>
    <w:rsid w:val="00CE2BB9"/>
    <w:rsid w:val="00CE2C16"/>
    <w:rsid w:val="00CE2C51"/>
    <w:rsid w:val="00CE2F25"/>
    <w:rsid w:val="00CE30B5"/>
    <w:rsid w:val="00CE3611"/>
    <w:rsid w:val="00CE392D"/>
    <w:rsid w:val="00CE397E"/>
    <w:rsid w:val="00CE3AEB"/>
    <w:rsid w:val="00CE3AF8"/>
    <w:rsid w:val="00CE3B92"/>
    <w:rsid w:val="00CE3C8C"/>
    <w:rsid w:val="00CE405B"/>
    <w:rsid w:val="00CE4224"/>
    <w:rsid w:val="00CE42FF"/>
    <w:rsid w:val="00CE43F1"/>
    <w:rsid w:val="00CE47B0"/>
    <w:rsid w:val="00CE4B61"/>
    <w:rsid w:val="00CE4BF3"/>
    <w:rsid w:val="00CE4DCA"/>
    <w:rsid w:val="00CE4EDE"/>
    <w:rsid w:val="00CE4EF4"/>
    <w:rsid w:val="00CE4F47"/>
    <w:rsid w:val="00CE5030"/>
    <w:rsid w:val="00CE50C0"/>
    <w:rsid w:val="00CE50D7"/>
    <w:rsid w:val="00CE5259"/>
    <w:rsid w:val="00CE5540"/>
    <w:rsid w:val="00CE55FF"/>
    <w:rsid w:val="00CE5620"/>
    <w:rsid w:val="00CE5736"/>
    <w:rsid w:val="00CE5950"/>
    <w:rsid w:val="00CE5B68"/>
    <w:rsid w:val="00CE5BA0"/>
    <w:rsid w:val="00CE5ED7"/>
    <w:rsid w:val="00CE60DD"/>
    <w:rsid w:val="00CE61F1"/>
    <w:rsid w:val="00CE62B5"/>
    <w:rsid w:val="00CE66F7"/>
    <w:rsid w:val="00CE670B"/>
    <w:rsid w:val="00CE67C5"/>
    <w:rsid w:val="00CE67E3"/>
    <w:rsid w:val="00CE68C4"/>
    <w:rsid w:val="00CE68F3"/>
    <w:rsid w:val="00CE6D4E"/>
    <w:rsid w:val="00CE707E"/>
    <w:rsid w:val="00CE73B3"/>
    <w:rsid w:val="00CE740D"/>
    <w:rsid w:val="00CE7502"/>
    <w:rsid w:val="00CE762B"/>
    <w:rsid w:val="00CE7738"/>
    <w:rsid w:val="00CE7D62"/>
    <w:rsid w:val="00CE7E0E"/>
    <w:rsid w:val="00CE7EB9"/>
    <w:rsid w:val="00CF0012"/>
    <w:rsid w:val="00CF0146"/>
    <w:rsid w:val="00CF0165"/>
    <w:rsid w:val="00CF03A0"/>
    <w:rsid w:val="00CF0446"/>
    <w:rsid w:val="00CF0515"/>
    <w:rsid w:val="00CF05CE"/>
    <w:rsid w:val="00CF0979"/>
    <w:rsid w:val="00CF0985"/>
    <w:rsid w:val="00CF09AF"/>
    <w:rsid w:val="00CF0BFA"/>
    <w:rsid w:val="00CF0DFB"/>
    <w:rsid w:val="00CF1097"/>
    <w:rsid w:val="00CF12A4"/>
    <w:rsid w:val="00CF1597"/>
    <w:rsid w:val="00CF1668"/>
    <w:rsid w:val="00CF16C3"/>
    <w:rsid w:val="00CF19A4"/>
    <w:rsid w:val="00CF2033"/>
    <w:rsid w:val="00CF259A"/>
    <w:rsid w:val="00CF275B"/>
    <w:rsid w:val="00CF2925"/>
    <w:rsid w:val="00CF2C0F"/>
    <w:rsid w:val="00CF2E82"/>
    <w:rsid w:val="00CF2ED5"/>
    <w:rsid w:val="00CF312E"/>
    <w:rsid w:val="00CF3503"/>
    <w:rsid w:val="00CF36D5"/>
    <w:rsid w:val="00CF373E"/>
    <w:rsid w:val="00CF37D9"/>
    <w:rsid w:val="00CF3AF9"/>
    <w:rsid w:val="00CF3B3B"/>
    <w:rsid w:val="00CF3CD3"/>
    <w:rsid w:val="00CF3D1E"/>
    <w:rsid w:val="00CF3D74"/>
    <w:rsid w:val="00CF40B6"/>
    <w:rsid w:val="00CF41F0"/>
    <w:rsid w:val="00CF4421"/>
    <w:rsid w:val="00CF4597"/>
    <w:rsid w:val="00CF461C"/>
    <w:rsid w:val="00CF4983"/>
    <w:rsid w:val="00CF517D"/>
    <w:rsid w:val="00CF5550"/>
    <w:rsid w:val="00CF5733"/>
    <w:rsid w:val="00CF58EF"/>
    <w:rsid w:val="00CF5A09"/>
    <w:rsid w:val="00CF5CF7"/>
    <w:rsid w:val="00CF5D96"/>
    <w:rsid w:val="00CF5EC4"/>
    <w:rsid w:val="00CF5EFA"/>
    <w:rsid w:val="00CF5FBE"/>
    <w:rsid w:val="00CF602F"/>
    <w:rsid w:val="00CF64F6"/>
    <w:rsid w:val="00CF6881"/>
    <w:rsid w:val="00CF6AD8"/>
    <w:rsid w:val="00CF6B75"/>
    <w:rsid w:val="00CF6C9E"/>
    <w:rsid w:val="00CF6E23"/>
    <w:rsid w:val="00CF719A"/>
    <w:rsid w:val="00CF73E4"/>
    <w:rsid w:val="00CF7476"/>
    <w:rsid w:val="00CF7585"/>
    <w:rsid w:val="00CF7B60"/>
    <w:rsid w:val="00CF7CF3"/>
    <w:rsid w:val="00CF7D6B"/>
    <w:rsid w:val="00CF7DD1"/>
    <w:rsid w:val="00CF7E4F"/>
    <w:rsid w:val="00CF7EF2"/>
    <w:rsid w:val="00D000DD"/>
    <w:rsid w:val="00D002BB"/>
    <w:rsid w:val="00D00313"/>
    <w:rsid w:val="00D005C1"/>
    <w:rsid w:val="00D006E9"/>
    <w:rsid w:val="00D007F7"/>
    <w:rsid w:val="00D00800"/>
    <w:rsid w:val="00D00835"/>
    <w:rsid w:val="00D0087A"/>
    <w:rsid w:val="00D00908"/>
    <w:rsid w:val="00D0097B"/>
    <w:rsid w:val="00D00A4D"/>
    <w:rsid w:val="00D00CD4"/>
    <w:rsid w:val="00D01079"/>
    <w:rsid w:val="00D01228"/>
    <w:rsid w:val="00D01398"/>
    <w:rsid w:val="00D014E8"/>
    <w:rsid w:val="00D01B26"/>
    <w:rsid w:val="00D01B6C"/>
    <w:rsid w:val="00D01D6B"/>
    <w:rsid w:val="00D01DCA"/>
    <w:rsid w:val="00D01EB3"/>
    <w:rsid w:val="00D01ED5"/>
    <w:rsid w:val="00D01EEA"/>
    <w:rsid w:val="00D0207D"/>
    <w:rsid w:val="00D02161"/>
    <w:rsid w:val="00D02359"/>
    <w:rsid w:val="00D02479"/>
    <w:rsid w:val="00D025B7"/>
    <w:rsid w:val="00D025CA"/>
    <w:rsid w:val="00D0260E"/>
    <w:rsid w:val="00D02740"/>
    <w:rsid w:val="00D027D1"/>
    <w:rsid w:val="00D0293B"/>
    <w:rsid w:val="00D0297A"/>
    <w:rsid w:val="00D02A37"/>
    <w:rsid w:val="00D02AB6"/>
    <w:rsid w:val="00D02B76"/>
    <w:rsid w:val="00D02EA7"/>
    <w:rsid w:val="00D030CD"/>
    <w:rsid w:val="00D030F1"/>
    <w:rsid w:val="00D03129"/>
    <w:rsid w:val="00D03338"/>
    <w:rsid w:val="00D0359D"/>
    <w:rsid w:val="00D03886"/>
    <w:rsid w:val="00D038AE"/>
    <w:rsid w:val="00D038BD"/>
    <w:rsid w:val="00D0391F"/>
    <w:rsid w:val="00D03A8F"/>
    <w:rsid w:val="00D03AA1"/>
    <w:rsid w:val="00D03BEC"/>
    <w:rsid w:val="00D03D19"/>
    <w:rsid w:val="00D03FDC"/>
    <w:rsid w:val="00D0404B"/>
    <w:rsid w:val="00D04069"/>
    <w:rsid w:val="00D043C0"/>
    <w:rsid w:val="00D04499"/>
    <w:rsid w:val="00D04761"/>
    <w:rsid w:val="00D0479D"/>
    <w:rsid w:val="00D04931"/>
    <w:rsid w:val="00D049A4"/>
    <w:rsid w:val="00D04A23"/>
    <w:rsid w:val="00D04A45"/>
    <w:rsid w:val="00D04A9B"/>
    <w:rsid w:val="00D04FA0"/>
    <w:rsid w:val="00D05055"/>
    <w:rsid w:val="00D05177"/>
    <w:rsid w:val="00D051C4"/>
    <w:rsid w:val="00D05625"/>
    <w:rsid w:val="00D05782"/>
    <w:rsid w:val="00D0593D"/>
    <w:rsid w:val="00D05AAE"/>
    <w:rsid w:val="00D05D62"/>
    <w:rsid w:val="00D05F56"/>
    <w:rsid w:val="00D06809"/>
    <w:rsid w:val="00D06822"/>
    <w:rsid w:val="00D06BB9"/>
    <w:rsid w:val="00D06BDC"/>
    <w:rsid w:val="00D06C17"/>
    <w:rsid w:val="00D06C89"/>
    <w:rsid w:val="00D06F6D"/>
    <w:rsid w:val="00D0711D"/>
    <w:rsid w:val="00D073EB"/>
    <w:rsid w:val="00D076A1"/>
    <w:rsid w:val="00D076B6"/>
    <w:rsid w:val="00D07C9B"/>
    <w:rsid w:val="00D07DF5"/>
    <w:rsid w:val="00D07FD1"/>
    <w:rsid w:val="00D1004C"/>
    <w:rsid w:val="00D10310"/>
    <w:rsid w:val="00D104E5"/>
    <w:rsid w:val="00D1054E"/>
    <w:rsid w:val="00D1075A"/>
    <w:rsid w:val="00D1083E"/>
    <w:rsid w:val="00D109CD"/>
    <w:rsid w:val="00D10CD5"/>
    <w:rsid w:val="00D10D6C"/>
    <w:rsid w:val="00D10E59"/>
    <w:rsid w:val="00D110DB"/>
    <w:rsid w:val="00D11111"/>
    <w:rsid w:val="00D11795"/>
    <w:rsid w:val="00D11A07"/>
    <w:rsid w:val="00D11D89"/>
    <w:rsid w:val="00D11DBC"/>
    <w:rsid w:val="00D12104"/>
    <w:rsid w:val="00D1218B"/>
    <w:rsid w:val="00D12214"/>
    <w:rsid w:val="00D1221F"/>
    <w:rsid w:val="00D127F7"/>
    <w:rsid w:val="00D129D8"/>
    <w:rsid w:val="00D12C64"/>
    <w:rsid w:val="00D1307F"/>
    <w:rsid w:val="00D1318B"/>
    <w:rsid w:val="00D132F5"/>
    <w:rsid w:val="00D13535"/>
    <w:rsid w:val="00D1372B"/>
    <w:rsid w:val="00D13765"/>
    <w:rsid w:val="00D13CF7"/>
    <w:rsid w:val="00D13FE2"/>
    <w:rsid w:val="00D14437"/>
    <w:rsid w:val="00D14690"/>
    <w:rsid w:val="00D14702"/>
    <w:rsid w:val="00D149D0"/>
    <w:rsid w:val="00D14A09"/>
    <w:rsid w:val="00D14A3B"/>
    <w:rsid w:val="00D14AA8"/>
    <w:rsid w:val="00D14DA1"/>
    <w:rsid w:val="00D14DA8"/>
    <w:rsid w:val="00D14E52"/>
    <w:rsid w:val="00D14EE4"/>
    <w:rsid w:val="00D15005"/>
    <w:rsid w:val="00D1515B"/>
    <w:rsid w:val="00D15197"/>
    <w:rsid w:val="00D1542B"/>
    <w:rsid w:val="00D15972"/>
    <w:rsid w:val="00D15A16"/>
    <w:rsid w:val="00D15B4A"/>
    <w:rsid w:val="00D15C03"/>
    <w:rsid w:val="00D15DA3"/>
    <w:rsid w:val="00D15E4A"/>
    <w:rsid w:val="00D15F3D"/>
    <w:rsid w:val="00D16055"/>
    <w:rsid w:val="00D16255"/>
    <w:rsid w:val="00D1647C"/>
    <w:rsid w:val="00D166D8"/>
    <w:rsid w:val="00D169D6"/>
    <w:rsid w:val="00D16F80"/>
    <w:rsid w:val="00D17049"/>
    <w:rsid w:val="00D170E0"/>
    <w:rsid w:val="00D17177"/>
    <w:rsid w:val="00D172FF"/>
    <w:rsid w:val="00D17394"/>
    <w:rsid w:val="00D17452"/>
    <w:rsid w:val="00D1790F"/>
    <w:rsid w:val="00D17A95"/>
    <w:rsid w:val="00D17BAB"/>
    <w:rsid w:val="00D17DB0"/>
    <w:rsid w:val="00D20029"/>
    <w:rsid w:val="00D204AF"/>
    <w:rsid w:val="00D204D5"/>
    <w:rsid w:val="00D2052C"/>
    <w:rsid w:val="00D207E5"/>
    <w:rsid w:val="00D2096D"/>
    <w:rsid w:val="00D20C34"/>
    <w:rsid w:val="00D20CAD"/>
    <w:rsid w:val="00D20DA9"/>
    <w:rsid w:val="00D20F0C"/>
    <w:rsid w:val="00D211CD"/>
    <w:rsid w:val="00D21717"/>
    <w:rsid w:val="00D2171E"/>
    <w:rsid w:val="00D21771"/>
    <w:rsid w:val="00D21934"/>
    <w:rsid w:val="00D21B36"/>
    <w:rsid w:val="00D21C18"/>
    <w:rsid w:val="00D22060"/>
    <w:rsid w:val="00D2238A"/>
    <w:rsid w:val="00D224D9"/>
    <w:rsid w:val="00D22A34"/>
    <w:rsid w:val="00D22CF0"/>
    <w:rsid w:val="00D22DE3"/>
    <w:rsid w:val="00D22E19"/>
    <w:rsid w:val="00D22EBF"/>
    <w:rsid w:val="00D22F53"/>
    <w:rsid w:val="00D22FE3"/>
    <w:rsid w:val="00D2320C"/>
    <w:rsid w:val="00D236DC"/>
    <w:rsid w:val="00D237FE"/>
    <w:rsid w:val="00D23BCA"/>
    <w:rsid w:val="00D23DA0"/>
    <w:rsid w:val="00D23EE8"/>
    <w:rsid w:val="00D246C5"/>
    <w:rsid w:val="00D247E6"/>
    <w:rsid w:val="00D2486B"/>
    <w:rsid w:val="00D249A3"/>
    <w:rsid w:val="00D24AA4"/>
    <w:rsid w:val="00D24C3A"/>
    <w:rsid w:val="00D24D13"/>
    <w:rsid w:val="00D25358"/>
    <w:rsid w:val="00D253F0"/>
    <w:rsid w:val="00D25418"/>
    <w:rsid w:val="00D254A3"/>
    <w:rsid w:val="00D258D2"/>
    <w:rsid w:val="00D259BD"/>
    <w:rsid w:val="00D25E9A"/>
    <w:rsid w:val="00D25EC8"/>
    <w:rsid w:val="00D25EE5"/>
    <w:rsid w:val="00D25F08"/>
    <w:rsid w:val="00D261EF"/>
    <w:rsid w:val="00D26223"/>
    <w:rsid w:val="00D262F7"/>
    <w:rsid w:val="00D2682B"/>
    <w:rsid w:val="00D26971"/>
    <w:rsid w:val="00D26A69"/>
    <w:rsid w:val="00D26B93"/>
    <w:rsid w:val="00D26BFF"/>
    <w:rsid w:val="00D26C46"/>
    <w:rsid w:val="00D26C4C"/>
    <w:rsid w:val="00D26FCB"/>
    <w:rsid w:val="00D273AF"/>
    <w:rsid w:val="00D273DB"/>
    <w:rsid w:val="00D2756A"/>
    <w:rsid w:val="00D275D7"/>
    <w:rsid w:val="00D27770"/>
    <w:rsid w:val="00D278C6"/>
    <w:rsid w:val="00D27936"/>
    <w:rsid w:val="00D279E6"/>
    <w:rsid w:val="00D27D45"/>
    <w:rsid w:val="00D27DC8"/>
    <w:rsid w:val="00D30123"/>
    <w:rsid w:val="00D30596"/>
    <w:rsid w:val="00D30EBF"/>
    <w:rsid w:val="00D3119A"/>
    <w:rsid w:val="00D313F2"/>
    <w:rsid w:val="00D3148D"/>
    <w:rsid w:val="00D31637"/>
    <w:rsid w:val="00D31657"/>
    <w:rsid w:val="00D316BC"/>
    <w:rsid w:val="00D317E2"/>
    <w:rsid w:val="00D3190F"/>
    <w:rsid w:val="00D319CD"/>
    <w:rsid w:val="00D31A42"/>
    <w:rsid w:val="00D31AE9"/>
    <w:rsid w:val="00D31CE5"/>
    <w:rsid w:val="00D31DA3"/>
    <w:rsid w:val="00D32463"/>
    <w:rsid w:val="00D3273A"/>
    <w:rsid w:val="00D32878"/>
    <w:rsid w:val="00D32A18"/>
    <w:rsid w:val="00D32ACC"/>
    <w:rsid w:val="00D32BAE"/>
    <w:rsid w:val="00D32C23"/>
    <w:rsid w:val="00D32D11"/>
    <w:rsid w:val="00D32EDA"/>
    <w:rsid w:val="00D32FBE"/>
    <w:rsid w:val="00D32FC1"/>
    <w:rsid w:val="00D3302B"/>
    <w:rsid w:val="00D330B2"/>
    <w:rsid w:val="00D330C0"/>
    <w:rsid w:val="00D33150"/>
    <w:rsid w:val="00D33203"/>
    <w:rsid w:val="00D332A5"/>
    <w:rsid w:val="00D332FC"/>
    <w:rsid w:val="00D33401"/>
    <w:rsid w:val="00D33485"/>
    <w:rsid w:val="00D33562"/>
    <w:rsid w:val="00D33643"/>
    <w:rsid w:val="00D336FB"/>
    <w:rsid w:val="00D337AA"/>
    <w:rsid w:val="00D33881"/>
    <w:rsid w:val="00D33910"/>
    <w:rsid w:val="00D33A5F"/>
    <w:rsid w:val="00D33AE8"/>
    <w:rsid w:val="00D33B03"/>
    <w:rsid w:val="00D33BF2"/>
    <w:rsid w:val="00D33DE1"/>
    <w:rsid w:val="00D34213"/>
    <w:rsid w:val="00D3422B"/>
    <w:rsid w:val="00D34548"/>
    <w:rsid w:val="00D346CC"/>
    <w:rsid w:val="00D347C2"/>
    <w:rsid w:val="00D347F3"/>
    <w:rsid w:val="00D34846"/>
    <w:rsid w:val="00D348FE"/>
    <w:rsid w:val="00D349B2"/>
    <w:rsid w:val="00D35154"/>
    <w:rsid w:val="00D3516B"/>
    <w:rsid w:val="00D35240"/>
    <w:rsid w:val="00D3529D"/>
    <w:rsid w:val="00D352C7"/>
    <w:rsid w:val="00D35436"/>
    <w:rsid w:val="00D3549B"/>
    <w:rsid w:val="00D3585F"/>
    <w:rsid w:val="00D35C97"/>
    <w:rsid w:val="00D35F62"/>
    <w:rsid w:val="00D3607E"/>
    <w:rsid w:val="00D36248"/>
    <w:rsid w:val="00D36263"/>
    <w:rsid w:val="00D36413"/>
    <w:rsid w:val="00D36675"/>
    <w:rsid w:val="00D3673B"/>
    <w:rsid w:val="00D36804"/>
    <w:rsid w:val="00D36A1E"/>
    <w:rsid w:val="00D36A48"/>
    <w:rsid w:val="00D36A8B"/>
    <w:rsid w:val="00D36C1F"/>
    <w:rsid w:val="00D36C2C"/>
    <w:rsid w:val="00D36D32"/>
    <w:rsid w:val="00D36EAB"/>
    <w:rsid w:val="00D36EDE"/>
    <w:rsid w:val="00D37034"/>
    <w:rsid w:val="00D371F1"/>
    <w:rsid w:val="00D37439"/>
    <w:rsid w:val="00D377B1"/>
    <w:rsid w:val="00D37DF1"/>
    <w:rsid w:val="00D4005A"/>
    <w:rsid w:val="00D40193"/>
    <w:rsid w:val="00D40443"/>
    <w:rsid w:val="00D40610"/>
    <w:rsid w:val="00D4098A"/>
    <w:rsid w:val="00D40A82"/>
    <w:rsid w:val="00D40AE4"/>
    <w:rsid w:val="00D40B20"/>
    <w:rsid w:val="00D40C8D"/>
    <w:rsid w:val="00D40CCD"/>
    <w:rsid w:val="00D40D57"/>
    <w:rsid w:val="00D40EEE"/>
    <w:rsid w:val="00D410B4"/>
    <w:rsid w:val="00D41235"/>
    <w:rsid w:val="00D418B4"/>
    <w:rsid w:val="00D41B9F"/>
    <w:rsid w:val="00D41C2F"/>
    <w:rsid w:val="00D4205D"/>
    <w:rsid w:val="00D42298"/>
    <w:rsid w:val="00D424A8"/>
    <w:rsid w:val="00D42560"/>
    <w:rsid w:val="00D42795"/>
    <w:rsid w:val="00D42797"/>
    <w:rsid w:val="00D43469"/>
    <w:rsid w:val="00D434DD"/>
    <w:rsid w:val="00D43577"/>
    <w:rsid w:val="00D4368D"/>
    <w:rsid w:val="00D4375B"/>
    <w:rsid w:val="00D43AA8"/>
    <w:rsid w:val="00D43B1D"/>
    <w:rsid w:val="00D43D86"/>
    <w:rsid w:val="00D43D98"/>
    <w:rsid w:val="00D43E0B"/>
    <w:rsid w:val="00D43EE1"/>
    <w:rsid w:val="00D43F1B"/>
    <w:rsid w:val="00D4403A"/>
    <w:rsid w:val="00D44379"/>
    <w:rsid w:val="00D444A5"/>
    <w:rsid w:val="00D447F6"/>
    <w:rsid w:val="00D4480A"/>
    <w:rsid w:val="00D44918"/>
    <w:rsid w:val="00D44A56"/>
    <w:rsid w:val="00D44B01"/>
    <w:rsid w:val="00D44B59"/>
    <w:rsid w:val="00D44DCE"/>
    <w:rsid w:val="00D44E97"/>
    <w:rsid w:val="00D4503E"/>
    <w:rsid w:val="00D45480"/>
    <w:rsid w:val="00D4550D"/>
    <w:rsid w:val="00D45531"/>
    <w:rsid w:val="00D4569A"/>
    <w:rsid w:val="00D458A0"/>
    <w:rsid w:val="00D45B39"/>
    <w:rsid w:val="00D45B62"/>
    <w:rsid w:val="00D45BFF"/>
    <w:rsid w:val="00D45CAA"/>
    <w:rsid w:val="00D45D6E"/>
    <w:rsid w:val="00D45D77"/>
    <w:rsid w:val="00D45ECE"/>
    <w:rsid w:val="00D45EE4"/>
    <w:rsid w:val="00D4609D"/>
    <w:rsid w:val="00D46218"/>
    <w:rsid w:val="00D46398"/>
    <w:rsid w:val="00D46422"/>
    <w:rsid w:val="00D46446"/>
    <w:rsid w:val="00D46477"/>
    <w:rsid w:val="00D4680F"/>
    <w:rsid w:val="00D46A10"/>
    <w:rsid w:val="00D46A33"/>
    <w:rsid w:val="00D46A44"/>
    <w:rsid w:val="00D46A85"/>
    <w:rsid w:val="00D46CAF"/>
    <w:rsid w:val="00D46F89"/>
    <w:rsid w:val="00D4706F"/>
    <w:rsid w:val="00D472B2"/>
    <w:rsid w:val="00D47341"/>
    <w:rsid w:val="00D4778E"/>
    <w:rsid w:val="00D47867"/>
    <w:rsid w:val="00D47C6E"/>
    <w:rsid w:val="00D5003D"/>
    <w:rsid w:val="00D501BC"/>
    <w:rsid w:val="00D5037D"/>
    <w:rsid w:val="00D50706"/>
    <w:rsid w:val="00D50A11"/>
    <w:rsid w:val="00D50EEC"/>
    <w:rsid w:val="00D5128B"/>
    <w:rsid w:val="00D515F3"/>
    <w:rsid w:val="00D51784"/>
    <w:rsid w:val="00D5189C"/>
    <w:rsid w:val="00D518C2"/>
    <w:rsid w:val="00D51922"/>
    <w:rsid w:val="00D5196E"/>
    <w:rsid w:val="00D51DCF"/>
    <w:rsid w:val="00D51DFE"/>
    <w:rsid w:val="00D51F3E"/>
    <w:rsid w:val="00D5244E"/>
    <w:rsid w:val="00D526A9"/>
    <w:rsid w:val="00D526F1"/>
    <w:rsid w:val="00D5272B"/>
    <w:rsid w:val="00D529B5"/>
    <w:rsid w:val="00D52EB7"/>
    <w:rsid w:val="00D52F78"/>
    <w:rsid w:val="00D5302B"/>
    <w:rsid w:val="00D531D4"/>
    <w:rsid w:val="00D533E0"/>
    <w:rsid w:val="00D5364D"/>
    <w:rsid w:val="00D5397B"/>
    <w:rsid w:val="00D53F45"/>
    <w:rsid w:val="00D54189"/>
    <w:rsid w:val="00D5445A"/>
    <w:rsid w:val="00D544E9"/>
    <w:rsid w:val="00D5476E"/>
    <w:rsid w:val="00D54814"/>
    <w:rsid w:val="00D549CA"/>
    <w:rsid w:val="00D54B29"/>
    <w:rsid w:val="00D54D07"/>
    <w:rsid w:val="00D54DDA"/>
    <w:rsid w:val="00D54DF2"/>
    <w:rsid w:val="00D553FA"/>
    <w:rsid w:val="00D554B4"/>
    <w:rsid w:val="00D5568D"/>
    <w:rsid w:val="00D55A8C"/>
    <w:rsid w:val="00D55E45"/>
    <w:rsid w:val="00D55E52"/>
    <w:rsid w:val="00D55E72"/>
    <w:rsid w:val="00D55EDA"/>
    <w:rsid w:val="00D5625A"/>
    <w:rsid w:val="00D564AC"/>
    <w:rsid w:val="00D566A9"/>
    <w:rsid w:val="00D5692E"/>
    <w:rsid w:val="00D56BAB"/>
    <w:rsid w:val="00D56C76"/>
    <w:rsid w:val="00D56D24"/>
    <w:rsid w:val="00D56F2D"/>
    <w:rsid w:val="00D57361"/>
    <w:rsid w:val="00D575F0"/>
    <w:rsid w:val="00D576BC"/>
    <w:rsid w:val="00D57877"/>
    <w:rsid w:val="00D578C6"/>
    <w:rsid w:val="00D57A0C"/>
    <w:rsid w:val="00D57C53"/>
    <w:rsid w:val="00D60083"/>
    <w:rsid w:val="00D60186"/>
    <w:rsid w:val="00D6018F"/>
    <w:rsid w:val="00D605A1"/>
    <w:rsid w:val="00D606C2"/>
    <w:rsid w:val="00D6071D"/>
    <w:rsid w:val="00D609B1"/>
    <w:rsid w:val="00D60A4E"/>
    <w:rsid w:val="00D60FBB"/>
    <w:rsid w:val="00D61189"/>
    <w:rsid w:val="00D61224"/>
    <w:rsid w:val="00D613B5"/>
    <w:rsid w:val="00D613D5"/>
    <w:rsid w:val="00D614F7"/>
    <w:rsid w:val="00D61566"/>
    <w:rsid w:val="00D618D8"/>
    <w:rsid w:val="00D61950"/>
    <w:rsid w:val="00D61ECC"/>
    <w:rsid w:val="00D620EC"/>
    <w:rsid w:val="00D6225D"/>
    <w:rsid w:val="00D62527"/>
    <w:rsid w:val="00D6268E"/>
    <w:rsid w:val="00D62B40"/>
    <w:rsid w:val="00D62C03"/>
    <w:rsid w:val="00D62C08"/>
    <w:rsid w:val="00D62D8A"/>
    <w:rsid w:val="00D63132"/>
    <w:rsid w:val="00D63483"/>
    <w:rsid w:val="00D63753"/>
    <w:rsid w:val="00D637EB"/>
    <w:rsid w:val="00D63886"/>
    <w:rsid w:val="00D63A58"/>
    <w:rsid w:val="00D63A5F"/>
    <w:rsid w:val="00D63B2D"/>
    <w:rsid w:val="00D63EB3"/>
    <w:rsid w:val="00D6404F"/>
    <w:rsid w:val="00D64103"/>
    <w:rsid w:val="00D641BD"/>
    <w:rsid w:val="00D645B0"/>
    <w:rsid w:val="00D648E8"/>
    <w:rsid w:val="00D64909"/>
    <w:rsid w:val="00D64BD1"/>
    <w:rsid w:val="00D64DD4"/>
    <w:rsid w:val="00D6500F"/>
    <w:rsid w:val="00D653BC"/>
    <w:rsid w:val="00D65491"/>
    <w:rsid w:val="00D6554F"/>
    <w:rsid w:val="00D655C4"/>
    <w:rsid w:val="00D656F1"/>
    <w:rsid w:val="00D659A5"/>
    <w:rsid w:val="00D65B28"/>
    <w:rsid w:val="00D65C52"/>
    <w:rsid w:val="00D660EA"/>
    <w:rsid w:val="00D6628E"/>
    <w:rsid w:val="00D66353"/>
    <w:rsid w:val="00D664CC"/>
    <w:rsid w:val="00D665FA"/>
    <w:rsid w:val="00D666F3"/>
    <w:rsid w:val="00D6685D"/>
    <w:rsid w:val="00D66893"/>
    <w:rsid w:val="00D66985"/>
    <w:rsid w:val="00D66DAC"/>
    <w:rsid w:val="00D6707E"/>
    <w:rsid w:val="00D671ED"/>
    <w:rsid w:val="00D6727C"/>
    <w:rsid w:val="00D67370"/>
    <w:rsid w:val="00D677C4"/>
    <w:rsid w:val="00D67805"/>
    <w:rsid w:val="00D679AB"/>
    <w:rsid w:val="00D67A7F"/>
    <w:rsid w:val="00D67A94"/>
    <w:rsid w:val="00D67B1A"/>
    <w:rsid w:val="00D67CE3"/>
    <w:rsid w:val="00D67D85"/>
    <w:rsid w:val="00D70000"/>
    <w:rsid w:val="00D70008"/>
    <w:rsid w:val="00D700C2"/>
    <w:rsid w:val="00D701C2"/>
    <w:rsid w:val="00D70248"/>
    <w:rsid w:val="00D7041F"/>
    <w:rsid w:val="00D70823"/>
    <w:rsid w:val="00D70AE6"/>
    <w:rsid w:val="00D70F8A"/>
    <w:rsid w:val="00D70F9A"/>
    <w:rsid w:val="00D70FE8"/>
    <w:rsid w:val="00D71271"/>
    <w:rsid w:val="00D713C6"/>
    <w:rsid w:val="00D714AD"/>
    <w:rsid w:val="00D71571"/>
    <w:rsid w:val="00D7176D"/>
    <w:rsid w:val="00D717D0"/>
    <w:rsid w:val="00D71AD2"/>
    <w:rsid w:val="00D71DEE"/>
    <w:rsid w:val="00D71E53"/>
    <w:rsid w:val="00D72388"/>
    <w:rsid w:val="00D723C7"/>
    <w:rsid w:val="00D72660"/>
    <w:rsid w:val="00D727C1"/>
    <w:rsid w:val="00D72C39"/>
    <w:rsid w:val="00D72D73"/>
    <w:rsid w:val="00D72D7E"/>
    <w:rsid w:val="00D72DBF"/>
    <w:rsid w:val="00D7369F"/>
    <w:rsid w:val="00D736A8"/>
    <w:rsid w:val="00D736FC"/>
    <w:rsid w:val="00D73782"/>
    <w:rsid w:val="00D73AA8"/>
    <w:rsid w:val="00D73EB5"/>
    <w:rsid w:val="00D741CF"/>
    <w:rsid w:val="00D748AD"/>
    <w:rsid w:val="00D74A62"/>
    <w:rsid w:val="00D74B48"/>
    <w:rsid w:val="00D74CB0"/>
    <w:rsid w:val="00D74F93"/>
    <w:rsid w:val="00D7535F"/>
    <w:rsid w:val="00D75415"/>
    <w:rsid w:val="00D7542E"/>
    <w:rsid w:val="00D759AF"/>
    <w:rsid w:val="00D75A89"/>
    <w:rsid w:val="00D75AA0"/>
    <w:rsid w:val="00D75C24"/>
    <w:rsid w:val="00D75DC4"/>
    <w:rsid w:val="00D75DD0"/>
    <w:rsid w:val="00D75EA9"/>
    <w:rsid w:val="00D75F22"/>
    <w:rsid w:val="00D7608B"/>
    <w:rsid w:val="00D76159"/>
    <w:rsid w:val="00D7624B"/>
    <w:rsid w:val="00D7629C"/>
    <w:rsid w:val="00D764D1"/>
    <w:rsid w:val="00D76738"/>
    <w:rsid w:val="00D76951"/>
    <w:rsid w:val="00D76A06"/>
    <w:rsid w:val="00D76AF1"/>
    <w:rsid w:val="00D77049"/>
    <w:rsid w:val="00D7716C"/>
    <w:rsid w:val="00D7721D"/>
    <w:rsid w:val="00D77332"/>
    <w:rsid w:val="00D773C7"/>
    <w:rsid w:val="00D773F0"/>
    <w:rsid w:val="00D775C3"/>
    <w:rsid w:val="00D77773"/>
    <w:rsid w:val="00D77830"/>
    <w:rsid w:val="00D778AA"/>
    <w:rsid w:val="00D77ABC"/>
    <w:rsid w:val="00D77B50"/>
    <w:rsid w:val="00D77BB7"/>
    <w:rsid w:val="00D77CB4"/>
    <w:rsid w:val="00D80057"/>
    <w:rsid w:val="00D8019B"/>
    <w:rsid w:val="00D801C7"/>
    <w:rsid w:val="00D804D2"/>
    <w:rsid w:val="00D80504"/>
    <w:rsid w:val="00D8051D"/>
    <w:rsid w:val="00D805A5"/>
    <w:rsid w:val="00D80980"/>
    <w:rsid w:val="00D80BB2"/>
    <w:rsid w:val="00D80C4C"/>
    <w:rsid w:val="00D81107"/>
    <w:rsid w:val="00D81172"/>
    <w:rsid w:val="00D8135A"/>
    <w:rsid w:val="00D8169F"/>
    <w:rsid w:val="00D816F0"/>
    <w:rsid w:val="00D8174F"/>
    <w:rsid w:val="00D81A47"/>
    <w:rsid w:val="00D81D5C"/>
    <w:rsid w:val="00D81DFF"/>
    <w:rsid w:val="00D81F46"/>
    <w:rsid w:val="00D81F60"/>
    <w:rsid w:val="00D81F88"/>
    <w:rsid w:val="00D81F92"/>
    <w:rsid w:val="00D82212"/>
    <w:rsid w:val="00D82B8C"/>
    <w:rsid w:val="00D82BCD"/>
    <w:rsid w:val="00D82C8E"/>
    <w:rsid w:val="00D82F41"/>
    <w:rsid w:val="00D832D3"/>
    <w:rsid w:val="00D8335B"/>
    <w:rsid w:val="00D83380"/>
    <w:rsid w:val="00D83459"/>
    <w:rsid w:val="00D834DD"/>
    <w:rsid w:val="00D834E0"/>
    <w:rsid w:val="00D8377A"/>
    <w:rsid w:val="00D837F4"/>
    <w:rsid w:val="00D8382E"/>
    <w:rsid w:val="00D839D2"/>
    <w:rsid w:val="00D83A7B"/>
    <w:rsid w:val="00D83E6D"/>
    <w:rsid w:val="00D83E71"/>
    <w:rsid w:val="00D83EC8"/>
    <w:rsid w:val="00D83FB4"/>
    <w:rsid w:val="00D840A7"/>
    <w:rsid w:val="00D84300"/>
    <w:rsid w:val="00D843F8"/>
    <w:rsid w:val="00D84422"/>
    <w:rsid w:val="00D844A7"/>
    <w:rsid w:val="00D8458A"/>
    <w:rsid w:val="00D845B9"/>
    <w:rsid w:val="00D84614"/>
    <w:rsid w:val="00D84629"/>
    <w:rsid w:val="00D84649"/>
    <w:rsid w:val="00D847E6"/>
    <w:rsid w:val="00D8481C"/>
    <w:rsid w:val="00D8487E"/>
    <w:rsid w:val="00D84B21"/>
    <w:rsid w:val="00D84BB6"/>
    <w:rsid w:val="00D84D1D"/>
    <w:rsid w:val="00D84E49"/>
    <w:rsid w:val="00D851B8"/>
    <w:rsid w:val="00D8531A"/>
    <w:rsid w:val="00D85417"/>
    <w:rsid w:val="00D8548D"/>
    <w:rsid w:val="00D858B8"/>
    <w:rsid w:val="00D85D13"/>
    <w:rsid w:val="00D85DB3"/>
    <w:rsid w:val="00D85FC1"/>
    <w:rsid w:val="00D86150"/>
    <w:rsid w:val="00D86177"/>
    <w:rsid w:val="00D863E1"/>
    <w:rsid w:val="00D86629"/>
    <w:rsid w:val="00D86795"/>
    <w:rsid w:val="00D8690E"/>
    <w:rsid w:val="00D86A9B"/>
    <w:rsid w:val="00D86E1C"/>
    <w:rsid w:val="00D872ED"/>
    <w:rsid w:val="00D87472"/>
    <w:rsid w:val="00D874A6"/>
    <w:rsid w:val="00D8772E"/>
    <w:rsid w:val="00D87834"/>
    <w:rsid w:val="00D87926"/>
    <w:rsid w:val="00D87B48"/>
    <w:rsid w:val="00D87CCF"/>
    <w:rsid w:val="00D87F65"/>
    <w:rsid w:val="00D90313"/>
    <w:rsid w:val="00D903FA"/>
    <w:rsid w:val="00D9041C"/>
    <w:rsid w:val="00D90619"/>
    <w:rsid w:val="00D906B1"/>
    <w:rsid w:val="00D906CB"/>
    <w:rsid w:val="00D90923"/>
    <w:rsid w:val="00D90A07"/>
    <w:rsid w:val="00D90A60"/>
    <w:rsid w:val="00D910D5"/>
    <w:rsid w:val="00D9118A"/>
    <w:rsid w:val="00D918EE"/>
    <w:rsid w:val="00D919BA"/>
    <w:rsid w:val="00D91A0A"/>
    <w:rsid w:val="00D91D25"/>
    <w:rsid w:val="00D91ED9"/>
    <w:rsid w:val="00D91F77"/>
    <w:rsid w:val="00D91F92"/>
    <w:rsid w:val="00D91FA0"/>
    <w:rsid w:val="00D920E1"/>
    <w:rsid w:val="00D922C7"/>
    <w:rsid w:val="00D9246E"/>
    <w:rsid w:val="00D9254D"/>
    <w:rsid w:val="00D92A59"/>
    <w:rsid w:val="00D92A69"/>
    <w:rsid w:val="00D92CBC"/>
    <w:rsid w:val="00D93229"/>
    <w:rsid w:val="00D932CF"/>
    <w:rsid w:val="00D93347"/>
    <w:rsid w:val="00D93425"/>
    <w:rsid w:val="00D93520"/>
    <w:rsid w:val="00D93900"/>
    <w:rsid w:val="00D939F8"/>
    <w:rsid w:val="00D93A00"/>
    <w:rsid w:val="00D93A40"/>
    <w:rsid w:val="00D93BC5"/>
    <w:rsid w:val="00D93C0A"/>
    <w:rsid w:val="00D93CA1"/>
    <w:rsid w:val="00D93DD0"/>
    <w:rsid w:val="00D9407E"/>
    <w:rsid w:val="00D9423E"/>
    <w:rsid w:val="00D942B3"/>
    <w:rsid w:val="00D94381"/>
    <w:rsid w:val="00D94627"/>
    <w:rsid w:val="00D94688"/>
    <w:rsid w:val="00D94971"/>
    <w:rsid w:val="00D94F7D"/>
    <w:rsid w:val="00D951E0"/>
    <w:rsid w:val="00D955A9"/>
    <w:rsid w:val="00D95846"/>
    <w:rsid w:val="00D95B99"/>
    <w:rsid w:val="00D95E67"/>
    <w:rsid w:val="00D95F5E"/>
    <w:rsid w:val="00D95F81"/>
    <w:rsid w:val="00D9621B"/>
    <w:rsid w:val="00D9672E"/>
    <w:rsid w:val="00D96914"/>
    <w:rsid w:val="00D9693D"/>
    <w:rsid w:val="00D96EB8"/>
    <w:rsid w:val="00D9715E"/>
    <w:rsid w:val="00D9749F"/>
    <w:rsid w:val="00D975CF"/>
    <w:rsid w:val="00D97922"/>
    <w:rsid w:val="00D97CFD"/>
    <w:rsid w:val="00D97E86"/>
    <w:rsid w:val="00D97F5B"/>
    <w:rsid w:val="00DA0015"/>
    <w:rsid w:val="00DA0017"/>
    <w:rsid w:val="00DA019E"/>
    <w:rsid w:val="00DA02E0"/>
    <w:rsid w:val="00DA0405"/>
    <w:rsid w:val="00DA06B5"/>
    <w:rsid w:val="00DA0754"/>
    <w:rsid w:val="00DA08B2"/>
    <w:rsid w:val="00DA0931"/>
    <w:rsid w:val="00DA09F1"/>
    <w:rsid w:val="00DA0B52"/>
    <w:rsid w:val="00DA0B90"/>
    <w:rsid w:val="00DA0C9A"/>
    <w:rsid w:val="00DA0D30"/>
    <w:rsid w:val="00DA0E0C"/>
    <w:rsid w:val="00DA0FCE"/>
    <w:rsid w:val="00DA1070"/>
    <w:rsid w:val="00DA1137"/>
    <w:rsid w:val="00DA114C"/>
    <w:rsid w:val="00DA128A"/>
    <w:rsid w:val="00DA138B"/>
    <w:rsid w:val="00DA140A"/>
    <w:rsid w:val="00DA1453"/>
    <w:rsid w:val="00DA15FE"/>
    <w:rsid w:val="00DA176D"/>
    <w:rsid w:val="00DA1851"/>
    <w:rsid w:val="00DA19D9"/>
    <w:rsid w:val="00DA1AFB"/>
    <w:rsid w:val="00DA1B5D"/>
    <w:rsid w:val="00DA1D35"/>
    <w:rsid w:val="00DA1D86"/>
    <w:rsid w:val="00DA1F30"/>
    <w:rsid w:val="00DA1F53"/>
    <w:rsid w:val="00DA2030"/>
    <w:rsid w:val="00DA215C"/>
    <w:rsid w:val="00DA21E7"/>
    <w:rsid w:val="00DA2234"/>
    <w:rsid w:val="00DA2382"/>
    <w:rsid w:val="00DA23E1"/>
    <w:rsid w:val="00DA24B5"/>
    <w:rsid w:val="00DA2642"/>
    <w:rsid w:val="00DA2885"/>
    <w:rsid w:val="00DA3195"/>
    <w:rsid w:val="00DA3674"/>
    <w:rsid w:val="00DA3709"/>
    <w:rsid w:val="00DA372B"/>
    <w:rsid w:val="00DA37AE"/>
    <w:rsid w:val="00DA389D"/>
    <w:rsid w:val="00DA3AEC"/>
    <w:rsid w:val="00DA3F15"/>
    <w:rsid w:val="00DA419A"/>
    <w:rsid w:val="00DA41D3"/>
    <w:rsid w:val="00DA424E"/>
    <w:rsid w:val="00DA437C"/>
    <w:rsid w:val="00DA44DB"/>
    <w:rsid w:val="00DA4656"/>
    <w:rsid w:val="00DA4891"/>
    <w:rsid w:val="00DA4B5C"/>
    <w:rsid w:val="00DA4C75"/>
    <w:rsid w:val="00DA4C94"/>
    <w:rsid w:val="00DA4F4A"/>
    <w:rsid w:val="00DA5093"/>
    <w:rsid w:val="00DA516D"/>
    <w:rsid w:val="00DA523E"/>
    <w:rsid w:val="00DA5241"/>
    <w:rsid w:val="00DA535A"/>
    <w:rsid w:val="00DA58E2"/>
    <w:rsid w:val="00DA5903"/>
    <w:rsid w:val="00DA599A"/>
    <w:rsid w:val="00DA5AB1"/>
    <w:rsid w:val="00DA5D55"/>
    <w:rsid w:val="00DA622B"/>
    <w:rsid w:val="00DA6507"/>
    <w:rsid w:val="00DA6547"/>
    <w:rsid w:val="00DA657E"/>
    <w:rsid w:val="00DA661E"/>
    <w:rsid w:val="00DA6665"/>
    <w:rsid w:val="00DA66A4"/>
    <w:rsid w:val="00DA66D9"/>
    <w:rsid w:val="00DA6934"/>
    <w:rsid w:val="00DA6973"/>
    <w:rsid w:val="00DA6C08"/>
    <w:rsid w:val="00DA6C5E"/>
    <w:rsid w:val="00DA6E43"/>
    <w:rsid w:val="00DA703E"/>
    <w:rsid w:val="00DA706E"/>
    <w:rsid w:val="00DA736E"/>
    <w:rsid w:val="00DA778D"/>
    <w:rsid w:val="00DA77CE"/>
    <w:rsid w:val="00DA7812"/>
    <w:rsid w:val="00DA7814"/>
    <w:rsid w:val="00DA784A"/>
    <w:rsid w:val="00DA7A78"/>
    <w:rsid w:val="00DA7BDB"/>
    <w:rsid w:val="00DA7C8C"/>
    <w:rsid w:val="00DA7CA2"/>
    <w:rsid w:val="00DA7E01"/>
    <w:rsid w:val="00DB0050"/>
    <w:rsid w:val="00DB00E5"/>
    <w:rsid w:val="00DB0305"/>
    <w:rsid w:val="00DB0341"/>
    <w:rsid w:val="00DB09AB"/>
    <w:rsid w:val="00DB1361"/>
    <w:rsid w:val="00DB13DC"/>
    <w:rsid w:val="00DB14D8"/>
    <w:rsid w:val="00DB17DB"/>
    <w:rsid w:val="00DB183E"/>
    <w:rsid w:val="00DB194B"/>
    <w:rsid w:val="00DB19A7"/>
    <w:rsid w:val="00DB1B6E"/>
    <w:rsid w:val="00DB1CD5"/>
    <w:rsid w:val="00DB1CE4"/>
    <w:rsid w:val="00DB1D99"/>
    <w:rsid w:val="00DB1E24"/>
    <w:rsid w:val="00DB205E"/>
    <w:rsid w:val="00DB231A"/>
    <w:rsid w:val="00DB23AB"/>
    <w:rsid w:val="00DB245E"/>
    <w:rsid w:val="00DB2969"/>
    <w:rsid w:val="00DB2AAA"/>
    <w:rsid w:val="00DB2BBB"/>
    <w:rsid w:val="00DB2C81"/>
    <w:rsid w:val="00DB316F"/>
    <w:rsid w:val="00DB3552"/>
    <w:rsid w:val="00DB36A0"/>
    <w:rsid w:val="00DB36FA"/>
    <w:rsid w:val="00DB37B2"/>
    <w:rsid w:val="00DB3975"/>
    <w:rsid w:val="00DB3A04"/>
    <w:rsid w:val="00DB3AFD"/>
    <w:rsid w:val="00DB3BE3"/>
    <w:rsid w:val="00DB3C8C"/>
    <w:rsid w:val="00DB3CB8"/>
    <w:rsid w:val="00DB3CED"/>
    <w:rsid w:val="00DB3E06"/>
    <w:rsid w:val="00DB3E2B"/>
    <w:rsid w:val="00DB3F0E"/>
    <w:rsid w:val="00DB408C"/>
    <w:rsid w:val="00DB4101"/>
    <w:rsid w:val="00DB415D"/>
    <w:rsid w:val="00DB41A6"/>
    <w:rsid w:val="00DB4257"/>
    <w:rsid w:val="00DB43AD"/>
    <w:rsid w:val="00DB441F"/>
    <w:rsid w:val="00DB4621"/>
    <w:rsid w:val="00DB4A9A"/>
    <w:rsid w:val="00DB4F57"/>
    <w:rsid w:val="00DB4FA0"/>
    <w:rsid w:val="00DB529B"/>
    <w:rsid w:val="00DB56E9"/>
    <w:rsid w:val="00DB57F2"/>
    <w:rsid w:val="00DB5868"/>
    <w:rsid w:val="00DB5D85"/>
    <w:rsid w:val="00DB6397"/>
    <w:rsid w:val="00DB67EA"/>
    <w:rsid w:val="00DB6ABB"/>
    <w:rsid w:val="00DB6B5B"/>
    <w:rsid w:val="00DB6B96"/>
    <w:rsid w:val="00DB6CCB"/>
    <w:rsid w:val="00DB6D2F"/>
    <w:rsid w:val="00DB7358"/>
    <w:rsid w:val="00DB7382"/>
    <w:rsid w:val="00DB73EF"/>
    <w:rsid w:val="00DB74E5"/>
    <w:rsid w:val="00DB78D9"/>
    <w:rsid w:val="00DB7957"/>
    <w:rsid w:val="00DB795D"/>
    <w:rsid w:val="00DB79C1"/>
    <w:rsid w:val="00DB7A56"/>
    <w:rsid w:val="00DB7B4B"/>
    <w:rsid w:val="00DB7F18"/>
    <w:rsid w:val="00DB7F26"/>
    <w:rsid w:val="00DB7F87"/>
    <w:rsid w:val="00DC0375"/>
    <w:rsid w:val="00DC0444"/>
    <w:rsid w:val="00DC04F5"/>
    <w:rsid w:val="00DC0A44"/>
    <w:rsid w:val="00DC0B96"/>
    <w:rsid w:val="00DC0C14"/>
    <w:rsid w:val="00DC0DB5"/>
    <w:rsid w:val="00DC0FC8"/>
    <w:rsid w:val="00DC1181"/>
    <w:rsid w:val="00DC13CC"/>
    <w:rsid w:val="00DC13D1"/>
    <w:rsid w:val="00DC157D"/>
    <w:rsid w:val="00DC1726"/>
    <w:rsid w:val="00DC1A9F"/>
    <w:rsid w:val="00DC21D7"/>
    <w:rsid w:val="00DC2219"/>
    <w:rsid w:val="00DC22B7"/>
    <w:rsid w:val="00DC25FF"/>
    <w:rsid w:val="00DC28B5"/>
    <w:rsid w:val="00DC292A"/>
    <w:rsid w:val="00DC2AAB"/>
    <w:rsid w:val="00DC2D28"/>
    <w:rsid w:val="00DC2DB8"/>
    <w:rsid w:val="00DC3048"/>
    <w:rsid w:val="00DC314B"/>
    <w:rsid w:val="00DC32D0"/>
    <w:rsid w:val="00DC34EF"/>
    <w:rsid w:val="00DC38F1"/>
    <w:rsid w:val="00DC3BF9"/>
    <w:rsid w:val="00DC3C26"/>
    <w:rsid w:val="00DC3E8A"/>
    <w:rsid w:val="00DC3ECF"/>
    <w:rsid w:val="00DC3F7E"/>
    <w:rsid w:val="00DC4041"/>
    <w:rsid w:val="00DC424F"/>
    <w:rsid w:val="00DC4687"/>
    <w:rsid w:val="00DC471D"/>
    <w:rsid w:val="00DC4728"/>
    <w:rsid w:val="00DC4DD7"/>
    <w:rsid w:val="00DC5297"/>
    <w:rsid w:val="00DC5423"/>
    <w:rsid w:val="00DC56D5"/>
    <w:rsid w:val="00DC570C"/>
    <w:rsid w:val="00DC58FE"/>
    <w:rsid w:val="00DC59A6"/>
    <w:rsid w:val="00DC5AE6"/>
    <w:rsid w:val="00DC5B8F"/>
    <w:rsid w:val="00DC5C72"/>
    <w:rsid w:val="00DC60B1"/>
    <w:rsid w:val="00DC618B"/>
    <w:rsid w:val="00DC62F0"/>
    <w:rsid w:val="00DC68DB"/>
    <w:rsid w:val="00DC6B15"/>
    <w:rsid w:val="00DC6DDA"/>
    <w:rsid w:val="00DC6FB7"/>
    <w:rsid w:val="00DC7099"/>
    <w:rsid w:val="00DC73BA"/>
    <w:rsid w:val="00DC76A1"/>
    <w:rsid w:val="00DC7793"/>
    <w:rsid w:val="00DC79E7"/>
    <w:rsid w:val="00DC7A79"/>
    <w:rsid w:val="00DC7B4F"/>
    <w:rsid w:val="00DC7CE8"/>
    <w:rsid w:val="00DC7F67"/>
    <w:rsid w:val="00DD01F1"/>
    <w:rsid w:val="00DD04DA"/>
    <w:rsid w:val="00DD051E"/>
    <w:rsid w:val="00DD0547"/>
    <w:rsid w:val="00DD0563"/>
    <w:rsid w:val="00DD05C1"/>
    <w:rsid w:val="00DD0BEA"/>
    <w:rsid w:val="00DD0D24"/>
    <w:rsid w:val="00DD0DD5"/>
    <w:rsid w:val="00DD0F44"/>
    <w:rsid w:val="00DD11E4"/>
    <w:rsid w:val="00DD1234"/>
    <w:rsid w:val="00DD126D"/>
    <w:rsid w:val="00DD1986"/>
    <w:rsid w:val="00DD1AA1"/>
    <w:rsid w:val="00DD1ACD"/>
    <w:rsid w:val="00DD1C73"/>
    <w:rsid w:val="00DD1CC4"/>
    <w:rsid w:val="00DD1E09"/>
    <w:rsid w:val="00DD1F6A"/>
    <w:rsid w:val="00DD202F"/>
    <w:rsid w:val="00DD2204"/>
    <w:rsid w:val="00DD2564"/>
    <w:rsid w:val="00DD2645"/>
    <w:rsid w:val="00DD2688"/>
    <w:rsid w:val="00DD308C"/>
    <w:rsid w:val="00DD33FD"/>
    <w:rsid w:val="00DD34DE"/>
    <w:rsid w:val="00DD36E7"/>
    <w:rsid w:val="00DD3867"/>
    <w:rsid w:val="00DD3C24"/>
    <w:rsid w:val="00DD3D7D"/>
    <w:rsid w:val="00DD41BB"/>
    <w:rsid w:val="00DD465E"/>
    <w:rsid w:val="00DD493A"/>
    <w:rsid w:val="00DD4A7B"/>
    <w:rsid w:val="00DD4AD4"/>
    <w:rsid w:val="00DD4BE3"/>
    <w:rsid w:val="00DD4C7E"/>
    <w:rsid w:val="00DD4D99"/>
    <w:rsid w:val="00DD4DA8"/>
    <w:rsid w:val="00DD508F"/>
    <w:rsid w:val="00DD50C7"/>
    <w:rsid w:val="00DD52BB"/>
    <w:rsid w:val="00DD52CE"/>
    <w:rsid w:val="00DD54A8"/>
    <w:rsid w:val="00DD54E2"/>
    <w:rsid w:val="00DD559D"/>
    <w:rsid w:val="00DD5939"/>
    <w:rsid w:val="00DD59F2"/>
    <w:rsid w:val="00DD5E09"/>
    <w:rsid w:val="00DD5E52"/>
    <w:rsid w:val="00DD5F01"/>
    <w:rsid w:val="00DD5FD3"/>
    <w:rsid w:val="00DD600D"/>
    <w:rsid w:val="00DD6129"/>
    <w:rsid w:val="00DD6391"/>
    <w:rsid w:val="00DD63D7"/>
    <w:rsid w:val="00DD64B3"/>
    <w:rsid w:val="00DD6574"/>
    <w:rsid w:val="00DD66B9"/>
    <w:rsid w:val="00DD670A"/>
    <w:rsid w:val="00DD677B"/>
    <w:rsid w:val="00DD6AAF"/>
    <w:rsid w:val="00DD6D6C"/>
    <w:rsid w:val="00DD6E84"/>
    <w:rsid w:val="00DD6F69"/>
    <w:rsid w:val="00DD7103"/>
    <w:rsid w:val="00DD729F"/>
    <w:rsid w:val="00DD74F5"/>
    <w:rsid w:val="00DD758D"/>
    <w:rsid w:val="00DD7613"/>
    <w:rsid w:val="00DD7744"/>
    <w:rsid w:val="00DD7A81"/>
    <w:rsid w:val="00DD7BE2"/>
    <w:rsid w:val="00DD7C30"/>
    <w:rsid w:val="00DD7D70"/>
    <w:rsid w:val="00DE016A"/>
    <w:rsid w:val="00DE0499"/>
    <w:rsid w:val="00DE05FC"/>
    <w:rsid w:val="00DE0937"/>
    <w:rsid w:val="00DE0A44"/>
    <w:rsid w:val="00DE0BAE"/>
    <w:rsid w:val="00DE1504"/>
    <w:rsid w:val="00DE1A0D"/>
    <w:rsid w:val="00DE1A55"/>
    <w:rsid w:val="00DE1C58"/>
    <w:rsid w:val="00DE1F7C"/>
    <w:rsid w:val="00DE209B"/>
    <w:rsid w:val="00DE2260"/>
    <w:rsid w:val="00DE2339"/>
    <w:rsid w:val="00DE2723"/>
    <w:rsid w:val="00DE28B6"/>
    <w:rsid w:val="00DE2B29"/>
    <w:rsid w:val="00DE2CE5"/>
    <w:rsid w:val="00DE2DD6"/>
    <w:rsid w:val="00DE2E6A"/>
    <w:rsid w:val="00DE2EFB"/>
    <w:rsid w:val="00DE3055"/>
    <w:rsid w:val="00DE3248"/>
    <w:rsid w:val="00DE3636"/>
    <w:rsid w:val="00DE366D"/>
    <w:rsid w:val="00DE36A9"/>
    <w:rsid w:val="00DE38E1"/>
    <w:rsid w:val="00DE3C93"/>
    <w:rsid w:val="00DE42D5"/>
    <w:rsid w:val="00DE43F4"/>
    <w:rsid w:val="00DE452F"/>
    <w:rsid w:val="00DE45A8"/>
    <w:rsid w:val="00DE460F"/>
    <w:rsid w:val="00DE494F"/>
    <w:rsid w:val="00DE498D"/>
    <w:rsid w:val="00DE4D3F"/>
    <w:rsid w:val="00DE4E81"/>
    <w:rsid w:val="00DE5729"/>
    <w:rsid w:val="00DE5AC3"/>
    <w:rsid w:val="00DE5AE6"/>
    <w:rsid w:val="00DE5B6C"/>
    <w:rsid w:val="00DE5C14"/>
    <w:rsid w:val="00DE5CDB"/>
    <w:rsid w:val="00DE5D86"/>
    <w:rsid w:val="00DE5EEF"/>
    <w:rsid w:val="00DE5EFC"/>
    <w:rsid w:val="00DE6376"/>
    <w:rsid w:val="00DE6473"/>
    <w:rsid w:val="00DE648C"/>
    <w:rsid w:val="00DE64C4"/>
    <w:rsid w:val="00DE6716"/>
    <w:rsid w:val="00DE68FB"/>
    <w:rsid w:val="00DE6F93"/>
    <w:rsid w:val="00DE704C"/>
    <w:rsid w:val="00DE70A8"/>
    <w:rsid w:val="00DE72DC"/>
    <w:rsid w:val="00DE73E3"/>
    <w:rsid w:val="00DE74AE"/>
    <w:rsid w:val="00DE7628"/>
    <w:rsid w:val="00DE778E"/>
    <w:rsid w:val="00DE77B0"/>
    <w:rsid w:val="00DE781E"/>
    <w:rsid w:val="00DE79B5"/>
    <w:rsid w:val="00DE7A56"/>
    <w:rsid w:val="00DE7BC8"/>
    <w:rsid w:val="00DF0005"/>
    <w:rsid w:val="00DF0212"/>
    <w:rsid w:val="00DF031A"/>
    <w:rsid w:val="00DF07B1"/>
    <w:rsid w:val="00DF0893"/>
    <w:rsid w:val="00DF0F68"/>
    <w:rsid w:val="00DF1254"/>
    <w:rsid w:val="00DF1294"/>
    <w:rsid w:val="00DF16BD"/>
    <w:rsid w:val="00DF17A9"/>
    <w:rsid w:val="00DF1874"/>
    <w:rsid w:val="00DF1886"/>
    <w:rsid w:val="00DF18B3"/>
    <w:rsid w:val="00DF18F1"/>
    <w:rsid w:val="00DF1A49"/>
    <w:rsid w:val="00DF1AD1"/>
    <w:rsid w:val="00DF1AE5"/>
    <w:rsid w:val="00DF1BE9"/>
    <w:rsid w:val="00DF1C0F"/>
    <w:rsid w:val="00DF218C"/>
    <w:rsid w:val="00DF26AA"/>
    <w:rsid w:val="00DF28FE"/>
    <w:rsid w:val="00DF2A4E"/>
    <w:rsid w:val="00DF2C70"/>
    <w:rsid w:val="00DF2CA9"/>
    <w:rsid w:val="00DF2EFB"/>
    <w:rsid w:val="00DF2FA8"/>
    <w:rsid w:val="00DF3055"/>
    <w:rsid w:val="00DF3072"/>
    <w:rsid w:val="00DF31C4"/>
    <w:rsid w:val="00DF34C2"/>
    <w:rsid w:val="00DF34ED"/>
    <w:rsid w:val="00DF37CB"/>
    <w:rsid w:val="00DF3929"/>
    <w:rsid w:val="00DF3DFC"/>
    <w:rsid w:val="00DF3E0F"/>
    <w:rsid w:val="00DF40D3"/>
    <w:rsid w:val="00DF411F"/>
    <w:rsid w:val="00DF4401"/>
    <w:rsid w:val="00DF46AA"/>
    <w:rsid w:val="00DF4726"/>
    <w:rsid w:val="00DF49F1"/>
    <w:rsid w:val="00DF4A83"/>
    <w:rsid w:val="00DF4B3C"/>
    <w:rsid w:val="00DF4B79"/>
    <w:rsid w:val="00DF4B9F"/>
    <w:rsid w:val="00DF4C51"/>
    <w:rsid w:val="00DF4FFD"/>
    <w:rsid w:val="00DF5021"/>
    <w:rsid w:val="00DF52B6"/>
    <w:rsid w:val="00DF55E6"/>
    <w:rsid w:val="00DF56B7"/>
    <w:rsid w:val="00DF575B"/>
    <w:rsid w:val="00DF5D83"/>
    <w:rsid w:val="00DF6316"/>
    <w:rsid w:val="00DF6334"/>
    <w:rsid w:val="00DF6544"/>
    <w:rsid w:val="00DF6799"/>
    <w:rsid w:val="00DF690E"/>
    <w:rsid w:val="00DF69B6"/>
    <w:rsid w:val="00DF6ABD"/>
    <w:rsid w:val="00DF6ADB"/>
    <w:rsid w:val="00DF6CBB"/>
    <w:rsid w:val="00DF6CCC"/>
    <w:rsid w:val="00DF6D57"/>
    <w:rsid w:val="00DF6DB0"/>
    <w:rsid w:val="00DF6E49"/>
    <w:rsid w:val="00DF6E6C"/>
    <w:rsid w:val="00DF6E99"/>
    <w:rsid w:val="00DF736F"/>
    <w:rsid w:val="00DF75C4"/>
    <w:rsid w:val="00DF777E"/>
    <w:rsid w:val="00DF7873"/>
    <w:rsid w:val="00DF79E1"/>
    <w:rsid w:val="00DF7A9A"/>
    <w:rsid w:val="00DF7CBD"/>
    <w:rsid w:val="00DF7D27"/>
    <w:rsid w:val="00E000EC"/>
    <w:rsid w:val="00E00378"/>
    <w:rsid w:val="00E0043C"/>
    <w:rsid w:val="00E006B8"/>
    <w:rsid w:val="00E00825"/>
    <w:rsid w:val="00E009D8"/>
    <w:rsid w:val="00E00A8D"/>
    <w:rsid w:val="00E00ADD"/>
    <w:rsid w:val="00E01005"/>
    <w:rsid w:val="00E01068"/>
    <w:rsid w:val="00E010C4"/>
    <w:rsid w:val="00E0129C"/>
    <w:rsid w:val="00E012DD"/>
    <w:rsid w:val="00E014FA"/>
    <w:rsid w:val="00E019B9"/>
    <w:rsid w:val="00E01A94"/>
    <w:rsid w:val="00E01C73"/>
    <w:rsid w:val="00E020BE"/>
    <w:rsid w:val="00E02145"/>
    <w:rsid w:val="00E023B4"/>
    <w:rsid w:val="00E026A1"/>
    <w:rsid w:val="00E026D2"/>
    <w:rsid w:val="00E0275F"/>
    <w:rsid w:val="00E02829"/>
    <w:rsid w:val="00E02C4A"/>
    <w:rsid w:val="00E02D53"/>
    <w:rsid w:val="00E02D92"/>
    <w:rsid w:val="00E02EE5"/>
    <w:rsid w:val="00E02F2C"/>
    <w:rsid w:val="00E03081"/>
    <w:rsid w:val="00E032C0"/>
    <w:rsid w:val="00E039A3"/>
    <w:rsid w:val="00E03AA8"/>
    <w:rsid w:val="00E03B3A"/>
    <w:rsid w:val="00E03F01"/>
    <w:rsid w:val="00E04833"/>
    <w:rsid w:val="00E04874"/>
    <w:rsid w:val="00E04910"/>
    <w:rsid w:val="00E04911"/>
    <w:rsid w:val="00E04C1E"/>
    <w:rsid w:val="00E04CEB"/>
    <w:rsid w:val="00E04D72"/>
    <w:rsid w:val="00E04F2D"/>
    <w:rsid w:val="00E05029"/>
    <w:rsid w:val="00E0504D"/>
    <w:rsid w:val="00E050DA"/>
    <w:rsid w:val="00E05362"/>
    <w:rsid w:val="00E054EF"/>
    <w:rsid w:val="00E056BE"/>
    <w:rsid w:val="00E05729"/>
    <w:rsid w:val="00E05DE2"/>
    <w:rsid w:val="00E060AF"/>
    <w:rsid w:val="00E0619D"/>
    <w:rsid w:val="00E0639A"/>
    <w:rsid w:val="00E064FD"/>
    <w:rsid w:val="00E067EF"/>
    <w:rsid w:val="00E06AF3"/>
    <w:rsid w:val="00E06C2F"/>
    <w:rsid w:val="00E07294"/>
    <w:rsid w:val="00E074EC"/>
    <w:rsid w:val="00E075C8"/>
    <w:rsid w:val="00E07696"/>
    <w:rsid w:val="00E076F1"/>
    <w:rsid w:val="00E076FA"/>
    <w:rsid w:val="00E07729"/>
    <w:rsid w:val="00E07825"/>
    <w:rsid w:val="00E0784D"/>
    <w:rsid w:val="00E079E3"/>
    <w:rsid w:val="00E07EDB"/>
    <w:rsid w:val="00E07EDF"/>
    <w:rsid w:val="00E1013F"/>
    <w:rsid w:val="00E1028F"/>
    <w:rsid w:val="00E10B2C"/>
    <w:rsid w:val="00E10B70"/>
    <w:rsid w:val="00E10DA4"/>
    <w:rsid w:val="00E10DFC"/>
    <w:rsid w:val="00E10F89"/>
    <w:rsid w:val="00E11033"/>
    <w:rsid w:val="00E11157"/>
    <w:rsid w:val="00E112DA"/>
    <w:rsid w:val="00E1159F"/>
    <w:rsid w:val="00E11798"/>
    <w:rsid w:val="00E1180A"/>
    <w:rsid w:val="00E1186A"/>
    <w:rsid w:val="00E11BAD"/>
    <w:rsid w:val="00E11C72"/>
    <w:rsid w:val="00E11F0F"/>
    <w:rsid w:val="00E121FC"/>
    <w:rsid w:val="00E1226C"/>
    <w:rsid w:val="00E12450"/>
    <w:rsid w:val="00E126C9"/>
    <w:rsid w:val="00E12A41"/>
    <w:rsid w:val="00E12B8B"/>
    <w:rsid w:val="00E12C11"/>
    <w:rsid w:val="00E12F0F"/>
    <w:rsid w:val="00E13008"/>
    <w:rsid w:val="00E1307E"/>
    <w:rsid w:val="00E130E5"/>
    <w:rsid w:val="00E1315C"/>
    <w:rsid w:val="00E1315F"/>
    <w:rsid w:val="00E13274"/>
    <w:rsid w:val="00E135EC"/>
    <w:rsid w:val="00E136A2"/>
    <w:rsid w:val="00E137AB"/>
    <w:rsid w:val="00E137E1"/>
    <w:rsid w:val="00E1381B"/>
    <w:rsid w:val="00E13FE7"/>
    <w:rsid w:val="00E1434B"/>
    <w:rsid w:val="00E145A6"/>
    <w:rsid w:val="00E14684"/>
    <w:rsid w:val="00E146FB"/>
    <w:rsid w:val="00E149FD"/>
    <w:rsid w:val="00E14AB5"/>
    <w:rsid w:val="00E14B01"/>
    <w:rsid w:val="00E14D21"/>
    <w:rsid w:val="00E14D8E"/>
    <w:rsid w:val="00E14FAC"/>
    <w:rsid w:val="00E14FB6"/>
    <w:rsid w:val="00E14FEF"/>
    <w:rsid w:val="00E150D9"/>
    <w:rsid w:val="00E15197"/>
    <w:rsid w:val="00E152B7"/>
    <w:rsid w:val="00E154DD"/>
    <w:rsid w:val="00E1554F"/>
    <w:rsid w:val="00E1559B"/>
    <w:rsid w:val="00E15919"/>
    <w:rsid w:val="00E15A4E"/>
    <w:rsid w:val="00E15AC8"/>
    <w:rsid w:val="00E15B36"/>
    <w:rsid w:val="00E15BD7"/>
    <w:rsid w:val="00E15BFB"/>
    <w:rsid w:val="00E15C88"/>
    <w:rsid w:val="00E15E33"/>
    <w:rsid w:val="00E160D2"/>
    <w:rsid w:val="00E16285"/>
    <w:rsid w:val="00E1633A"/>
    <w:rsid w:val="00E165AE"/>
    <w:rsid w:val="00E16887"/>
    <w:rsid w:val="00E16980"/>
    <w:rsid w:val="00E16BC6"/>
    <w:rsid w:val="00E16BF4"/>
    <w:rsid w:val="00E16C7F"/>
    <w:rsid w:val="00E16CD0"/>
    <w:rsid w:val="00E16F48"/>
    <w:rsid w:val="00E17607"/>
    <w:rsid w:val="00E17750"/>
    <w:rsid w:val="00E17985"/>
    <w:rsid w:val="00E17A9C"/>
    <w:rsid w:val="00E20033"/>
    <w:rsid w:val="00E2005F"/>
    <w:rsid w:val="00E20107"/>
    <w:rsid w:val="00E202A5"/>
    <w:rsid w:val="00E20719"/>
    <w:rsid w:val="00E2089E"/>
    <w:rsid w:val="00E208B4"/>
    <w:rsid w:val="00E20C99"/>
    <w:rsid w:val="00E2115D"/>
    <w:rsid w:val="00E21206"/>
    <w:rsid w:val="00E21545"/>
    <w:rsid w:val="00E21E3F"/>
    <w:rsid w:val="00E21EB8"/>
    <w:rsid w:val="00E22488"/>
    <w:rsid w:val="00E225E2"/>
    <w:rsid w:val="00E226C4"/>
    <w:rsid w:val="00E227A7"/>
    <w:rsid w:val="00E227AB"/>
    <w:rsid w:val="00E2280F"/>
    <w:rsid w:val="00E22850"/>
    <w:rsid w:val="00E228F4"/>
    <w:rsid w:val="00E22A67"/>
    <w:rsid w:val="00E22BEF"/>
    <w:rsid w:val="00E22E58"/>
    <w:rsid w:val="00E231D5"/>
    <w:rsid w:val="00E2348E"/>
    <w:rsid w:val="00E24092"/>
    <w:rsid w:val="00E242C7"/>
    <w:rsid w:val="00E2442F"/>
    <w:rsid w:val="00E247D5"/>
    <w:rsid w:val="00E24966"/>
    <w:rsid w:val="00E24B27"/>
    <w:rsid w:val="00E24C74"/>
    <w:rsid w:val="00E2502B"/>
    <w:rsid w:val="00E25167"/>
    <w:rsid w:val="00E25239"/>
    <w:rsid w:val="00E255F9"/>
    <w:rsid w:val="00E2560C"/>
    <w:rsid w:val="00E256EC"/>
    <w:rsid w:val="00E257A0"/>
    <w:rsid w:val="00E25ABC"/>
    <w:rsid w:val="00E25AE9"/>
    <w:rsid w:val="00E25B5E"/>
    <w:rsid w:val="00E25B97"/>
    <w:rsid w:val="00E25FD4"/>
    <w:rsid w:val="00E26261"/>
    <w:rsid w:val="00E263D3"/>
    <w:rsid w:val="00E26562"/>
    <w:rsid w:val="00E2669A"/>
    <w:rsid w:val="00E268CD"/>
    <w:rsid w:val="00E268DB"/>
    <w:rsid w:val="00E26A5B"/>
    <w:rsid w:val="00E26A64"/>
    <w:rsid w:val="00E26B23"/>
    <w:rsid w:val="00E26BDE"/>
    <w:rsid w:val="00E26C0D"/>
    <w:rsid w:val="00E26DF6"/>
    <w:rsid w:val="00E26FCE"/>
    <w:rsid w:val="00E27079"/>
    <w:rsid w:val="00E2710C"/>
    <w:rsid w:val="00E272FE"/>
    <w:rsid w:val="00E27337"/>
    <w:rsid w:val="00E2736F"/>
    <w:rsid w:val="00E27533"/>
    <w:rsid w:val="00E27662"/>
    <w:rsid w:val="00E277F3"/>
    <w:rsid w:val="00E279F6"/>
    <w:rsid w:val="00E27CE3"/>
    <w:rsid w:val="00E27E12"/>
    <w:rsid w:val="00E3011B"/>
    <w:rsid w:val="00E30560"/>
    <w:rsid w:val="00E305B9"/>
    <w:rsid w:val="00E30957"/>
    <w:rsid w:val="00E30CA7"/>
    <w:rsid w:val="00E30D54"/>
    <w:rsid w:val="00E30F0E"/>
    <w:rsid w:val="00E3104B"/>
    <w:rsid w:val="00E310B0"/>
    <w:rsid w:val="00E311F1"/>
    <w:rsid w:val="00E3134E"/>
    <w:rsid w:val="00E31363"/>
    <w:rsid w:val="00E3146C"/>
    <w:rsid w:val="00E315C4"/>
    <w:rsid w:val="00E31699"/>
    <w:rsid w:val="00E317DC"/>
    <w:rsid w:val="00E319DE"/>
    <w:rsid w:val="00E31C58"/>
    <w:rsid w:val="00E31C9D"/>
    <w:rsid w:val="00E31F0A"/>
    <w:rsid w:val="00E31FA6"/>
    <w:rsid w:val="00E321D7"/>
    <w:rsid w:val="00E3240E"/>
    <w:rsid w:val="00E324DD"/>
    <w:rsid w:val="00E32694"/>
    <w:rsid w:val="00E3279A"/>
    <w:rsid w:val="00E32965"/>
    <w:rsid w:val="00E32AF6"/>
    <w:rsid w:val="00E32B06"/>
    <w:rsid w:val="00E32BCA"/>
    <w:rsid w:val="00E32CA9"/>
    <w:rsid w:val="00E32D21"/>
    <w:rsid w:val="00E32DE9"/>
    <w:rsid w:val="00E334F3"/>
    <w:rsid w:val="00E3386B"/>
    <w:rsid w:val="00E338D5"/>
    <w:rsid w:val="00E33C58"/>
    <w:rsid w:val="00E33C6C"/>
    <w:rsid w:val="00E33D4A"/>
    <w:rsid w:val="00E33FAC"/>
    <w:rsid w:val="00E340DA"/>
    <w:rsid w:val="00E34203"/>
    <w:rsid w:val="00E3440D"/>
    <w:rsid w:val="00E3473A"/>
    <w:rsid w:val="00E347D9"/>
    <w:rsid w:val="00E347F8"/>
    <w:rsid w:val="00E34BD6"/>
    <w:rsid w:val="00E34D42"/>
    <w:rsid w:val="00E34EA2"/>
    <w:rsid w:val="00E34EBE"/>
    <w:rsid w:val="00E34F02"/>
    <w:rsid w:val="00E34F20"/>
    <w:rsid w:val="00E35100"/>
    <w:rsid w:val="00E3520A"/>
    <w:rsid w:val="00E352E3"/>
    <w:rsid w:val="00E35416"/>
    <w:rsid w:val="00E354B7"/>
    <w:rsid w:val="00E35546"/>
    <w:rsid w:val="00E355F1"/>
    <w:rsid w:val="00E35B2B"/>
    <w:rsid w:val="00E35BA2"/>
    <w:rsid w:val="00E35ED8"/>
    <w:rsid w:val="00E35F99"/>
    <w:rsid w:val="00E36218"/>
    <w:rsid w:val="00E3635B"/>
    <w:rsid w:val="00E36601"/>
    <w:rsid w:val="00E36A18"/>
    <w:rsid w:val="00E36E24"/>
    <w:rsid w:val="00E36E97"/>
    <w:rsid w:val="00E37058"/>
    <w:rsid w:val="00E3729A"/>
    <w:rsid w:val="00E3777D"/>
    <w:rsid w:val="00E37A92"/>
    <w:rsid w:val="00E37AEF"/>
    <w:rsid w:val="00E37CBE"/>
    <w:rsid w:val="00E37DBE"/>
    <w:rsid w:val="00E37FFD"/>
    <w:rsid w:val="00E404D2"/>
    <w:rsid w:val="00E40833"/>
    <w:rsid w:val="00E409D3"/>
    <w:rsid w:val="00E40AD5"/>
    <w:rsid w:val="00E40BA1"/>
    <w:rsid w:val="00E40C60"/>
    <w:rsid w:val="00E40D23"/>
    <w:rsid w:val="00E4100E"/>
    <w:rsid w:val="00E41096"/>
    <w:rsid w:val="00E410EE"/>
    <w:rsid w:val="00E411B4"/>
    <w:rsid w:val="00E41381"/>
    <w:rsid w:val="00E413C9"/>
    <w:rsid w:val="00E41465"/>
    <w:rsid w:val="00E414B6"/>
    <w:rsid w:val="00E415C4"/>
    <w:rsid w:val="00E41A1A"/>
    <w:rsid w:val="00E41A51"/>
    <w:rsid w:val="00E41BCE"/>
    <w:rsid w:val="00E41D18"/>
    <w:rsid w:val="00E41D86"/>
    <w:rsid w:val="00E422BF"/>
    <w:rsid w:val="00E42433"/>
    <w:rsid w:val="00E424E8"/>
    <w:rsid w:val="00E427E3"/>
    <w:rsid w:val="00E427EB"/>
    <w:rsid w:val="00E42827"/>
    <w:rsid w:val="00E428F1"/>
    <w:rsid w:val="00E42CCE"/>
    <w:rsid w:val="00E42D69"/>
    <w:rsid w:val="00E42EF7"/>
    <w:rsid w:val="00E43042"/>
    <w:rsid w:val="00E432D9"/>
    <w:rsid w:val="00E43375"/>
    <w:rsid w:val="00E43799"/>
    <w:rsid w:val="00E439FD"/>
    <w:rsid w:val="00E43AB8"/>
    <w:rsid w:val="00E43B05"/>
    <w:rsid w:val="00E43C3A"/>
    <w:rsid w:val="00E43CAA"/>
    <w:rsid w:val="00E43CFA"/>
    <w:rsid w:val="00E43D44"/>
    <w:rsid w:val="00E43D59"/>
    <w:rsid w:val="00E43DDE"/>
    <w:rsid w:val="00E440BE"/>
    <w:rsid w:val="00E44158"/>
    <w:rsid w:val="00E4416A"/>
    <w:rsid w:val="00E44182"/>
    <w:rsid w:val="00E4443B"/>
    <w:rsid w:val="00E444B5"/>
    <w:rsid w:val="00E44F79"/>
    <w:rsid w:val="00E4501E"/>
    <w:rsid w:val="00E450E8"/>
    <w:rsid w:val="00E45225"/>
    <w:rsid w:val="00E452A5"/>
    <w:rsid w:val="00E45825"/>
    <w:rsid w:val="00E459C0"/>
    <w:rsid w:val="00E45AAF"/>
    <w:rsid w:val="00E45BBD"/>
    <w:rsid w:val="00E45E79"/>
    <w:rsid w:val="00E4600F"/>
    <w:rsid w:val="00E4605D"/>
    <w:rsid w:val="00E4607C"/>
    <w:rsid w:val="00E460CC"/>
    <w:rsid w:val="00E4612C"/>
    <w:rsid w:val="00E462BE"/>
    <w:rsid w:val="00E46680"/>
    <w:rsid w:val="00E466E2"/>
    <w:rsid w:val="00E46BE2"/>
    <w:rsid w:val="00E46D67"/>
    <w:rsid w:val="00E46E97"/>
    <w:rsid w:val="00E46F11"/>
    <w:rsid w:val="00E46F2D"/>
    <w:rsid w:val="00E46FE4"/>
    <w:rsid w:val="00E47053"/>
    <w:rsid w:val="00E4741D"/>
    <w:rsid w:val="00E47457"/>
    <w:rsid w:val="00E475E8"/>
    <w:rsid w:val="00E476E3"/>
    <w:rsid w:val="00E476F7"/>
    <w:rsid w:val="00E47704"/>
    <w:rsid w:val="00E4787F"/>
    <w:rsid w:val="00E478B1"/>
    <w:rsid w:val="00E47ABC"/>
    <w:rsid w:val="00E47E47"/>
    <w:rsid w:val="00E47E54"/>
    <w:rsid w:val="00E500B5"/>
    <w:rsid w:val="00E50102"/>
    <w:rsid w:val="00E5018E"/>
    <w:rsid w:val="00E501A1"/>
    <w:rsid w:val="00E504C6"/>
    <w:rsid w:val="00E508EB"/>
    <w:rsid w:val="00E50B51"/>
    <w:rsid w:val="00E50DB2"/>
    <w:rsid w:val="00E50DC4"/>
    <w:rsid w:val="00E50F4F"/>
    <w:rsid w:val="00E510B4"/>
    <w:rsid w:val="00E510ED"/>
    <w:rsid w:val="00E51117"/>
    <w:rsid w:val="00E514B8"/>
    <w:rsid w:val="00E51523"/>
    <w:rsid w:val="00E5169B"/>
    <w:rsid w:val="00E518FE"/>
    <w:rsid w:val="00E51B6B"/>
    <w:rsid w:val="00E51C9D"/>
    <w:rsid w:val="00E51E63"/>
    <w:rsid w:val="00E5200B"/>
    <w:rsid w:val="00E520E3"/>
    <w:rsid w:val="00E5226E"/>
    <w:rsid w:val="00E52276"/>
    <w:rsid w:val="00E5256C"/>
    <w:rsid w:val="00E52667"/>
    <w:rsid w:val="00E526AB"/>
    <w:rsid w:val="00E527AB"/>
    <w:rsid w:val="00E527FD"/>
    <w:rsid w:val="00E52FFD"/>
    <w:rsid w:val="00E531A8"/>
    <w:rsid w:val="00E531F9"/>
    <w:rsid w:val="00E532C0"/>
    <w:rsid w:val="00E532C2"/>
    <w:rsid w:val="00E53470"/>
    <w:rsid w:val="00E53536"/>
    <w:rsid w:val="00E5354B"/>
    <w:rsid w:val="00E539DD"/>
    <w:rsid w:val="00E53CE9"/>
    <w:rsid w:val="00E53D10"/>
    <w:rsid w:val="00E53DB1"/>
    <w:rsid w:val="00E53E2B"/>
    <w:rsid w:val="00E5413E"/>
    <w:rsid w:val="00E54205"/>
    <w:rsid w:val="00E54339"/>
    <w:rsid w:val="00E54D16"/>
    <w:rsid w:val="00E55081"/>
    <w:rsid w:val="00E553F6"/>
    <w:rsid w:val="00E55695"/>
    <w:rsid w:val="00E5576B"/>
    <w:rsid w:val="00E55A9B"/>
    <w:rsid w:val="00E55AEB"/>
    <w:rsid w:val="00E55C31"/>
    <w:rsid w:val="00E55D53"/>
    <w:rsid w:val="00E561AC"/>
    <w:rsid w:val="00E561B1"/>
    <w:rsid w:val="00E562AC"/>
    <w:rsid w:val="00E562DE"/>
    <w:rsid w:val="00E5631A"/>
    <w:rsid w:val="00E56481"/>
    <w:rsid w:val="00E565C9"/>
    <w:rsid w:val="00E56600"/>
    <w:rsid w:val="00E56764"/>
    <w:rsid w:val="00E56933"/>
    <w:rsid w:val="00E569E5"/>
    <w:rsid w:val="00E56E67"/>
    <w:rsid w:val="00E56FD6"/>
    <w:rsid w:val="00E570FE"/>
    <w:rsid w:val="00E5720A"/>
    <w:rsid w:val="00E57522"/>
    <w:rsid w:val="00E57603"/>
    <w:rsid w:val="00E57629"/>
    <w:rsid w:val="00E57648"/>
    <w:rsid w:val="00E5772E"/>
    <w:rsid w:val="00E57A5F"/>
    <w:rsid w:val="00E57A8B"/>
    <w:rsid w:val="00E57B59"/>
    <w:rsid w:val="00E57C7A"/>
    <w:rsid w:val="00E57CFB"/>
    <w:rsid w:val="00E57E30"/>
    <w:rsid w:val="00E60168"/>
    <w:rsid w:val="00E604C6"/>
    <w:rsid w:val="00E6064A"/>
    <w:rsid w:val="00E606AB"/>
    <w:rsid w:val="00E606C7"/>
    <w:rsid w:val="00E6095C"/>
    <w:rsid w:val="00E60ADE"/>
    <w:rsid w:val="00E61156"/>
    <w:rsid w:val="00E61170"/>
    <w:rsid w:val="00E612B3"/>
    <w:rsid w:val="00E61417"/>
    <w:rsid w:val="00E618CC"/>
    <w:rsid w:val="00E618E4"/>
    <w:rsid w:val="00E618EB"/>
    <w:rsid w:val="00E61A5B"/>
    <w:rsid w:val="00E61F4C"/>
    <w:rsid w:val="00E620E9"/>
    <w:rsid w:val="00E62304"/>
    <w:rsid w:val="00E62335"/>
    <w:rsid w:val="00E6234E"/>
    <w:rsid w:val="00E62704"/>
    <w:rsid w:val="00E6298B"/>
    <w:rsid w:val="00E62B88"/>
    <w:rsid w:val="00E62BF2"/>
    <w:rsid w:val="00E62D2D"/>
    <w:rsid w:val="00E62E6D"/>
    <w:rsid w:val="00E62FF0"/>
    <w:rsid w:val="00E63086"/>
    <w:rsid w:val="00E631AC"/>
    <w:rsid w:val="00E6322B"/>
    <w:rsid w:val="00E63243"/>
    <w:rsid w:val="00E6328D"/>
    <w:rsid w:val="00E63698"/>
    <w:rsid w:val="00E636C3"/>
    <w:rsid w:val="00E637C4"/>
    <w:rsid w:val="00E638E9"/>
    <w:rsid w:val="00E6391A"/>
    <w:rsid w:val="00E639A8"/>
    <w:rsid w:val="00E63A21"/>
    <w:rsid w:val="00E63CE4"/>
    <w:rsid w:val="00E63F70"/>
    <w:rsid w:val="00E63F83"/>
    <w:rsid w:val="00E6404D"/>
    <w:rsid w:val="00E640A3"/>
    <w:rsid w:val="00E640AF"/>
    <w:rsid w:val="00E64242"/>
    <w:rsid w:val="00E642CF"/>
    <w:rsid w:val="00E64374"/>
    <w:rsid w:val="00E643F5"/>
    <w:rsid w:val="00E64475"/>
    <w:rsid w:val="00E644E7"/>
    <w:rsid w:val="00E647A2"/>
    <w:rsid w:val="00E64827"/>
    <w:rsid w:val="00E64B0D"/>
    <w:rsid w:val="00E64C33"/>
    <w:rsid w:val="00E64DDC"/>
    <w:rsid w:val="00E65030"/>
    <w:rsid w:val="00E6513D"/>
    <w:rsid w:val="00E65188"/>
    <w:rsid w:val="00E655DB"/>
    <w:rsid w:val="00E65823"/>
    <w:rsid w:val="00E6590A"/>
    <w:rsid w:val="00E65A86"/>
    <w:rsid w:val="00E65C3E"/>
    <w:rsid w:val="00E65E76"/>
    <w:rsid w:val="00E65F21"/>
    <w:rsid w:val="00E65F4F"/>
    <w:rsid w:val="00E660DF"/>
    <w:rsid w:val="00E66263"/>
    <w:rsid w:val="00E66785"/>
    <w:rsid w:val="00E667C6"/>
    <w:rsid w:val="00E667DB"/>
    <w:rsid w:val="00E66918"/>
    <w:rsid w:val="00E66A2B"/>
    <w:rsid w:val="00E66ABB"/>
    <w:rsid w:val="00E66F24"/>
    <w:rsid w:val="00E66FB4"/>
    <w:rsid w:val="00E66FE6"/>
    <w:rsid w:val="00E6724B"/>
    <w:rsid w:val="00E672AF"/>
    <w:rsid w:val="00E67613"/>
    <w:rsid w:val="00E678B2"/>
    <w:rsid w:val="00E67D59"/>
    <w:rsid w:val="00E67FAC"/>
    <w:rsid w:val="00E700B6"/>
    <w:rsid w:val="00E700EC"/>
    <w:rsid w:val="00E70228"/>
    <w:rsid w:val="00E70732"/>
    <w:rsid w:val="00E70A18"/>
    <w:rsid w:val="00E70D98"/>
    <w:rsid w:val="00E70F5C"/>
    <w:rsid w:val="00E71132"/>
    <w:rsid w:val="00E71223"/>
    <w:rsid w:val="00E71240"/>
    <w:rsid w:val="00E715E7"/>
    <w:rsid w:val="00E71653"/>
    <w:rsid w:val="00E7179F"/>
    <w:rsid w:val="00E71853"/>
    <w:rsid w:val="00E719AE"/>
    <w:rsid w:val="00E71ACD"/>
    <w:rsid w:val="00E71E79"/>
    <w:rsid w:val="00E71F92"/>
    <w:rsid w:val="00E72486"/>
    <w:rsid w:val="00E73327"/>
    <w:rsid w:val="00E73548"/>
    <w:rsid w:val="00E7358C"/>
    <w:rsid w:val="00E73B27"/>
    <w:rsid w:val="00E73C7E"/>
    <w:rsid w:val="00E73D55"/>
    <w:rsid w:val="00E73DB0"/>
    <w:rsid w:val="00E7421D"/>
    <w:rsid w:val="00E742A8"/>
    <w:rsid w:val="00E74535"/>
    <w:rsid w:val="00E74DF6"/>
    <w:rsid w:val="00E75035"/>
    <w:rsid w:val="00E75176"/>
    <w:rsid w:val="00E751E7"/>
    <w:rsid w:val="00E75214"/>
    <w:rsid w:val="00E75294"/>
    <w:rsid w:val="00E752CA"/>
    <w:rsid w:val="00E7550F"/>
    <w:rsid w:val="00E757B5"/>
    <w:rsid w:val="00E757BD"/>
    <w:rsid w:val="00E75840"/>
    <w:rsid w:val="00E75A9A"/>
    <w:rsid w:val="00E75CB9"/>
    <w:rsid w:val="00E75E61"/>
    <w:rsid w:val="00E75F3E"/>
    <w:rsid w:val="00E75FFD"/>
    <w:rsid w:val="00E76055"/>
    <w:rsid w:val="00E76227"/>
    <w:rsid w:val="00E762DA"/>
    <w:rsid w:val="00E76429"/>
    <w:rsid w:val="00E76667"/>
    <w:rsid w:val="00E76F01"/>
    <w:rsid w:val="00E76F19"/>
    <w:rsid w:val="00E770EF"/>
    <w:rsid w:val="00E77334"/>
    <w:rsid w:val="00E77A60"/>
    <w:rsid w:val="00E77B98"/>
    <w:rsid w:val="00E77C8E"/>
    <w:rsid w:val="00E77D74"/>
    <w:rsid w:val="00E77FE7"/>
    <w:rsid w:val="00E80277"/>
    <w:rsid w:val="00E803D4"/>
    <w:rsid w:val="00E803F3"/>
    <w:rsid w:val="00E80483"/>
    <w:rsid w:val="00E8081A"/>
    <w:rsid w:val="00E80986"/>
    <w:rsid w:val="00E80F1B"/>
    <w:rsid w:val="00E80FE9"/>
    <w:rsid w:val="00E810F3"/>
    <w:rsid w:val="00E811EB"/>
    <w:rsid w:val="00E816A3"/>
    <w:rsid w:val="00E816FC"/>
    <w:rsid w:val="00E817E1"/>
    <w:rsid w:val="00E819BA"/>
    <w:rsid w:val="00E81A56"/>
    <w:rsid w:val="00E81A80"/>
    <w:rsid w:val="00E81DFB"/>
    <w:rsid w:val="00E81F78"/>
    <w:rsid w:val="00E81F94"/>
    <w:rsid w:val="00E82063"/>
    <w:rsid w:val="00E82264"/>
    <w:rsid w:val="00E82575"/>
    <w:rsid w:val="00E82694"/>
    <w:rsid w:val="00E829DD"/>
    <w:rsid w:val="00E82AE7"/>
    <w:rsid w:val="00E82E0C"/>
    <w:rsid w:val="00E82EBC"/>
    <w:rsid w:val="00E82F4D"/>
    <w:rsid w:val="00E830F4"/>
    <w:rsid w:val="00E83137"/>
    <w:rsid w:val="00E8314C"/>
    <w:rsid w:val="00E83202"/>
    <w:rsid w:val="00E83435"/>
    <w:rsid w:val="00E83461"/>
    <w:rsid w:val="00E834C6"/>
    <w:rsid w:val="00E835B7"/>
    <w:rsid w:val="00E83BEA"/>
    <w:rsid w:val="00E83D11"/>
    <w:rsid w:val="00E83FA4"/>
    <w:rsid w:val="00E84165"/>
    <w:rsid w:val="00E84501"/>
    <w:rsid w:val="00E845F6"/>
    <w:rsid w:val="00E846B8"/>
    <w:rsid w:val="00E8494C"/>
    <w:rsid w:val="00E849BF"/>
    <w:rsid w:val="00E84B9E"/>
    <w:rsid w:val="00E84C72"/>
    <w:rsid w:val="00E84D10"/>
    <w:rsid w:val="00E84EC0"/>
    <w:rsid w:val="00E851EA"/>
    <w:rsid w:val="00E85245"/>
    <w:rsid w:val="00E852AD"/>
    <w:rsid w:val="00E8534F"/>
    <w:rsid w:val="00E856B4"/>
    <w:rsid w:val="00E857AA"/>
    <w:rsid w:val="00E858F2"/>
    <w:rsid w:val="00E859C3"/>
    <w:rsid w:val="00E85C5A"/>
    <w:rsid w:val="00E85D98"/>
    <w:rsid w:val="00E85FFC"/>
    <w:rsid w:val="00E860B7"/>
    <w:rsid w:val="00E8613A"/>
    <w:rsid w:val="00E86435"/>
    <w:rsid w:val="00E8652A"/>
    <w:rsid w:val="00E86679"/>
    <w:rsid w:val="00E8669B"/>
    <w:rsid w:val="00E868F2"/>
    <w:rsid w:val="00E86BCC"/>
    <w:rsid w:val="00E86FA8"/>
    <w:rsid w:val="00E86FDE"/>
    <w:rsid w:val="00E8742A"/>
    <w:rsid w:val="00E874B0"/>
    <w:rsid w:val="00E875B4"/>
    <w:rsid w:val="00E87743"/>
    <w:rsid w:val="00E877A4"/>
    <w:rsid w:val="00E8780E"/>
    <w:rsid w:val="00E8793B"/>
    <w:rsid w:val="00E87A58"/>
    <w:rsid w:val="00E9000A"/>
    <w:rsid w:val="00E900F4"/>
    <w:rsid w:val="00E90265"/>
    <w:rsid w:val="00E9037D"/>
    <w:rsid w:val="00E90399"/>
    <w:rsid w:val="00E90851"/>
    <w:rsid w:val="00E90966"/>
    <w:rsid w:val="00E913CD"/>
    <w:rsid w:val="00E91965"/>
    <w:rsid w:val="00E91A59"/>
    <w:rsid w:val="00E91C5E"/>
    <w:rsid w:val="00E91E5F"/>
    <w:rsid w:val="00E91F5F"/>
    <w:rsid w:val="00E9206F"/>
    <w:rsid w:val="00E92203"/>
    <w:rsid w:val="00E922DD"/>
    <w:rsid w:val="00E9269E"/>
    <w:rsid w:val="00E926D9"/>
    <w:rsid w:val="00E9288C"/>
    <w:rsid w:val="00E929C1"/>
    <w:rsid w:val="00E92A59"/>
    <w:rsid w:val="00E92B9D"/>
    <w:rsid w:val="00E92C5F"/>
    <w:rsid w:val="00E92C99"/>
    <w:rsid w:val="00E92E3E"/>
    <w:rsid w:val="00E92F85"/>
    <w:rsid w:val="00E93023"/>
    <w:rsid w:val="00E932CD"/>
    <w:rsid w:val="00E93E3D"/>
    <w:rsid w:val="00E94158"/>
    <w:rsid w:val="00E94467"/>
    <w:rsid w:val="00E944E4"/>
    <w:rsid w:val="00E94511"/>
    <w:rsid w:val="00E9476E"/>
    <w:rsid w:val="00E949D7"/>
    <w:rsid w:val="00E9519F"/>
    <w:rsid w:val="00E955D4"/>
    <w:rsid w:val="00E95681"/>
    <w:rsid w:val="00E95A6F"/>
    <w:rsid w:val="00E95A93"/>
    <w:rsid w:val="00E95BF3"/>
    <w:rsid w:val="00E95F7F"/>
    <w:rsid w:val="00E95FAD"/>
    <w:rsid w:val="00E961F1"/>
    <w:rsid w:val="00E963CA"/>
    <w:rsid w:val="00E963F4"/>
    <w:rsid w:val="00E964B9"/>
    <w:rsid w:val="00E967A8"/>
    <w:rsid w:val="00E967F3"/>
    <w:rsid w:val="00E96AF3"/>
    <w:rsid w:val="00E96DFF"/>
    <w:rsid w:val="00E97079"/>
    <w:rsid w:val="00E973BA"/>
    <w:rsid w:val="00E974B5"/>
    <w:rsid w:val="00E97754"/>
    <w:rsid w:val="00E97889"/>
    <w:rsid w:val="00E97AD1"/>
    <w:rsid w:val="00E97AF5"/>
    <w:rsid w:val="00E97B9B"/>
    <w:rsid w:val="00E97CA7"/>
    <w:rsid w:val="00E97D4A"/>
    <w:rsid w:val="00E97DF5"/>
    <w:rsid w:val="00E97E9F"/>
    <w:rsid w:val="00E97EF6"/>
    <w:rsid w:val="00EA00B5"/>
    <w:rsid w:val="00EA00CB"/>
    <w:rsid w:val="00EA0279"/>
    <w:rsid w:val="00EA036A"/>
    <w:rsid w:val="00EA04BF"/>
    <w:rsid w:val="00EA058C"/>
    <w:rsid w:val="00EA078F"/>
    <w:rsid w:val="00EA0991"/>
    <w:rsid w:val="00EA0DE7"/>
    <w:rsid w:val="00EA0E37"/>
    <w:rsid w:val="00EA0E6F"/>
    <w:rsid w:val="00EA11CC"/>
    <w:rsid w:val="00EA123E"/>
    <w:rsid w:val="00EA1310"/>
    <w:rsid w:val="00EA1358"/>
    <w:rsid w:val="00EA1426"/>
    <w:rsid w:val="00EA16A9"/>
    <w:rsid w:val="00EA1778"/>
    <w:rsid w:val="00EA1ABE"/>
    <w:rsid w:val="00EA1BC1"/>
    <w:rsid w:val="00EA1C45"/>
    <w:rsid w:val="00EA1F7A"/>
    <w:rsid w:val="00EA20BB"/>
    <w:rsid w:val="00EA2264"/>
    <w:rsid w:val="00EA2391"/>
    <w:rsid w:val="00EA23AA"/>
    <w:rsid w:val="00EA23E6"/>
    <w:rsid w:val="00EA253D"/>
    <w:rsid w:val="00EA27F5"/>
    <w:rsid w:val="00EA2BEC"/>
    <w:rsid w:val="00EA2D63"/>
    <w:rsid w:val="00EA2F63"/>
    <w:rsid w:val="00EA309F"/>
    <w:rsid w:val="00EA347B"/>
    <w:rsid w:val="00EA3554"/>
    <w:rsid w:val="00EA36EC"/>
    <w:rsid w:val="00EA3C69"/>
    <w:rsid w:val="00EA3CFB"/>
    <w:rsid w:val="00EA3DC0"/>
    <w:rsid w:val="00EA406F"/>
    <w:rsid w:val="00EA4412"/>
    <w:rsid w:val="00EA4477"/>
    <w:rsid w:val="00EA46E0"/>
    <w:rsid w:val="00EA49F7"/>
    <w:rsid w:val="00EA4AB5"/>
    <w:rsid w:val="00EA4D05"/>
    <w:rsid w:val="00EA4D42"/>
    <w:rsid w:val="00EA4D7B"/>
    <w:rsid w:val="00EA4F49"/>
    <w:rsid w:val="00EA5049"/>
    <w:rsid w:val="00EA514C"/>
    <w:rsid w:val="00EA56BC"/>
    <w:rsid w:val="00EA5900"/>
    <w:rsid w:val="00EA59DB"/>
    <w:rsid w:val="00EA5A63"/>
    <w:rsid w:val="00EA5B15"/>
    <w:rsid w:val="00EA5D08"/>
    <w:rsid w:val="00EA5DC5"/>
    <w:rsid w:val="00EA60FD"/>
    <w:rsid w:val="00EA6936"/>
    <w:rsid w:val="00EA6A13"/>
    <w:rsid w:val="00EA6A5F"/>
    <w:rsid w:val="00EA6D5C"/>
    <w:rsid w:val="00EA7153"/>
    <w:rsid w:val="00EA7338"/>
    <w:rsid w:val="00EA73D1"/>
    <w:rsid w:val="00EA76CE"/>
    <w:rsid w:val="00EA7780"/>
    <w:rsid w:val="00EA7941"/>
    <w:rsid w:val="00EA7B85"/>
    <w:rsid w:val="00EA7B89"/>
    <w:rsid w:val="00EA7C28"/>
    <w:rsid w:val="00EA7EE5"/>
    <w:rsid w:val="00EB002B"/>
    <w:rsid w:val="00EB0408"/>
    <w:rsid w:val="00EB0481"/>
    <w:rsid w:val="00EB0888"/>
    <w:rsid w:val="00EB0CA7"/>
    <w:rsid w:val="00EB0DD4"/>
    <w:rsid w:val="00EB0EF4"/>
    <w:rsid w:val="00EB0F5E"/>
    <w:rsid w:val="00EB129A"/>
    <w:rsid w:val="00EB12D4"/>
    <w:rsid w:val="00EB178A"/>
    <w:rsid w:val="00EB1A32"/>
    <w:rsid w:val="00EB1E69"/>
    <w:rsid w:val="00EB1F67"/>
    <w:rsid w:val="00EB1FBB"/>
    <w:rsid w:val="00EB201F"/>
    <w:rsid w:val="00EB2124"/>
    <w:rsid w:val="00EB2197"/>
    <w:rsid w:val="00EB2542"/>
    <w:rsid w:val="00EB25AE"/>
    <w:rsid w:val="00EB26C4"/>
    <w:rsid w:val="00EB2B3E"/>
    <w:rsid w:val="00EB2BDD"/>
    <w:rsid w:val="00EB2E9C"/>
    <w:rsid w:val="00EB2F02"/>
    <w:rsid w:val="00EB2F11"/>
    <w:rsid w:val="00EB34AB"/>
    <w:rsid w:val="00EB360D"/>
    <w:rsid w:val="00EB384F"/>
    <w:rsid w:val="00EB3915"/>
    <w:rsid w:val="00EB3DD9"/>
    <w:rsid w:val="00EB412B"/>
    <w:rsid w:val="00EB4417"/>
    <w:rsid w:val="00EB4502"/>
    <w:rsid w:val="00EB4658"/>
    <w:rsid w:val="00EB46C6"/>
    <w:rsid w:val="00EB491A"/>
    <w:rsid w:val="00EB498C"/>
    <w:rsid w:val="00EB4EA3"/>
    <w:rsid w:val="00EB550B"/>
    <w:rsid w:val="00EB56BB"/>
    <w:rsid w:val="00EB5885"/>
    <w:rsid w:val="00EB5931"/>
    <w:rsid w:val="00EB5A0B"/>
    <w:rsid w:val="00EB5A3A"/>
    <w:rsid w:val="00EB5D27"/>
    <w:rsid w:val="00EB5EDB"/>
    <w:rsid w:val="00EB5EE6"/>
    <w:rsid w:val="00EB6025"/>
    <w:rsid w:val="00EB61EE"/>
    <w:rsid w:val="00EB6304"/>
    <w:rsid w:val="00EB6420"/>
    <w:rsid w:val="00EB660D"/>
    <w:rsid w:val="00EB6967"/>
    <w:rsid w:val="00EB6AE6"/>
    <w:rsid w:val="00EB6C1E"/>
    <w:rsid w:val="00EB6CAF"/>
    <w:rsid w:val="00EB6CBB"/>
    <w:rsid w:val="00EB6F6A"/>
    <w:rsid w:val="00EB7126"/>
    <w:rsid w:val="00EB72A9"/>
    <w:rsid w:val="00EB784A"/>
    <w:rsid w:val="00EB7C3B"/>
    <w:rsid w:val="00EB7DDD"/>
    <w:rsid w:val="00EC0028"/>
    <w:rsid w:val="00EC023B"/>
    <w:rsid w:val="00EC0286"/>
    <w:rsid w:val="00EC0335"/>
    <w:rsid w:val="00EC036C"/>
    <w:rsid w:val="00EC06E3"/>
    <w:rsid w:val="00EC0745"/>
    <w:rsid w:val="00EC0866"/>
    <w:rsid w:val="00EC08EF"/>
    <w:rsid w:val="00EC0912"/>
    <w:rsid w:val="00EC09C8"/>
    <w:rsid w:val="00EC0C09"/>
    <w:rsid w:val="00EC0C99"/>
    <w:rsid w:val="00EC0E70"/>
    <w:rsid w:val="00EC0F19"/>
    <w:rsid w:val="00EC0F55"/>
    <w:rsid w:val="00EC1080"/>
    <w:rsid w:val="00EC10A6"/>
    <w:rsid w:val="00EC1234"/>
    <w:rsid w:val="00EC12BC"/>
    <w:rsid w:val="00EC1700"/>
    <w:rsid w:val="00EC19D4"/>
    <w:rsid w:val="00EC1B44"/>
    <w:rsid w:val="00EC1BF8"/>
    <w:rsid w:val="00EC1F10"/>
    <w:rsid w:val="00EC202B"/>
    <w:rsid w:val="00EC208A"/>
    <w:rsid w:val="00EC262F"/>
    <w:rsid w:val="00EC28E8"/>
    <w:rsid w:val="00EC29F7"/>
    <w:rsid w:val="00EC2AA5"/>
    <w:rsid w:val="00EC2DB0"/>
    <w:rsid w:val="00EC301D"/>
    <w:rsid w:val="00EC3472"/>
    <w:rsid w:val="00EC3627"/>
    <w:rsid w:val="00EC3681"/>
    <w:rsid w:val="00EC3724"/>
    <w:rsid w:val="00EC39DD"/>
    <w:rsid w:val="00EC3D97"/>
    <w:rsid w:val="00EC3F38"/>
    <w:rsid w:val="00EC3FFA"/>
    <w:rsid w:val="00EC4194"/>
    <w:rsid w:val="00EC4257"/>
    <w:rsid w:val="00EC4326"/>
    <w:rsid w:val="00EC4410"/>
    <w:rsid w:val="00EC487A"/>
    <w:rsid w:val="00EC49E0"/>
    <w:rsid w:val="00EC4A1F"/>
    <w:rsid w:val="00EC4AF3"/>
    <w:rsid w:val="00EC4CC9"/>
    <w:rsid w:val="00EC4D1A"/>
    <w:rsid w:val="00EC4E82"/>
    <w:rsid w:val="00EC4FF4"/>
    <w:rsid w:val="00EC56C6"/>
    <w:rsid w:val="00EC577C"/>
    <w:rsid w:val="00EC57EA"/>
    <w:rsid w:val="00EC5BB0"/>
    <w:rsid w:val="00EC607C"/>
    <w:rsid w:val="00EC60A5"/>
    <w:rsid w:val="00EC618D"/>
    <w:rsid w:val="00EC6528"/>
    <w:rsid w:val="00EC6611"/>
    <w:rsid w:val="00EC66FD"/>
    <w:rsid w:val="00EC6796"/>
    <w:rsid w:val="00EC6843"/>
    <w:rsid w:val="00EC68AB"/>
    <w:rsid w:val="00EC6B83"/>
    <w:rsid w:val="00EC715E"/>
    <w:rsid w:val="00EC71F2"/>
    <w:rsid w:val="00EC7227"/>
    <w:rsid w:val="00EC7376"/>
    <w:rsid w:val="00EC7817"/>
    <w:rsid w:val="00EC792E"/>
    <w:rsid w:val="00EC7B04"/>
    <w:rsid w:val="00EC7BEE"/>
    <w:rsid w:val="00EC7CDF"/>
    <w:rsid w:val="00EC7DE9"/>
    <w:rsid w:val="00ED0051"/>
    <w:rsid w:val="00ED02C8"/>
    <w:rsid w:val="00ED0671"/>
    <w:rsid w:val="00ED07F0"/>
    <w:rsid w:val="00ED08B5"/>
    <w:rsid w:val="00ED0A7F"/>
    <w:rsid w:val="00ED0B56"/>
    <w:rsid w:val="00ED0B6A"/>
    <w:rsid w:val="00ED0E39"/>
    <w:rsid w:val="00ED0E71"/>
    <w:rsid w:val="00ED0EA4"/>
    <w:rsid w:val="00ED1135"/>
    <w:rsid w:val="00ED13EA"/>
    <w:rsid w:val="00ED1913"/>
    <w:rsid w:val="00ED1ABD"/>
    <w:rsid w:val="00ED1D04"/>
    <w:rsid w:val="00ED2022"/>
    <w:rsid w:val="00ED209E"/>
    <w:rsid w:val="00ED2583"/>
    <w:rsid w:val="00ED2902"/>
    <w:rsid w:val="00ED2BAF"/>
    <w:rsid w:val="00ED2BFA"/>
    <w:rsid w:val="00ED2C6A"/>
    <w:rsid w:val="00ED2CEB"/>
    <w:rsid w:val="00ED2D3E"/>
    <w:rsid w:val="00ED30A5"/>
    <w:rsid w:val="00ED3208"/>
    <w:rsid w:val="00ED3639"/>
    <w:rsid w:val="00ED37A5"/>
    <w:rsid w:val="00ED3A32"/>
    <w:rsid w:val="00ED3AFB"/>
    <w:rsid w:val="00ED3DA5"/>
    <w:rsid w:val="00ED3E67"/>
    <w:rsid w:val="00ED3F94"/>
    <w:rsid w:val="00ED407F"/>
    <w:rsid w:val="00ED4158"/>
    <w:rsid w:val="00ED4245"/>
    <w:rsid w:val="00ED42C6"/>
    <w:rsid w:val="00ED4315"/>
    <w:rsid w:val="00ED4436"/>
    <w:rsid w:val="00ED44BB"/>
    <w:rsid w:val="00ED4627"/>
    <w:rsid w:val="00ED4811"/>
    <w:rsid w:val="00ED4AB7"/>
    <w:rsid w:val="00ED4BE3"/>
    <w:rsid w:val="00ED4E40"/>
    <w:rsid w:val="00ED516C"/>
    <w:rsid w:val="00ED53A2"/>
    <w:rsid w:val="00ED5773"/>
    <w:rsid w:val="00ED5885"/>
    <w:rsid w:val="00ED5898"/>
    <w:rsid w:val="00ED59FE"/>
    <w:rsid w:val="00ED5B80"/>
    <w:rsid w:val="00ED5BD9"/>
    <w:rsid w:val="00ED5BF9"/>
    <w:rsid w:val="00ED5E02"/>
    <w:rsid w:val="00ED61B5"/>
    <w:rsid w:val="00ED639F"/>
    <w:rsid w:val="00ED643A"/>
    <w:rsid w:val="00ED64F4"/>
    <w:rsid w:val="00ED659B"/>
    <w:rsid w:val="00ED6935"/>
    <w:rsid w:val="00ED6F6D"/>
    <w:rsid w:val="00ED7501"/>
    <w:rsid w:val="00ED7550"/>
    <w:rsid w:val="00ED79D6"/>
    <w:rsid w:val="00ED7A32"/>
    <w:rsid w:val="00ED7AF3"/>
    <w:rsid w:val="00ED7F7E"/>
    <w:rsid w:val="00EE0176"/>
    <w:rsid w:val="00EE01C0"/>
    <w:rsid w:val="00EE05B9"/>
    <w:rsid w:val="00EE0825"/>
    <w:rsid w:val="00EE0945"/>
    <w:rsid w:val="00EE0A31"/>
    <w:rsid w:val="00EE0ADD"/>
    <w:rsid w:val="00EE0D4C"/>
    <w:rsid w:val="00EE0FFE"/>
    <w:rsid w:val="00EE1113"/>
    <w:rsid w:val="00EE1163"/>
    <w:rsid w:val="00EE13AD"/>
    <w:rsid w:val="00EE146D"/>
    <w:rsid w:val="00EE1551"/>
    <w:rsid w:val="00EE1A4D"/>
    <w:rsid w:val="00EE1D94"/>
    <w:rsid w:val="00EE1E05"/>
    <w:rsid w:val="00EE1EC1"/>
    <w:rsid w:val="00EE20EB"/>
    <w:rsid w:val="00EE2743"/>
    <w:rsid w:val="00EE2880"/>
    <w:rsid w:val="00EE2C5D"/>
    <w:rsid w:val="00EE2CDF"/>
    <w:rsid w:val="00EE2E68"/>
    <w:rsid w:val="00EE2F56"/>
    <w:rsid w:val="00EE2FAE"/>
    <w:rsid w:val="00EE33D5"/>
    <w:rsid w:val="00EE3BA1"/>
    <w:rsid w:val="00EE3DA5"/>
    <w:rsid w:val="00EE3F8C"/>
    <w:rsid w:val="00EE4057"/>
    <w:rsid w:val="00EE4104"/>
    <w:rsid w:val="00EE41FE"/>
    <w:rsid w:val="00EE426A"/>
    <w:rsid w:val="00EE4318"/>
    <w:rsid w:val="00EE4437"/>
    <w:rsid w:val="00EE4560"/>
    <w:rsid w:val="00EE470E"/>
    <w:rsid w:val="00EE48C5"/>
    <w:rsid w:val="00EE4B5E"/>
    <w:rsid w:val="00EE4D5F"/>
    <w:rsid w:val="00EE51D9"/>
    <w:rsid w:val="00EE54D1"/>
    <w:rsid w:val="00EE5ACE"/>
    <w:rsid w:val="00EE5DE4"/>
    <w:rsid w:val="00EE5F2F"/>
    <w:rsid w:val="00EE605E"/>
    <w:rsid w:val="00EE6073"/>
    <w:rsid w:val="00EE6451"/>
    <w:rsid w:val="00EE65FA"/>
    <w:rsid w:val="00EE6604"/>
    <w:rsid w:val="00EE665C"/>
    <w:rsid w:val="00EE6675"/>
    <w:rsid w:val="00EE66F7"/>
    <w:rsid w:val="00EE686C"/>
    <w:rsid w:val="00EE6A6B"/>
    <w:rsid w:val="00EE6AA7"/>
    <w:rsid w:val="00EE6C47"/>
    <w:rsid w:val="00EE6CC7"/>
    <w:rsid w:val="00EE6E57"/>
    <w:rsid w:val="00EE6F68"/>
    <w:rsid w:val="00EE7042"/>
    <w:rsid w:val="00EE70ED"/>
    <w:rsid w:val="00EE78AB"/>
    <w:rsid w:val="00EE78BD"/>
    <w:rsid w:val="00EE7F63"/>
    <w:rsid w:val="00EE7F94"/>
    <w:rsid w:val="00EF00AB"/>
    <w:rsid w:val="00EF00CD"/>
    <w:rsid w:val="00EF0144"/>
    <w:rsid w:val="00EF0234"/>
    <w:rsid w:val="00EF062B"/>
    <w:rsid w:val="00EF064B"/>
    <w:rsid w:val="00EF06A9"/>
    <w:rsid w:val="00EF0743"/>
    <w:rsid w:val="00EF0926"/>
    <w:rsid w:val="00EF0B19"/>
    <w:rsid w:val="00EF0C04"/>
    <w:rsid w:val="00EF1349"/>
    <w:rsid w:val="00EF139F"/>
    <w:rsid w:val="00EF149C"/>
    <w:rsid w:val="00EF17B6"/>
    <w:rsid w:val="00EF199C"/>
    <w:rsid w:val="00EF19EC"/>
    <w:rsid w:val="00EF1F90"/>
    <w:rsid w:val="00EF2311"/>
    <w:rsid w:val="00EF23FA"/>
    <w:rsid w:val="00EF241F"/>
    <w:rsid w:val="00EF26ED"/>
    <w:rsid w:val="00EF2900"/>
    <w:rsid w:val="00EF297C"/>
    <w:rsid w:val="00EF29C9"/>
    <w:rsid w:val="00EF2A74"/>
    <w:rsid w:val="00EF2B33"/>
    <w:rsid w:val="00EF2BB5"/>
    <w:rsid w:val="00EF2C7A"/>
    <w:rsid w:val="00EF2D8C"/>
    <w:rsid w:val="00EF3119"/>
    <w:rsid w:val="00EF3219"/>
    <w:rsid w:val="00EF3398"/>
    <w:rsid w:val="00EF3624"/>
    <w:rsid w:val="00EF3775"/>
    <w:rsid w:val="00EF3968"/>
    <w:rsid w:val="00EF3A4E"/>
    <w:rsid w:val="00EF3D3D"/>
    <w:rsid w:val="00EF3DF4"/>
    <w:rsid w:val="00EF3E9B"/>
    <w:rsid w:val="00EF3F97"/>
    <w:rsid w:val="00EF45E8"/>
    <w:rsid w:val="00EF4612"/>
    <w:rsid w:val="00EF465C"/>
    <w:rsid w:val="00EF4896"/>
    <w:rsid w:val="00EF4BFA"/>
    <w:rsid w:val="00EF4C17"/>
    <w:rsid w:val="00EF51D1"/>
    <w:rsid w:val="00EF52B3"/>
    <w:rsid w:val="00EF542D"/>
    <w:rsid w:val="00EF545A"/>
    <w:rsid w:val="00EF5532"/>
    <w:rsid w:val="00EF5614"/>
    <w:rsid w:val="00EF5639"/>
    <w:rsid w:val="00EF5B4E"/>
    <w:rsid w:val="00EF60E6"/>
    <w:rsid w:val="00EF6137"/>
    <w:rsid w:val="00EF6180"/>
    <w:rsid w:val="00EF62F7"/>
    <w:rsid w:val="00EF6728"/>
    <w:rsid w:val="00EF6961"/>
    <w:rsid w:val="00EF6BDC"/>
    <w:rsid w:val="00EF6BFF"/>
    <w:rsid w:val="00EF6DC9"/>
    <w:rsid w:val="00EF6DE1"/>
    <w:rsid w:val="00EF6EF2"/>
    <w:rsid w:val="00EF6FC6"/>
    <w:rsid w:val="00EF6FF5"/>
    <w:rsid w:val="00EF719F"/>
    <w:rsid w:val="00EF71EB"/>
    <w:rsid w:val="00EF7354"/>
    <w:rsid w:val="00EF73E5"/>
    <w:rsid w:val="00EF74A7"/>
    <w:rsid w:val="00EF770D"/>
    <w:rsid w:val="00EF7A8C"/>
    <w:rsid w:val="00EF7B3A"/>
    <w:rsid w:val="00EF7C56"/>
    <w:rsid w:val="00F0037C"/>
    <w:rsid w:val="00F00561"/>
    <w:rsid w:val="00F00726"/>
    <w:rsid w:val="00F0073D"/>
    <w:rsid w:val="00F00CBB"/>
    <w:rsid w:val="00F00FA8"/>
    <w:rsid w:val="00F01156"/>
    <w:rsid w:val="00F012CD"/>
    <w:rsid w:val="00F01379"/>
    <w:rsid w:val="00F014F2"/>
    <w:rsid w:val="00F01856"/>
    <w:rsid w:val="00F01B23"/>
    <w:rsid w:val="00F01D3A"/>
    <w:rsid w:val="00F01D7D"/>
    <w:rsid w:val="00F01F83"/>
    <w:rsid w:val="00F01F89"/>
    <w:rsid w:val="00F021D3"/>
    <w:rsid w:val="00F02443"/>
    <w:rsid w:val="00F0244C"/>
    <w:rsid w:val="00F02572"/>
    <w:rsid w:val="00F0265C"/>
    <w:rsid w:val="00F028E8"/>
    <w:rsid w:val="00F02A80"/>
    <w:rsid w:val="00F02B1D"/>
    <w:rsid w:val="00F02D39"/>
    <w:rsid w:val="00F02F57"/>
    <w:rsid w:val="00F02FD2"/>
    <w:rsid w:val="00F03022"/>
    <w:rsid w:val="00F033B4"/>
    <w:rsid w:val="00F03A2D"/>
    <w:rsid w:val="00F03EFF"/>
    <w:rsid w:val="00F03FDA"/>
    <w:rsid w:val="00F04176"/>
    <w:rsid w:val="00F046B9"/>
    <w:rsid w:val="00F047BA"/>
    <w:rsid w:val="00F048DA"/>
    <w:rsid w:val="00F04A5B"/>
    <w:rsid w:val="00F04A72"/>
    <w:rsid w:val="00F04A89"/>
    <w:rsid w:val="00F04ACE"/>
    <w:rsid w:val="00F04DB1"/>
    <w:rsid w:val="00F04DCB"/>
    <w:rsid w:val="00F0503D"/>
    <w:rsid w:val="00F050F6"/>
    <w:rsid w:val="00F0521F"/>
    <w:rsid w:val="00F052FD"/>
    <w:rsid w:val="00F055ED"/>
    <w:rsid w:val="00F05806"/>
    <w:rsid w:val="00F05CD4"/>
    <w:rsid w:val="00F05D6F"/>
    <w:rsid w:val="00F05DDA"/>
    <w:rsid w:val="00F05EDD"/>
    <w:rsid w:val="00F05EE1"/>
    <w:rsid w:val="00F06089"/>
    <w:rsid w:val="00F060C2"/>
    <w:rsid w:val="00F063CE"/>
    <w:rsid w:val="00F06562"/>
    <w:rsid w:val="00F065E4"/>
    <w:rsid w:val="00F065F9"/>
    <w:rsid w:val="00F066D8"/>
    <w:rsid w:val="00F066F0"/>
    <w:rsid w:val="00F0674D"/>
    <w:rsid w:val="00F067E5"/>
    <w:rsid w:val="00F067F0"/>
    <w:rsid w:val="00F0686A"/>
    <w:rsid w:val="00F069D4"/>
    <w:rsid w:val="00F06A96"/>
    <w:rsid w:val="00F06B70"/>
    <w:rsid w:val="00F06BCA"/>
    <w:rsid w:val="00F06D24"/>
    <w:rsid w:val="00F06D43"/>
    <w:rsid w:val="00F06DF7"/>
    <w:rsid w:val="00F070C6"/>
    <w:rsid w:val="00F07231"/>
    <w:rsid w:val="00F07239"/>
    <w:rsid w:val="00F074BF"/>
    <w:rsid w:val="00F0751D"/>
    <w:rsid w:val="00F0770A"/>
    <w:rsid w:val="00F07A14"/>
    <w:rsid w:val="00F07A72"/>
    <w:rsid w:val="00F07FC7"/>
    <w:rsid w:val="00F100F2"/>
    <w:rsid w:val="00F102A9"/>
    <w:rsid w:val="00F10346"/>
    <w:rsid w:val="00F1059C"/>
    <w:rsid w:val="00F10770"/>
    <w:rsid w:val="00F10782"/>
    <w:rsid w:val="00F10796"/>
    <w:rsid w:val="00F109D2"/>
    <w:rsid w:val="00F11081"/>
    <w:rsid w:val="00F110A6"/>
    <w:rsid w:val="00F110AE"/>
    <w:rsid w:val="00F11107"/>
    <w:rsid w:val="00F111FC"/>
    <w:rsid w:val="00F11338"/>
    <w:rsid w:val="00F118B2"/>
    <w:rsid w:val="00F1198F"/>
    <w:rsid w:val="00F119A6"/>
    <w:rsid w:val="00F11BE4"/>
    <w:rsid w:val="00F11DAA"/>
    <w:rsid w:val="00F11DDD"/>
    <w:rsid w:val="00F120B2"/>
    <w:rsid w:val="00F12116"/>
    <w:rsid w:val="00F12325"/>
    <w:rsid w:val="00F124BC"/>
    <w:rsid w:val="00F12517"/>
    <w:rsid w:val="00F127A3"/>
    <w:rsid w:val="00F1286E"/>
    <w:rsid w:val="00F12B50"/>
    <w:rsid w:val="00F12CEC"/>
    <w:rsid w:val="00F12DC6"/>
    <w:rsid w:val="00F1302E"/>
    <w:rsid w:val="00F1311B"/>
    <w:rsid w:val="00F13324"/>
    <w:rsid w:val="00F13384"/>
    <w:rsid w:val="00F135C3"/>
    <w:rsid w:val="00F135C5"/>
    <w:rsid w:val="00F13602"/>
    <w:rsid w:val="00F1369A"/>
    <w:rsid w:val="00F137BA"/>
    <w:rsid w:val="00F13A50"/>
    <w:rsid w:val="00F13CE7"/>
    <w:rsid w:val="00F13CF6"/>
    <w:rsid w:val="00F13D07"/>
    <w:rsid w:val="00F13DAA"/>
    <w:rsid w:val="00F1401E"/>
    <w:rsid w:val="00F140E3"/>
    <w:rsid w:val="00F14332"/>
    <w:rsid w:val="00F143E3"/>
    <w:rsid w:val="00F14485"/>
    <w:rsid w:val="00F145B0"/>
    <w:rsid w:val="00F14652"/>
    <w:rsid w:val="00F14854"/>
    <w:rsid w:val="00F148B9"/>
    <w:rsid w:val="00F14A4A"/>
    <w:rsid w:val="00F14AA9"/>
    <w:rsid w:val="00F14C17"/>
    <w:rsid w:val="00F14D8A"/>
    <w:rsid w:val="00F14DD3"/>
    <w:rsid w:val="00F1505B"/>
    <w:rsid w:val="00F153ED"/>
    <w:rsid w:val="00F157DF"/>
    <w:rsid w:val="00F15CA1"/>
    <w:rsid w:val="00F15D33"/>
    <w:rsid w:val="00F15D5D"/>
    <w:rsid w:val="00F15F97"/>
    <w:rsid w:val="00F15FD0"/>
    <w:rsid w:val="00F166A3"/>
    <w:rsid w:val="00F1689D"/>
    <w:rsid w:val="00F16D9F"/>
    <w:rsid w:val="00F16E8D"/>
    <w:rsid w:val="00F16F9B"/>
    <w:rsid w:val="00F175F8"/>
    <w:rsid w:val="00F176C0"/>
    <w:rsid w:val="00F178E5"/>
    <w:rsid w:val="00F17C4B"/>
    <w:rsid w:val="00F200B6"/>
    <w:rsid w:val="00F200BB"/>
    <w:rsid w:val="00F20119"/>
    <w:rsid w:val="00F20185"/>
    <w:rsid w:val="00F201ED"/>
    <w:rsid w:val="00F203F5"/>
    <w:rsid w:val="00F206D4"/>
    <w:rsid w:val="00F20A82"/>
    <w:rsid w:val="00F20F7A"/>
    <w:rsid w:val="00F215BC"/>
    <w:rsid w:val="00F21769"/>
    <w:rsid w:val="00F219E3"/>
    <w:rsid w:val="00F22184"/>
    <w:rsid w:val="00F2238C"/>
    <w:rsid w:val="00F22419"/>
    <w:rsid w:val="00F22446"/>
    <w:rsid w:val="00F228A3"/>
    <w:rsid w:val="00F229B3"/>
    <w:rsid w:val="00F22F7A"/>
    <w:rsid w:val="00F22FBD"/>
    <w:rsid w:val="00F231F1"/>
    <w:rsid w:val="00F2346F"/>
    <w:rsid w:val="00F23725"/>
    <w:rsid w:val="00F23A02"/>
    <w:rsid w:val="00F23A50"/>
    <w:rsid w:val="00F23B91"/>
    <w:rsid w:val="00F23E56"/>
    <w:rsid w:val="00F23FE8"/>
    <w:rsid w:val="00F24152"/>
    <w:rsid w:val="00F241BB"/>
    <w:rsid w:val="00F244AE"/>
    <w:rsid w:val="00F244C1"/>
    <w:rsid w:val="00F24626"/>
    <w:rsid w:val="00F24723"/>
    <w:rsid w:val="00F2476C"/>
    <w:rsid w:val="00F24902"/>
    <w:rsid w:val="00F24930"/>
    <w:rsid w:val="00F24A4B"/>
    <w:rsid w:val="00F24ADF"/>
    <w:rsid w:val="00F24CCD"/>
    <w:rsid w:val="00F24D76"/>
    <w:rsid w:val="00F24E2F"/>
    <w:rsid w:val="00F24F83"/>
    <w:rsid w:val="00F24FCF"/>
    <w:rsid w:val="00F2506F"/>
    <w:rsid w:val="00F251AF"/>
    <w:rsid w:val="00F25307"/>
    <w:rsid w:val="00F25336"/>
    <w:rsid w:val="00F2549E"/>
    <w:rsid w:val="00F2552A"/>
    <w:rsid w:val="00F25A0B"/>
    <w:rsid w:val="00F25BB6"/>
    <w:rsid w:val="00F25C51"/>
    <w:rsid w:val="00F26188"/>
    <w:rsid w:val="00F262E0"/>
    <w:rsid w:val="00F263CF"/>
    <w:rsid w:val="00F26442"/>
    <w:rsid w:val="00F26445"/>
    <w:rsid w:val="00F26B46"/>
    <w:rsid w:val="00F26C9F"/>
    <w:rsid w:val="00F26CB2"/>
    <w:rsid w:val="00F2748F"/>
    <w:rsid w:val="00F276A6"/>
    <w:rsid w:val="00F27830"/>
    <w:rsid w:val="00F278C1"/>
    <w:rsid w:val="00F27A0B"/>
    <w:rsid w:val="00F27E05"/>
    <w:rsid w:val="00F30487"/>
    <w:rsid w:val="00F306AE"/>
    <w:rsid w:val="00F30935"/>
    <w:rsid w:val="00F309AB"/>
    <w:rsid w:val="00F30BAF"/>
    <w:rsid w:val="00F30C8F"/>
    <w:rsid w:val="00F312F4"/>
    <w:rsid w:val="00F3160C"/>
    <w:rsid w:val="00F31709"/>
    <w:rsid w:val="00F3196D"/>
    <w:rsid w:val="00F319C6"/>
    <w:rsid w:val="00F31CB6"/>
    <w:rsid w:val="00F31FA8"/>
    <w:rsid w:val="00F32042"/>
    <w:rsid w:val="00F32269"/>
    <w:rsid w:val="00F322EC"/>
    <w:rsid w:val="00F3279C"/>
    <w:rsid w:val="00F32937"/>
    <w:rsid w:val="00F32961"/>
    <w:rsid w:val="00F32C05"/>
    <w:rsid w:val="00F32C6E"/>
    <w:rsid w:val="00F32DD2"/>
    <w:rsid w:val="00F32E9F"/>
    <w:rsid w:val="00F32F3F"/>
    <w:rsid w:val="00F32F7D"/>
    <w:rsid w:val="00F3320E"/>
    <w:rsid w:val="00F3329F"/>
    <w:rsid w:val="00F33715"/>
    <w:rsid w:val="00F33766"/>
    <w:rsid w:val="00F33836"/>
    <w:rsid w:val="00F3383D"/>
    <w:rsid w:val="00F33B74"/>
    <w:rsid w:val="00F33C18"/>
    <w:rsid w:val="00F33C6E"/>
    <w:rsid w:val="00F33C72"/>
    <w:rsid w:val="00F33FA1"/>
    <w:rsid w:val="00F34459"/>
    <w:rsid w:val="00F3465C"/>
    <w:rsid w:val="00F349BB"/>
    <w:rsid w:val="00F34A99"/>
    <w:rsid w:val="00F34EA2"/>
    <w:rsid w:val="00F34EF2"/>
    <w:rsid w:val="00F34F70"/>
    <w:rsid w:val="00F3505A"/>
    <w:rsid w:val="00F35091"/>
    <w:rsid w:val="00F3512E"/>
    <w:rsid w:val="00F3520C"/>
    <w:rsid w:val="00F35562"/>
    <w:rsid w:val="00F3563E"/>
    <w:rsid w:val="00F3596C"/>
    <w:rsid w:val="00F35A04"/>
    <w:rsid w:val="00F35A07"/>
    <w:rsid w:val="00F35A4C"/>
    <w:rsid w:val="00F35B45"/>
    <w:rsid w:val="00F35B67"/>
    <w:rsid w:val="00F35BCD"/>
    <w:rsid w:val="00F35BF0"/>
    <w:rsid w:val="00F35BF4"/>
    <w:rsid w:val="00F35C46"/>
    <w:rsid w:val="00F362A0"/>
    <w:rsid w:val="00F363DF"/>
    <w:rsid w:val="00F365E7"/>
    <w:rsid w:val="00F3665B"/>
    <w:rsid w:val="00F368FA"/>
    <w:rsid w:val="00F36BFD"/>
    <w:rsid w:val="00F36C21"/>
    <w:rsid w:val="00F36DC2"/>
    <w:rsid w:val="00F3706E"/>
    <w:rsid w:val="00F3754F"/>
    <w:rsid w:val="00F3756D"/>
    <w:rsid w:val="00F375E5"/>
    <w:rsid w:val="00F375FA"/>
    <w:rsid w:val="00F3760D"/>
    <w:rsid w:val="00F377A5"/>
    <w:rsid w:val="00F3792A"/>
    <w:rsid w:val="00F37982"/>
    <w:rsid w:val="00F37CB5"/>
    <w:rsid w:val="00F37D04"/>
    <w:rsid w:val="00F37DAB"/>
    <w:rsid w:val="00F37E65"/>
    <w:rsid w:val="00F37F40"/>
    <w:rsid w:val="00F37FA7"/>
    <w:rsid w:val="00F40478"/>
    <w:rsid w:val="00F40539"/>
    <w:rsid w:val="00F40734"/>
    <w:rsid w:val="00F40AFD"/>
    <w:rsid w:val="00F40C4A"/>
    <w:rsid w:val="00F40E3A"/>
    <w:rsid w:val="00F4100C"/>
    <w:rsid w:val="00F41116"/>
    <w:rsid w:val="00F416CA"/>
    <w:rsid w:val="00F41811"/>
    <w:rsid w:val="00F419EC"/>
    <w:rsid w:val="00F41BC0"/>
    <w:rsid w:val="00F41C17"/>
    <w:rsid w:val="00F41E08"/>
    <w:rsid w:val="00F41E51"/>
    <w:rsid w:val="00F41EF1"/>
    <w:rsid w:val="00F41F29"/>
    <w:rsid w:val="00F4234C"/>
    <w:rsid w:val="00F423DA"/>
    <w:rsid w:val="00F425FE"/>
    <w:rsid w:val="00F4266F"/>
    <w:rsid w:val="00F42843"/>
    <w:rsid w:val="00F42880"/>
    <w:rsid w:val="00F42985"/>
    <w:rsid w:val="00F429E2"/>
    <w:rsid w:val="00F42B47"/>
    <w:rsid w:val="00F42C51"/>
    <w:rsid w:val="00F42EAC"/>
    <w:rsid w:val="00F431B8"/>
    <w:rsid w:val="00F433ED"/>
    <w:rsid w:val="00F43405"/>
    <w:rsid w:val="00F43425"/>
    <w:rsid w:val="00F43439"/>
    <w:rsid w:val="00F43441"/>
    <w:rsid w:val="00F43481"/>
    <w:rsid w:val="00F43600"/>
    <w:rsid w:val="00F439F2"/>
    <w:rsid w:val="00F43B67"/>
    <w:rsid w:val="00F43CDD"/>
    <w:rsid w:val="00F43D94"/>
    <w:rsid w:val="00F44571"/>
    <w:rsid w:val="00F44627"/>
    <w:rsid w:val="00F44865"/>
    <w:rsid w:val="00F44879"/>
    <w:rsid w:val="00F44895"/>
    <w:rsid w:val="00F44914"/>
    <w:rsid w:val="00F44AA2"/>
    <w:rsid w:val="00F44EBD"/>
    <w:rsid w:val="00F44F34"/>
    <w:rsid w:val="00F44F9B"/>
    <w:rsid w:val="00F4524E"/>
    <w:rsid w:val="00F4536E"/>
    <w:rsid w:val="00F45516"/>
    <w:rsid w:val="00F455D5"/>
    <w:rsid w:val="00F45632"/>
    <w:rsid w:val="00F4573C"/>
    <w:rsid w:val="00F4584B"/>
    <w:rsid w:val="00F45B87"/>
    <w:rsid w:val="00F45F0D"/>
    <w:rsid w:val="00F461D7"/>
    <w:rsid w:val="00F46379"/>
    <w:rsid w:val="00F4642C"/>
    <w:rsid w:val="00F4667E"/>
    <w:rsid w:val="00F4675D"/>
    <w:rsid w:val="00F4680D"/>
    <w:rsid w:val="00F46C02"/>
    <w:rsid w:val="00F46DEF"/>
    <w:rsid w:val="00F46DFF"/>
    <w:rsid w:val="00F46EE8"/>
    <w:rsid w:val="00F4731F"/>
    <w:rsid w:val="00F476B2"/>
    <w:rsid w:val="00F476CB"/>
    <w:rsid w:val="00F4773B"/>
    <w:rsid w:val="00F4787C"/>
    <w:rsid w:val="00F47C47"/>
    <w:rsid w:val="00F47C56"/>
    <w:rsid w:val="00F47DF1"/>
    <w:rsid w:val="00F47F85"/>
    <w:rsid w:val="00F47F9D"/>
    <w:rsid w:val="00F47FF9"/>
    <w:rsid w:val="00F50071"/>
    <w:rsid w:val="00F50085"/>
    <w:rsid w:val="00F5019A"/>
    <w:rsid w:val="00F506BA"/>
    <w:rsid w:val="00F50752"/>
    <w:rsid w:val="00F50773"/>
    <w:rsid w:val="00F507FE"/>
    <w:rsid w:val="00F5099A"/>
    <w:rsid w:val="00F50A1E"/>
    <w:rsid w:val="00F51002"/>
    <w:rsid w:val="00F51285"/>
    <w:rsid w:val="00F5139A"/>
    <w:rsid w:val="00F51486"/>
    <w:rsid w:val="00F51563"/>
    <w:rsid w:val="00F5169A"/>
    <w:rsid w:val="00F517F3"/>
    <w:rsid w:val="00F51D11"/>
    <w:rsid w:val="00F51EAF"/>
    <w:rsid w:val="00F51F93"/>
    <w:rsid w:val="00F526A9"/>
    <w:rsid w:val="00F526C0"/>
    <w:rsid w:val="00F527A3"/>
    <w:rsid w:val="00F529A2"/>
    <w:rsid w:val="00F52A1E"/>
    <w:rsid w:val="00F52C78"/>
    <w:rsid w:val="00F52E50"/>
    <w:rsid w:val="00F52F2D"/>
    <w:rsid w:val="00F52F77"/>
    <w:rsid w:val="00F5321E"/>
    <w:rsid w:val="00F536F8"/>
    <w:rsid w:val="00F536FC"/>
    <w:rsid w:val="00F5383D"/>
    <w:rsid w:val="00F53A25"/>
    <w:rsid w:val="00F53B86"/>
    <w:rsid w:val="00F53DF1"/>
    <w:rsid w:val="00F5457B"/>
    <w:rsid w:val="00F547DF"/>
    <w:rsid w:val="00F5490F"/>
    <w:rsid w:val="00F54A42"/>
    <w:rsid w:val="00F54DB3"/>
    <w:rsid w:val="00F55259"/>
    <w:rsid w:val="00F552F0"/>
    <w:rsid w:val="00F55352"/>
    <w:rsid w:val="00F555C4"/>
    <w:rsid w:val="00F55878"/>
    <w:rsid w:val="00F558D8"/>
    <w:rsid w:val="00F55982"/>
    <w:rsid w:val="00F55A02"/>
    <w:rsid w:val="00F55A7F"/>
    <w:rsid w:val="00F55AB9"/>
    <w:rsid w:val="00F55C77"/>
    <w:rsid w:val="00F55DEC"/>
    <w:rsid w:val="00F55E83"/>
    <w:rsid w:val="00F55FA4"/>
    <w:rsid w:val="00F56000"/>
    <w:rsid w:val="00F5612A"/>
    <w:rsid w:val="00F5615E"/>
    <w:rsid w:val="00F56177"/>
    <w:rsid w:val="00F561A7"/>
    <w:rsid w:val="00F562E7"/>
    <w:rsid w:val="00F56470"/>
    <w:rsid w:val="00F5661F"/>
    <w:rsid w:val="00F5674E"/>
    <w:rsid w:val="00F56896"/>
    <w:rsid w:val="00F57036"/>
    <w:rsid w:val="00F5712A"/>
    <w:rsid w:val="00F571EE"/>
    <w:rsid w:val="00F5797A"/>
    <w:rsid w:val="00F57AB5"/>
    <w:rsid w:val="00F57B22"/>
    <w:rsid w:val="00F57C39"/>
    <w:rsid w:val="00F57CED"/>
    <w:rsid w:val="00F57D71"/>
    <w:rsid w:val="00F57D9D"/>
    <w:rsid w:val="00F57E2B"/>
    <w:rsid w:val="00F605D4"/>
    <w:rsid w:val="00F6061C"/>
    <w:rsid w:val="00F606C0"/>
    <w:rsid w:val="00F607FF"/>
    <w:rsid w:val="00F60E8C"/>
    <w:rsid w:val="00F60F1A"/>
    <w:rsid w:val="00F6100C"/>
    <w:rsid w:val="00F611D0"/>
    <w:rsid w:val="00F6120A"/>
    <w:rsid w:val="00F61625"/>
    <w:rsid w:val="00F616FF"/>
    <w:rsid w:val="00F618A2"/>
    <w:rsid w:val="00F61B4B"/>
    <w:rsid w:val="00F61C63"/>
    <w:rsid w:val="00F620CB"/>
    <w:rsid w:val="00F6225B"/>
    <w:rsid w:val="00F62306"/>
    <w:rsid w:val="00F623B5"/>
    <w:rsid w:val="00F624FE"/>
    <w:rsid w:val="00F628F5"/>
    <w:rsid w:val="00F62D69"/>
    <w:rsid w:val="00F62EC2"/>
    <w:rsid w:val="00F62F54"/>
    <w:rsid w:val="00F630F4"/>
    <w:rsid w:val="00F631D0"/>
    <w:rsid w:val="00F63428"/>
    <w:rsid w:val="00F6362A"/>
    <w:rsid w:val="00F6368D"/>
    <w:rsid w:val="00F637FC"/>
    <w:rsid w:val="00F63B5D"/>
    <w:rsid w:val="00F63F1B"/>
    <w:rsid w:val="00F64234"/>
    <w:rsid w:val="00F64321"/>
    <w:rsid w:val="00F64373"/>
    <w:rsid w:val="00F644E2"/>
    <w:rsid w:val="00F645F3"/>
    <w:rsid w:val="00F647AE"/>
    <w:rsid w:val="00F64875"/>
    <w:rsid w:val="00F648CC"/>
    <w:rsid w:val="00F64979"/>
    <w:rsid w:val="00F64CD1"/>
    <w:rsid w:val="00F64F12"/>
    <w:rsid w:val="00F65144"/>
    <w:rsid w:val="00F65153"/>
    <w:rsid w:val="00F651E0"/>
    <w:rsid w:val="00F65368"/>
    <w:rsid w:val="00F65491"/>
    <w:rsid w:val="00F65548"/>
    <w:rsid w:val="00F6587D"/>
    <w:rsid w:val="00F659F7"/>
    <w:rsid w:val="00F65B18"/>
    <w:rsid w:val="00F65B60"/>
    <w:rsid w:val="00F65CC3"/>
    <w:rsid w:val="00F65ECE"/>
    <w:rsid w:val="00F66486"/>
    <w:rsid w:val="00F66544"/>
    <w:rsid w:val="00F66680"/>
    <w:rsid w:val="00F66964"/>
    <w:rsid w:val="00F66C12"/>
    <w:rsid w:val="00F66D67"/>
    <w:rsid w:val="00F672FD"/>
    <w:rsid w:val="00F6731B"/>
    <w:rsid w:val="00F67462"/>
    <w:rsid w:val="00F67574"/>
    <w:rsid w:val="00F675E9"/>
    <w:rsid w:val="00F67C12"/>
    <w:rsid w:val="00F67C70"/>
    <w:rsid w:val="00F67D10"/>
    <w:rsid w:val="00F67E85"/>
    <w:rsid w:val="00F67EF7"/>
    <w:rsid w:val="00F67FBD"/>
    <w:rsid w:val="00F70140"/>
    <w:rsid w:val="00F702F9"/>
    <w:rsid w:val="00F703DE"/>
    <w:rsid w:val="00F70629"/>
    <w:rsid w:val="00F7071A"/>
    <w:rsid w:val="00F70958"/>
    <w:rsid w:val="00F70A19"/>
    <w:rsid w:val="00F70AB9"/>
    <w:rsid w:val="00F70AF7"/>
    <w:rsid w:val="00F70E66"/>
    <w:rsid w:val="00F70F9A"/>
    <w:rsid w:val="00F7111D"/>
    <w:rsid w:val="00F711CC"/>
    <w:rsid w:val="00F712BB"/>
    <w:rsid w:val="00F7149D"/>
    <w:rsid w:val="00F71502"/>
    <w:rsid w:val="00F7170D"/>
    <w:rsid w:val="00F71731"/>
    <w:rsid w:val="00F71870"/>
    <w:rsid w:val="00F7196C"/>
    <w:rsid w:val="00F7197A"/>
    <w:rsid w:val="00F71BDA"/>
    <w:rsid w:val="00F71D3D"/>
    <w:rsid w:val="00F71EE1"/>
    <w:rsid w:val="00F71EF6"/>
    <w:rsid w:val="00F720D7"/>
    <w:rsid w:val="00F722C0"/>
    <w:rsid w:val="00F725D9"/>
    <w:rsid w:val="00F7270A"/>
    <w:rsid w:val="00F729FA"/>
    <w:rsid w:val="00F72B6D"/>
    <w:rsid w:val="00F72CA9"/>
    <w:rsid w:val="00F72ED3"/>
    <w:rsid w:val="00F72F47"/>
    <w:rsid w:val="00F7329D"/>
    <w:rsid w:val="00F7336F"/>
    <w:rsid w:val="00F73459"/>
    <w:rsid w:val="00F73719"/>
    <w:rsid w:val="00F7382F"/>
    <w:rsid w:val="00F73D7A"/>
    <w:rsid w:val="00F740F4"/>
    <w:rsid w:val="00F743E5"/>
    <w:rsid w:val="00F744F0"/>
    <w:rsid w:val="00F74502"/>
    <w:rsid w:val="00F747D5"/>
    <w:rsid w:val="00F74808"/>
    <w:rsid w:val="00F7496C"/>
    <w:rsid w:val="00F74A51"/>
    <w:rsid w:val="00F74F86"/>
    <w:rsid w:val="00F75142"/>
    <w:rsid w:val="00F752E3"/>
    <w:rsid w:val="00F7541B"/>
    <w:rsid w:val="00F7542E"/>
    <w:rsid w:val="00F75800"/>
    <w:rsid w:val="00F75B18"/>
    <w:rsid w:val="00F75CF5"/>
    <w:rsid w:val="00F75E2D"/>
    <w:rsid w:val="00F75ED7"/>
    <w:rsid w:val="00F761F5"/>
    <w:rsid w:val="00F76226"/>
    <w:rsid w:val="00F76328"/>
    <w:rsid w:val="00F76583"/>
    <w:rsid w:val="00F765BB"/>
    <w:rsid w:val="00F765D0"/>
    <w:rsid w:val="00F76702"/>
    <w:rsid w:val="00F7680B"/>
    <w:rsid w:val="00F76FD7"/>
    <w:rsid w:val="00F77019"/>
    <w:rsid w:val="00F771EB"/>
    <w:rsid w:val="00F772F4"/>
    <w:rsid w:val="00F77586"/>
    <w:rsid w:val="00F775B9"/>
    <w:rsid w:val="00F7765A"/>
    <w:rsid w:val="00F777CD"/>
    <w:rsid w:val="00F77805"/>
    <w:rsid w:val="00F778BE"/>
    <w:rsid w:val="00F77CE6"/>
    <w:rsid w:val="00F77E2E"/>
    <w:rsid w:val="00F77F4A"/>
    <w:rsid w:val="00F80022"/>
    <w:rsid w:val="00F800C7"/>
    <w:rsid w:val="00F801F8"/>
    <w:rsid w:val="00F804CB"/>
    <w:rsid w:val="00F807FD"/>
    <w:rsid w:val="00F808F4"/>
    <w:rsid w:val="00F80B7B"/>
    <w:rsid w:val="00F80D28"/>
    <w:rsid w:val="00F80D95"/>
    <w:rsid w:val="00F80E33"/>
    <w:rsid w:val="00F80F4F"/>
    <w:rsid w:val="00F81037"/>
    <w:rsid w:val="00F810B3"/>
    <w:rsid w:val="00F815C2"/>
    <w:rsid w:val="00F81ACD"/>
    <w:rsid w:val="00F81B1C"/>
    <w:rsid w:val="00F81BA4"/>
    <w:rsid w:val="00F81D44"/>
    <w:rsid w:val="00F8210A"/>
    <w:rsid w:val="00F82373"/>
    <w:rsid w:val="00F824F1"/>
    <w:rsid w:val="00F825FB"/>
    <w:rsid w:val="00F8269B"/>
    <w:rsid w:val="00F828E5"/>
    <w:rsid w:val="00F829E3"/>
    <w:rsid w:val="00F82C66"/>
    <w:rsid w:val="00F82D18"/>
    <w:rsid w:val="00F83169"/>
    <w:rsid w:val="00F837A7"/>
    <w:rsid w:val="00F83A79"/>
    <w:rsid w:val="00F83A8A"/>
    <w:rsid w:val="00F83A96"/>
    <w:rsid w:val="00F83B54"/>
    <w:rsid w:val="00F83BCD"/>
    <w:rsid w:val="00F83D81"/>
    <w:rsid w:val="00F83EB0"/>
    <w:rsid w:val="00F83FEC"/>
    <w:rsid w:val="00F840C0"/>
    <w:rsid w:val="00F843F8"/>
    <w:rsid w:val="00F845CE"/>
    <w:rsid w:val="00F84655"/>
    <w:rsid w:val="00F84AB6"/>
    <w:rsid w:val="00F84CEE"/>
    <w:rsid w:val="00F84F74"/>
    <w:rsid w:val="00F8504B"/>
    <w:rsid w:val="00F8507D"/>
    <w:rsid w:val="00F852B9"/>
    <w:rsid w:val="00F85645"/>
    <w:rsid w:val="00F85741"/>
    <w:rsid w:val="00F85826"/>
    <w:rsid w:val="00F85CB3"/>
    <w:rsid w:val="00F85CD9"/>
    <w:rsid w:val="00F85D47"/>
    <w:rsid w:val="00F85E65"/>
    <w:rsid w:val="00F8633A"/>
    <w:rsid w:val="00F86376"/>
    <w:rsid w:val="00F865C0"/>
    <w:rsid w:val="00F8662C"/>
    <w:rsid w:val="00F8668F"/>
    <w:rsid w:val="00F86797"/>
    <w:rsid w:val="00F8681C"/>
    <w:rsid w:val="00F86BD8"/>
    <w:rsid w:val="00F86BEA"/>
    <w:rsid w:val="00F86D38"/>
    <w:rsid w:val="00F87022"/>
    <w:rsid w:val="00F87164"/>
    <w:rsid w:val="00F8718B"/>
    <w:rsid w:val="00F87346"/>
    <w:rsid w:val="00F8743F"/>
    <w:rsid w:val="00F87651"/>
    <w:rsid w:val="00F876FD"/>
    <w:rsid w:val="00F87768"/>
    <w:rsid w:val="00F87888"/>
    <w:rsid w:val="00F87911"/>
    <w:rsid w:val="00F87C34"/>
    <w:rsid w:val="00F87E7B"/>
    <w:rsid w:val="00F90045"/>
    <w:rsid w:val="00F90082"/>
    <w:rsid w:val="00F901C7"/>
    <w:rsid w:val="00F902F2"/>
    <w:rsid w:val="00F9039A"/>
    <w:rsid w:val="00F9042B"/>
    <w:rsid w:val="00F90457"/>
    <w:rsid w:val="00F90832"/>
    <w:rsid w:val="00F9090D"/>
    <w:rsid w:val="00F90D2A"/>
    <w:rsid w:val="00F90EB3"/>
    <w:rsid w:val="00F91038"/>
    <w:rsid w:val="00F91481"/>
    <w:rsid w:val="00F916C7"/>
    <w:rsid w:val="00F91B4B"/>
    <w:rsid w:val="00F91EC5"/>
    <w:rsid w:val="00F91FA0"/>
    <w:rsid w:val="00F9201E"/>
    <w:rsid w:val="00F92275"/>
    <w:rsid w:val="00F92490"/>
    <w:rsid w:val="00F924AA"/>
    <w:rsid w:val="00F92778"/>
    <w:rsid w:val="00F927EE"/>
    <w:rsid w:val="00F92828"/>
    <w:rsid w:val="00F92931"/>
    <w:rsid w:val="00F92993"/>
    <w:rsid w:val="00F929D9"/>
    <w:rsid w:val="00F92CAF"/>
    <w:rsid w:val="00F92DAF"/>
    <w:rsid w:val="00F92E0B"/>
    <w:rsid w:val="00F92F8D"/>
    <w:rsid w:val="00F92FCD"/>
    <w:rsid w:val="00F93402"/>
    <w:rsid w:val="00F93431"/>
    <w:rsid w:val="00F934E9"/>
    <w:rsid w:val="00F93534"/>
    <w:rsid w:val="00F935A4"/>
    <w:rsid w:val="00F93A09"/>
    <w:rsid w:val="00F93B69"/>
    <w:rsid w:val="00F93BB1"/>
    <w:rsid w:val="00F93C1B"/>
    <w:rsid w:val="00F93D9F"/>
    <w:rsid w:val="00F94015"/>
    <w:rsid w:val="00F940D2"/>
    <w:rsid w:val="00F94170"/>
    <w:rsid w:val="00F94246"/>
    <w:rsid w:val="00F944A4"/>
    <w:rsid w:val="00F945F9"/>
    <w:rsid w:val="00F946BA"/>
    <w:rsid w:val="00F94716"/>
    <w:rsid w:val="00F94916"/>
    <w:rsid w:val="00F94AE2"/>
    <w:rsid w:val="00F94CBF"/>
    <w:rsid w:val="00F951D0"/>
    <w:rsid w:val="00F95477"/>
    <w:rsid w:val="00F954B5"/>
    <w:rsid w:val="00F955BA"/>
    <w:rsid w:val="00F95705"/>
    <w:rsid w:val="00F9591D"/>
    <w:rsid w:val="00F95A53"/>
    <w:rsid w:val="00F95B4D"/>
    <w:rsid w:val="00F95BEA"/>
    <w:rsid w:val="00F95C08"/>
    <w:rsid w:val="00F9603D"/>
    <w:rsid w:val="00F9616C"/>
    <w:rsid w:val="00F961AF"/>
    <w:rsid w:val="00F96371"/>
    <w:rsid w:val="00F9643C"/>
    <w:rsid w:val="00F964D3"/>
    <w:rsid w:val="00F966D2"/>
    <w:rsid w:val="00F967A5"/>
    <w:rsid w:val="00F96A2F"/>
    <w:rsid w:val="00F96B46"/>
    <w:rsid w:val="00F96B49"/>
    <w:rsid w:val="00F96D10"/>
    <w:rsid w:val="00F96EC2"/>
    <w:rsid w:val="00F96FDA"/>
    <w:rsid w:val="00F971FB"/>
    <w:rsid w:val="00F972A0"/>
    <w:rsid w:val="00F9756D"/>
    <w:rsid w:val="00F97810"/>
    <w:rsid w:val="00F97F00"/>
    <w:rsid w:val="00F97F44"/>
    <w:rsid w:val="00FA03B6"/>
    <w:rsid w:val="00FA06DD"/>
    <w:rsid w:val="00FA073B"/>
    <w:rsid w:val="00FA0A6F"/>
    <w:rsid w:val="00FA0B09"/>
    <w:rsid w:val="00FA0B22"/>
    <w:rsid w:val="00FA0CD0"/>
    <w:rsid w:val="00FA0D33"/>
    <w:rsid w:val="00FA0DDE"/>
    <w:rsid w:val="00FA0E2B"/>
    <w:rsid w:val="00FA0ECE"/>
    <w:rsid w:val="00FA108B"/>
    <w:rsid w:val="00FA1278"/>
    <w:rsid w:val="00FA173A"/>
    <w:rsid w:val="00FA1BA5"/>
    <w:rsid w:val="00FA1D3A"/>
    <w:rsid w:val="00FA2082"/>
    <w:rsid w:val="00FA2249"/>
    <w:rsid w:val="00FA22B2"/>
    <w:rsid w:val="00FA2CA8"/>
    <w:rsid w:val="00FA3105"/>
    <w:rsid w:val="00FA34F7"/>
    <w:rsid w:val="00FA368E"/>
    <w:rsid w:val="00FA375D"/>
    <w:rsid w:val="00FA3776"/>
    <w:rsid w:val="00FA37E9"/>
    <w:rsid w:val="00FA38D0"/>
    <w:rsid w:val="00FA3A79"/>
    <w:rsid w:val="00FA3ACC"/>
    <w:rsid w:val="00FA3DAA"/>
    <w:rsid w:val="00FA3EDE"/>
    <w:rsid w:val="00FA3F06"/>
    <w:rsid w:val="00FA3F97"/>
    <w:rsid w:val="00FA402C"/>
    <w:rsid w:val="00FA4254"/>
    <w:rsid w:val="00FA4283"/>
    <w:rsid w:val="00FA428D"/>
    <w:rsid w:val="00FA4410"/>
    <w:rsid w:val="00FA477E"/>
    <w:rsid w:val="00FA495B"/>
    <w:rsid w:val="00FA4FBB"/>
    <w:rsid w:val="00FA50CD"/>
    <w:rsid w:val="00FA50D0"/>
    <w:rsid w:val="00FA511D"/>
    <w:rsid w:val="00FA54D8"/>
    <w:rsid w:val="00FA555E"/>
    <w:rsid w:val="00FA581F"/>
    <w:rsid w:val="00FA5900"/>
    <w:rsid w:val="00FA5A19"/>
    <w:rsid w:val="00FA5C3D"/>
    <w:rsid w:val="00FA6001"/>
    <w:rsid w:val="00FA6147"/>
    <w:rsid w:val="00FA61EF"/>
    <w:rsid w:val="00FA6366"/>
    <w:rsid w:val="00FA636F"/>
    <w:rsid w:val="00FA642D"/>
    <w:rsid w:val="00FA658C"/>
    <w:rsid w:val="00FA65AE"/>
    <w:rsid w:val="00FA6711"/>
    <w:rsid w:val="00FA6713"/>
    <w:rsid w:val="00FA675C"/>
    <w:rsid w:val="00FA67B6"/>
    <w:rsid w:val="00FA6AA9"/>
    <w:rsid w:val="00FA6B9F"/>
    <w:rsid w:val="00FA6C21"/>
    <w:rsid w:val="00FA6CFB"/>
    <w:rsid w:val="00FA6DA6"/>
    <w:rsid w:val="00FA7048"/>
    <w:rsid w:val="00FA7107"/>
    <w:rsid w:val="00FA72C3"/>
    <w:rsid w:val="00FA743C"/>
    <w:rsid w:val="00FA7555"/>
    <w:rsid w:val="00FA782F"/>
    <w:rsid w:val="00FA799A"/>
    <w:rsid w:val="00FA7B08"/>
    <w:rsid w:val="00FA7B0C"/>
    <w:rsid w:val="00FA7B7F"/>
    <w:rsid w:val="00FA7C13"/>
    <w:rsid w:val="00FA7E96"/>
    <w:rsid w:val="00FA7EBC"/>
    <w:rsid w:val="00FB006B"/>
    <w:rsid w:val="00FB0490"/>
    <w:rsid w:val="00FB04CA"/>
    <w:rsid w:val="00FB04F5"/>
    <w:rsid w:val="00FB06C7"/>
    <w:rsid w:val="00FB0752"/>
    <w:rsid w:val="00FB0ABB"/>
    <w:rsid w:val="00FB0AE1"/>
    <w:rsid w:val="00FB0E95"/>
    <w:rsid w:val="00FB10B8"/>
    <w:rsid w:val="00FB1490"/>
    <w:rsid w:val="00FB14E5"/>
    <w:rsid w:val="00FB175A"/>
    <w:rsid w:val="00FB1970"/>
    <w:rsid w:val="00FB1979"/>
    <w:rsid w:val="00FB198A"/>
    <w:rsid w:val="00FB1A50"/>
    <w:rsid w:val="00FB1D64"/>
    <w:rsid w:val="00FB1D8F"/>
    <w:rsid w:val="00FB1FBD"/>
    <w:rsid w:val="00FB2083"/>
    <w:rsid w:val="00FB20B3"/>
    <w:rsid w:val="00FB22B8"/>
    <w:rsid w:val="00FB2541"/>
    <w:rsid w:val="00FB2B35"/>
    <w:rsid w:val="00FB2BF7"/>
    <w:rsid w:val="00FB2C7E"/>
    <w:rsid w:val="00FB2D36"/>
    <w:rsid w:val="00FB2DB3"/>
    <w:rsid w:val="00FB2EA6"/>
    <w:rsid w:val="00FB2EBE"/>
    <w:rsid w:val="00FB34B0"/>
    <w:rsid w:val="00FB34CC"/>
    <w:rsid w:val="00FB35D9"/>
    <w:rsid w:val="00FB3B0D"/>
    <w:rsid w:val="00FB3B74"/>
    <w:rsid w:val="00FB3FEB"/>
    <w:rsid w:val="00FB400D"/>
    <w:rsid w:val="00FB424D"/>
    <w:rsid w:val="00FB43C8"/>
    <w:rsid w:val="00FB45C6"/>
    <w:rsid w:val="00FB47B7"/>
    <w:rsid w:val="00FB4838"/>
    <w:rsid w:val="00FB4927"/>
    <w:rsid w:val="00FB4C77"/>
    <w:rsid w:val="00FB4D0A"/>
    <w:rsid w:val="00FB4DA6"/>
    <w:rsid w:val="00FB4E5F"/>
    <w:rsid w:val="00FB4F1A"/>
    <w:rsid w:val="00FB4FD5"/>
    <w:rsid w:val="00FB4FEC"/>
    <w:rsid w:val="00FB5092"/>
    <w:rsid w:val="00FB50EA"/>
    <w:rsid w:val="00FB5116"/>
    <w:rsid w:val="00FB5211"/>
    <w:rsid w:val="00FB522F"/>
    <w:rsid w:val="00FB53C6"/>
    <w:rsid w:val="00FB5484"/>
    <w:rsid w:val="00FB553E"/>
    <w:rsid w:val="00FB56C0"/>
    <w:rsid w:val="00FB5719"/>
    <w:rsid w:val="00FB5B93"/>
    <w:rsid w:val="00FB5F63"/>
    <w:rsid w:val="00FB60CF"/>
    <w:rsid w:val="00FB612C"/>
    <w:rsid w:val="00FB62FB"/>
    <w:rsid w:val="00FB6388"/>
    <w:rsid w:val="00FB6398"/>
    <w:rsid w:val="00FB6567"/>
    <w:rsid w:val="00FB65A2"/>
    <w:rsid w:val="00FB6715"/>
    <w:rsid w:val="00FB69D7"/>
    <w:rsid w:val="00FB6A76"/>
    <w:rsid w:val="00FB6CB3"/>
    <w:rsid w:val="00FB6DA4"/>
    <w:rsid w:val="00FB6F93"/>
    <w:rsid w:val="00FB702E"/>
    <w:rsid w:val="00FB7561"/>
    <w:rsid w:val="00FB78C6"/>
    <w:rsid w:val="00FB7E50"/>
    <w:rsid w:val="00FB7EC2"/>
    <w:rsid w:val="00FC01D1"/>
    <w:rsid w:val="00FC01E6"/>
    <w:rsid w:val="00FC0422"/>
    <w:rsid w:val="00FC0473"/>
    <w:rsid w:val="00FC097A"/>
    <w:rsid w:val="00FC0BC2"/>
    <w:rsid w:val="00FC0C07"/>
    <w:rsid w:val="00FC0F59"/>
    <w:rsid w:val="00FC124C"/>
    <w:rsid w:val="00FC12A8"/>
    <w:rsid w:val="00FC1358"/>
    <w:rsid w:val="00FC14C8"/>
    <w:rsid w:val="00FC161A"/>
    <w:rsid w:val="00FC1AC6"/>
    <w:rsid w:val="00FC1C99"/>
    <w:rsid w:val="00FC1DC5"/>
    <w:rsid w:val="00FC1E1B"/>
    <w:rsid w:val="00FC219F"/>
    <w:rsid w:val="00FC2352"/>
    <w:rsid w:val="00FC253F"/>
    <w:rsid w:val="00FC2669"/>
    <w:rsid w:val="00FC2819"/>
    <w:rsid w:val="00FC283A"/>
    <w:rsid w:val="00FC2C5E"/>
    <w:rsid w:val="00FC2D7C"/>
    <w:rsid w:val="00FC34D9"/>
    <w:rsid w:val="00FC34F3"/>
    <w:rsid w:val="00FC360D"/>
    <w:rsid w:val="00FC3936"/>
    <w:rsid w:val="00FC3967"/>
    <w:rsid w:val="00FC39D6"/>
    <w:rsid w:val="00FC404A"/>
    <w:rsid w:val="00FC415D"/>
    <w:rsid w:val="00FC41DD"/>
    <w:rsid w:val="00FC437F"/>
    <w:rsid w:val="00FC4557"/>
    <w:rsid w:val="00FC4636"/>
    <w:rsid w:val="00FC46AD"/>
    <w:rsid w:val="00FC47B6"/>
    <w:rsid w:val="00FC4998"/>
    <w:rsid w:val="00FC4A2E"/>
    <w:rsid w:val="00FC4A32"/>
    <w:rsid w:val="00FC5011"/>
    <w:rsid w:val="00FC5041"/>
    <w:rsid w:val="00FC5269"/>
    <w:rsid w:val="00FC5352"/>
    <w:rsid w:val="00FC536B"/>
    <w:rsid w:val="00FC53D7"/>
    <w:rsid w:val="00FC5424"/>
    <w:rsid w:val="00FC561C"/>
    <w:rsid w:val="00FC5624"/>
    <w:rsid w:val="00FC56B1"/>
    <w:rsid w:val="00FC589A"/>
    <w:rsid w:val="00FC5941"/>
    <w:rsid w:val="00FC5BAE"/>
    <w:rsid w:val="00FC5CB0"/>
    <w:rsid w:val="00FC5D0B"/>
    <w:rsid w:val="00FC5EE3"/>
    <w:rsid w:val="00FC60C0"/>
    <w:rsid w:val="00FC642D"/>
    <w:rsid w:val="00FC6784"/>
    <w:rsid w:val="00FC6928"/>
    <w:rsid w:val="00FC6A51"/>
    <w:rsid w:val="00FC6C77"/>
    <w:rsid w:val="00FC6C7A"/>
    <w:rsid w:val="00FC6D17"/>
    <w:rsid w:val="00FC6D7D"/>
    <w:rsid w:val="00FC7123"/>
    <w:rsid w:val="00FC7148"/>
    <w:rsid w:val="00FC7535"/>
    <w:rsid w:val="00FC7567"/>
    <w:rsid w:val="00FC7704"/>
    <w:rsid w:val="00FC77B8"/>
    <w:rsid w:val="00FC7E07"/>
    <w:rsid w:val="00FD001D"/>
    <w:rsid w:val="00FD01B8"/>
    <w:rsid w:val="00FD0302"/>
    <w:rsid w:val="00FD0416"/>
    <w:rsid w:val="00FD049E"/>
    <w:rsid w:val="00FD05F0"/>
    <w:rsid w:val="00FD076C"/>
    <w:rsid w:val="00FD09D1"/>
    <w:rsid w:val="00FD0AF5"/>
    <w:rsid w:val="00FD0D58"/>
    <w:rsid w:val="00FD0DEC"/>
    <w:rsid w:val="00FD0E2A"/>
    <w:rsid w:val="00FD0EC1"/>
    <w:rsid w:val="00FD11BF"/>
    <w:rsid w:val="00FD1573"/>
    <w:rsid w:val="00FD167B"/>
    <w:rsid w:val="00FD1BA7"/>
    <w:rsid w:val="00FD1E61"/>
    <w:rsid w:val="00FD21F4"/>
    <w:rsid w:val="00FD227D"/>
    <w:rsid w:val="00FD22CB"/>
    <w:rsid w:val="00FD2468"/>
    <w:rsid w:val="00FD29AB"/>
    <w:rsid w:val="00FD2E24"/>
    <w:rsid w:val="00FD2F34"/>
    <w:rsid w:val="00FD37C1"/>
    <w:rsid w:val="00FD38E0"/>
    <w:rsid w:val="00FD3B5A"/>
    <w:rsid w:val="00FD3F7D"/>
    <w:rsid w:val="00FD3FE0"/>
    <w:rsid w:val="00FD402E"/>
    <w:rsid w:val="00FD4096"/>
    <w:rsid w:val="00FD43FA"/>
    <w:rsid w:val="00FD47F2"/>
    <w:rsid w:val="00FD4A3E"/>
    <w:rsid w:val="00FD4C0F"/>
    <w:rsid w:val="00FD4CAB"/>
    <w:rsid w:val="00FD4F3B"/>
    <w:rsid w:val="00FD542D"/>
    <w:rsid w:val="00FD564E"/>
    <w:rsid w:val="00FD5E35"/>
    <w:rsid w:val="00FD5E5D"/>
    <w:rsid w:val="00FD618E"/>
    <w:rsid w:val="00FD62E8"/>
    <w:rsid w:val="00FD66D5"/>
    <w:rsid w:val="00FD6BF0"/>
    <w:rsid w:val="00FD706A"/>
    <w:rsid w:val="00FD7205"/>
    <w:rsid w:val="00FD75ED"/>
    <w:rsid w:val="00FD7747"/>
    <w:rsid w:val="00FD788C"/>
    <w:rsid w:val="00FD7917"/>
    <w:rsid w:val="00FD7930"/>
    <w:rsid w:val="00FD79E3"/>
    <w:rsid w:val="00FD7BC8"/>
    <w:rsid w:val="00FD7BD7"/>
    <w:rsid w:val="00FD7FAC"/>
    <w:rsid w:val="00FE003F"/>
    <w:rsid w:val="00FE0095"/>
    <w:rsid w:val="00FE0948"/>
    <w:rsid w:val="00FE0C30"/>
    <w:rsid w:val="00FE0D1C"/>
    <w:rsid w:val="00FE0D56"/>
    <w:rsid w:val="00FE0D81"/>
    <w:rsid w:val="00FE0EAB"/>
    <w:rsid w:val="00FE0F6E"/>
    <w:rsid w:val="00FE10F7"/>
    <w:rsid w:val="00FE11E7"/>
    <w:rsid w:val="00FE13CE"/>
    <w:rsid w:val="00FE1583"/>
    <w:rsid w:val="00FE17F5"/>
    <w:rsid w:val="00FE1B7B"/>
    <w:rsid w:val="00FE1C30"/>
    <w:rsid w:val="00FE1D05"/>
    <w:rsid w:val="00FE2026"/>
    <w:rsid w:val="00FE2074"/>
    <w:rsid w:val="00FE272D"/>
    <w:rsid w:val="00FE27A7"/>
    <w:rsid w:val="00FE2A8A"/>
    <w:rsid w:val="00FE2B5B"/>
    <w:rsid w:val="00FE2C90"/>
    <w:rsid w:val="00FE2DE7"/>
    <w:rsid w:val="00FE2E8C"/>
    <w:rsid w:val="00FE2EDB"/>
    <w:rsid w:val="00FE3164"/>
    <w:rsid w:val="00FE3257"/>
    <w:rsid w:val="00FE33B8"/>
    <w:rsid w:val="00FE3A12"/>
    <w:rsid w:val="00FE3D57"/>
    <w:rsid w:val="00FE3E56"/>
    <w:rsid w:val="00FE3F24"/>
    <w:rsid w:val="00FE436F"/>
    <w:rsid w:val="00FE47A9"/>
    <w:rsid w:val="00FE4819"/>
    <w:rsid w:val="00FE4FD5"/>
    <w:rsid w:val="00FE50BA"/>
    <w:rsid w:val="00FE536C"/>
    <w:rsid w:val="00FE5388"/>
    <w:rsid w:val="00FE575F"/>
    <w:rsid w:val="00FE5789"/>
    <w:rsid w:val="00FE57AA"/>
    <w:rsid w:val="00FE60E4"/>
    <w:rsid w:val="00FE6134"/>
    <w:rsid w:val="00FE64D9"/>
    <w:rsid w:val="00FE6574"/>
    <w:rsid w:val="00FE67E0"/>
    <w:rsid w:val="00FE6AF7"/>
    <w:rsid w:val="00FE6BF7"/>
    <w:rsid w:val="00FE6C4A"/>
    <w:rsid w:val="00FE6D18"/>
    <w:rsid w:val="00FE6F76"/>
    <w:rsid w:val="00FE73FA"/>
    <w:rsid w:val="00FE7655"/>
    <w:rsid w:val="00FE7661"/>
    <w:rsid w:val="00FE7B8E"/>
    <w:rsid w:val="00FE7C40"/>
    <w:rsid w:val="00FE7C9A"/>
    <w:rsid w:val="00FF0114"/>
    <w:rsid w:val="00FF0212"/>
    <w:rsid w:val="00FF02AB"/>
    <w:rsid w:val="00FF02BF"/>
    <w:rsid w:val="00FF036B"/>
    <w:rsid w:val="00FF0570"/>
    <w:rsid w:val="00FF0636"/>
    <w:rsid w:val="00FF0792"/>
    <w:rsid w:val="00FF087A"/>
    <w:rsid w:val="00FF08CE"/>
    <w:rsid w:val="00FF0A0C"/>
    <w:rsid w:val="00FF0B21"/>
    <w:rsid w:val="00FF0C1B"/>
    <w:rsid w:val="00FF0D50"/>
    <w:rsid w:val="00FF0F41"/>
    <w:rsid w:val="00FF0FB2"/>
    <w:rsid w:val="00FF1037"/>
    <w:rsid w:val="00FF1756"/>
    <w:rsid w:val="00FF17FA"/>
    <w:rsid w:val="00FF18F0"/>
    <w:rsid w:val="00FF1D2B"/>
    <w:rsid w:val="00FF2131"/>
    <w:rsid w:val="00FF2419"/>
    <w:rsid w:val="00FF246C"/>
    <w:rsid w:val="00FF2588"/>
    <w:rsid w:val="00FF2620"/>
    <w:rsid w:val="00FF26B8"/>
    <w:rsid w:val="00FF2707"/>
    <w:rsid w:val="00FF29CF"/>
    <w:rsid w:val="00FF2A53"/>
    <w:rsid w:val="00FF2C8C"/>
    <w:rsid w:val="00FF2D5C"/>
    <w:rsid w:val="00FF2DF2"/>
    <w:rsid w:val="00FF2E32"/>
    <w:rsid w:val="00FF308B"/>
    <w:rsid w:val="00FF3627"/>
    <w:rsid w:val="00FF36E1"/>
    <w:rsid w:val="00FF3AA6"/>
    <w:rsid w:val="00FF4021"/>
    <w:rsid w:val="00FF410E"/>
    <w:rsid w:val="00FF419A"/>
    <w:rsid w:val="00FF4358"/>
    <w:rsid w:val="00FF4662"/>
    <w:rsid w:val="00FF46E3"/>
    <w:rsid w:val="00FF4725"/>
    <w:rsid w:val="00FF48C2"/>
    <w:rsid w:val="00FF493F"/>
    <w:rsid w:val="00FF4A1F"/>
    <w:rsid w:val="00FF4CA4"/>
    <w:rsid w:val="00FF4D2E"/>
    <w:rsid w:val="00FF4DCC"/>
    <w:rsid w:val="00FF4E35"/>
    <w:rsid w:val="00FF4F28"/>
    <w:rsid w:val="00FF4F4C"/>
    <w:rsid w:val="00FF50A3"/>
    <w:rsid w:val="00FF52B9"/>
    <w:rsid w:val="00FF5490"/>
    <w:rsid w:val="00FF549A"/>
    <w:rsid w:val="00FF558A"/>
    <w:rsid w:val="00FF5622"/>
    <w:rsid w:val="00FF56A5"/>
    <w:rsid w:val="00FF574E"/>
    <w:rsid w:val="00FF5750"/>
    <w:rsid w:val="00FF58E5"/>
    <w:rsid w:val="00FF594A"/>
    <w:rsid w:val="00FF5A23"/>
    <w:rsid w:val="00FF5A29"/>
    <w:rsid w:val="00FF5A96"/>
    <w:rsid w:val="00FF5D24"/>
    <w:rsid w:val="00FF5DA2"/>
    <w:rsid w:val="00FF5ECF"/>
    <w:rsid w:val="00FF608A"/>
    <w:rsid w:val="00FF64DB"/>
    <w:rsid w:val="00FF654E"/>
    <w:rsid w:val="00FF6581"/>
    <w:rsid w:val="00FF6646"/>
    <w:rsid w:val="00FF6732"/>
    <w:rsid w:val="00FF67C3"/>
    <w:rsid w:val="00FF693C"/>
    <w:rsid w:val="00FF69DB"/>
    <w:rsid w:val="00FF6B04"/>
    <w:rsid w:val="00FF6B60"/>
    <w:rsid w:val="00FF6B6B"/>
    <w:rsid w:val="00FF6B8A"/>
    <w:rsid w:val="00FF6C41"/>
    <w:rsid w:val="00FF6D2B"/>
    <w:rsid w:val="00FF7073"/>
    <w:rsid w:val="00FF728F"/>
    <w:rsid w:val="00FF740C"/>
    <w:rsid w:val="00FF7602"/>
    <w:rsid w:val="00FF765C"/>
    <w:rsid w:val="00FF77F8"/>
    <w:rsid w:val="00FF792E"/>
    <w:rsid w:val="00FF7B20"/>
    <w:rsid w:val="00FF7C2D"/>
    <w:rsid w:val="00FF7E6A"/>
    <w:rsid w:val="00FF7E9C"/>
    <w:rsid w:val="00FF7F18"/>
    <w:rsid w:val="00FF7F49"/>
    <w:rsid w:val="00FF7F51"/>
    <w:rsid w:val="00FF7F5C"/>
    <w:rsid w:val="01261AEE"/>
    <w:rsid w:val="013F725B"/>
    <w:rsid w:val="01527EDF"/>
    <w:rsid w:val="01535D8F"/>
    <w:rsid w:val="01541BC0"/>
    <w:rsid w:val="015E2504"/>
    <w:rsid w:val="017936BE"/>
    <w:rsid w:val="018A6157"/>
    <w:rsid w:val="01A2306D"/>
    <w:rsid w:val="01A974D3"/>
    <w:rsid w:val="01E031DA"/>
    <w:rsid w:val="01E943A0"/>
    <w:rsid w:val="01ED6C2C"/>
    <w:rsid w:val="0205232F"/>
    <w:rsid w:val="02104C38"/>
    <w:rsid w:val="0211046B"/>
    <w:rsid w:val="022F4E7F"/>
    <w:rsid w:val="02412793"/>
    <w:rsid w:val="02661084"/>
    <w:rsid w:val="0270061D"/>
    <w:rsid w:val="02826CD3"/>
    <w:rsid w:val="02893524"/>
    <w:rsid w:val="029702A0"/>
    <w:rsid w:val="02BE7869"/>
    <w:rsid w:val="02C10F5B"/>
    <w:rsid w:val="03353615"/>
    <w:rsid w:val="03372BDE"/>
    <w:rsid w:val="03680523"/>
    <w:rsid w:val="038A2D53"/>
    <w:rsid w:val="038C76D9"/>
    <w:rsid w:val="03AA32C1"/>
    <w:rsid w:val="03AA71AF"/>
    <w:rsid w:val="03B25F0D"/>
    <w:rsid w:val="03C055D4"/>
    <w:rsid w:val="03CB6181"/>
    <w:rsid w:val="042C4A18"/>
    <w:rsid w:val="045A68CB"/>
    <w:rsid w:val="045F3B5A"/>
    <w:rsid w:val="047044A1"/>
    <w:rsid w:val="04894843"/>
    <w:rsid w:val="048E75E3"/>
    <w:rsid w:val="04A67154"/>
    <w:rsid w:val="04B07132"/>
    <w:rsid w:val="04B735DC"/>
    <w:rsid w:val="04BF5E84"/>
    <w:rsid w:val="04F301D4"/>
    <w:rsid w:val="051D4D1D"/>
    <w:rsid w:val="054C1FD6"/>
    <w:rsid w:val="055A0B16"/>
    <w:rsid w:val="0567397C"/>
    <w:rsid w:val="05693290"/>
    <w:rsid w:val="059E7CEF"/>
    <w:rsid w:val="05A931A3"/>
    <w:rsid w:val="05AA2098"/>
    <w:rsid w:val="05C67D8B"/>
    <w:rsid w:val="05DD5F17"/>
    <w:rsid w:val="05E816BC"/>
    <w:rsid w:val="05F81055"/>
    <w:rsid w:val="0608112C"/>
    <w:rsid w:val="060B2B65"/>
    <w:rsid w:val="06121C89"/>
    <w:rsid w:val="062B0EAC"/>
    <w:rsid w:val="06404B98"/>
    <w:rsid w:val="06575A38"/>
    <w:rsid w:val="066A43D4"/>
    <w:rsid w:val="066C1A43"/>
    <w:rsid w:val="068F6213"/>
    <w:rsid w:val="069A1FFF"/>
    <w:rsid w:val="06A33993"/>
    <w:rsid w:val="06B0139C"/>
    <w:rsid w:val="06BE28E5"/>
    <w:rsid w:val="06BE3C9E"/>
    <w:rsid w:val="06CD551E"/>
    <w:rsid w:val="06D1314B"/>
    <w:rsid w:val="070752C8"/>
    <w:rsid w:val="07255689"/>
    <w:rsid w:val="07411EB4"/>
    <w:rsid w:val="07543F93"/>
    <w:rsid w:val="077971E5"/>
    <w:rsid w:val="078E0BC4"/>
    <w:rsid w:val="07A12019"/>
    <w:rsid w:val="07BA49ED"/>
    <w:rsid w:val="07BE5050"/>
    <w:rsid w:val="07D57174"/>
    <w:rsid w:val="081A1C9C"/>
    <w:rsid w:val="08414E48"/>
    <w:rsid w:val="086A1EE4"/>
    <w:rsid w:val="087911A4"/>
    <w:rsid w:val="0881210C"/>
    <w:rsid w:val="0881287A"/>
    <w:rsid w:val="088272FC"/>
    <w:rsid w:val="08B7564C"/>
    <w:rsid w:val="08D4742C"/>
    <w:rsid w:val="09082A01"/>
    <w:rsid w:val="0928304B"/>
    <w:rsid w:val="094A2669"/>
    <w:rsid w:val="09580E35"/>
    <w:rsid w:val="096A129E"/>
    <w:rsid w:val="098E7D44"/>
    <w:rsid w:val="09970B85"/>
    <w:rsid w:val="09971508"/>
    <w:rsid w:val="09A8018A"/>
    <w:rsid w:val="09C57DF0"/>
    <w:rsid w:val="09D41857"/>
    <w:rsid w:val="09DD3FC3"/>
    <w:rsid w:val="09E161EB"/>
    <w:rsid w:val="09E3201C"/>
    <w:rsid w:val="09EB2509"/>
    <w:rsid w:val="09F12449"/>
    <w:rsid w:val="0A140428"/>
    <w:rsid w:val="0A433581"/>
    <w:rsid w:val="0A767843"/>
    <w:rsid w:val="0A80731A"/>
    <w:rsid w:val="0A830CD4"/>
    <w:rsid w:val="0ADD4CBE"/>
    <w:rsid w:val="0AE87DBD"/>
    <w:rsid w:val="0AEC79EA"/>
    <w:rsid w:val="0AF02C43"/>
    <w:rsid w:val="0AF456D8"/>
    <w:rsid w:val="0B084C10"/>
    <w:rsid w:val="0B2774B5"/>
    <w:rsid w:val="0B564557"/>
    <w:rsid w:val="0B702D7E"/>
    <w:rsid w:val="0B844E71"/>
    <w:rsid w:val="0B993B3C"/>
    <w:rsid w:val="0BA84CEE"/>
    <w:rsid w:val="0BB556C9"/>
    <w:rsid w:val="0BBB29D1"/>
    <w:rsid w:val="0BCD0EA6"/>
    <w:rsid w:val="0C086041"/>
    <w:rsid w:val="0C0B4C7F"/>
    <w:rsid w:val="0C0E7959"/>
    <w:rsid w:val="0C48260B"/>
    <w:rsid w:val="0C5837CD"/>
    <w:rsid w:val="0C5C4420"/>
    <w:rsid w:val="0C7D44FE"/>
    <w:rsid w:val="0C980D4F"/>
    <w:rsid w:val="0C9F080F"/>
    <w:rsid w:val="0CB7688A"/>
    <w:rsid w:val="0CC1342D"/>
    <w:rsid w:val="0CD507C0"/>
    <w:rsid w:val="0D1620D8"/>
    <w:rsid w:val="0D1F15BD"/>
    <w:rsid w:val="0D2A324A"/>
    <w:rsid w:val="0D69204A"/>
    <w:rsid w:val="0D746486"/>
    <w:rsid w:val="0D841421"/>
    <w:rsid w:val="0D88681C"/>
    <w:rsid w:val="0D8B2898"/>
    <w:rsid w:val="0DBC6E0C"/>
    <w:rsid w:val="0DD74D3C"/>
    <w:rsid w:val="0DE14AC5"/>
    <w:rsid w:val="0E0853A2"/>
    <w:rsid w:val="0E0D7446"/>
    <w:rsid w:val="0E1633AE"/>
    <w:rsid w:val="0E165F65"/>
    <w:rsid w:val="0E1F51AF"/>
    <w:rsid w:val="0E355039"/>
    <w:rsid w:val="0E6103F7"/>
    <w:rsid w:val="0E6809BB"/>
    <w:rsid w:val="0E812106"/>
    <w:rsid w:val="0E9438E5"/>
    <w:rsid w:val="0ECB7BD6"/>
    <w:rsid w:val="0EE46ECF"/>
    <w:rsid w:val="0F171180"/>
    <w:rsid w:val="0F1E08E7"/>
    <w:rsid w:val="0F3F129B"/>
    <w:rsid w:val="0F7D30C6"/>
    <w:rsid w:val="0F9E7103"/>
    <w:rsid w:val="0FA84F57"/>
    <w:rsid w:val="0FC30833"/>
    <w:rsid w:val="0FD85A54"/>
    <w:rsid w:val="0FE10DAC"/>
    <w:rsid w:val="0FE97BE2"/>
    <w:rsid w:val="10172A20"/>
    <w:rsid w:val="102F506E"/>
    <w:rsid w:val="104006F8"/>
    <w:rsid w:val="10574D2A"/>
    <w:rsid w:val="107A0E6C"/>
    <w:rsid w:val="107B3A78"/>
    <w:rsid w:val="10881228"/>
    <w:rsid w:val="10894684"/>
    <w:rsid w:val="109A0F5B"/>
    <w:rsid w:val="10BC7123"/>
    <w:rsid w:val="10F352F5"/>
    <w:rsid w:val="11101CDF"/>
    <w:rsid w:val="112A0E80"/>
    <w:rsid w:val="11301FEB"/>
    <w:rsid w:val="11407F46"/>
    <w:rsid w:val="11496C09"/>
    <w:rsid w:val="11A958FA"/>
    <w:rsid w:val="11B25CE7"/>
    <w:rsid w:val="11B279AB"/>
    <w:rsid w:val="11B554BC"/>
    <w:rsid w:val="11C95F9C"/>
    <w:rsid w:val="11DB4117"/>
    <w:rsid w:val="1200732B"/>
    <w:rsid w:val="122250B4"/>
    <w:rsid w:val="12550639"/>
    <w:rsid w:val="127E6D86"/>
    <w:rsid w:val="127F187A"/>
    <w:rsid w:val="12863E8D"/>
    <w:rsid w:val="12A04F4F"/>
    <w:rsid w:val="12B44556"/>
    <w:rsid w:val="12C2199A"/>
    <w:rsid w:val="12E95E3E"/>
    <w:rsid w:val="12F92BFB"/>
    <w:rsid w:val="13471E27"/>
    <w:rsid w:val="134E559B"/>
    <w:rsid w:val="136362DA"/>
    <w:rsid w:val="13DA10C7"/>
    <w:rsid w:val="13DE4401"/>
    <w:rsid w:val="14024BAF"/>
    <w:rsid w:val="141E2B33"/>
    <w:rsid w:val="142E3666"/>
    <w:rsid w:val="14687F79"/>
    <w:rsid w:val="147F6DE6"/>
    <w:rsid w:val="14883EEC"/>
    <w:rsid w:val="14AA20B4"/>
    <w:rsid w:val="14BE4858"/>
    <w:rsid w:val="14CD7D0D"/>
    <w:rsid w:val="14D73FD9"/>
    <w:rsid w:val="150317C5"/>
    <w:rsid w:val="15262A3E"/>
    <w:rsid w:val="154222ED"/>
    <w:rsid w:val="155913E5"/>
    <w:rsid w:val="157D4A7F"/>
    <w:rsid w:val="158307C8"/>
    <w:rsid w:val="1584460A"/>
    <w:rsid w:val="15922BE7"/>
    <w:rsid w:val="15F8206D"/>
    <w:rsid w:val="162C50B6"/>
    <w:rsid w:val="16625975"/>
    <w:rsid w:val="166645A4"/>
    <w:rsid w:val="16737788"/>
    <w:rsid w:val="1677572F"/>
    <w:rsid w:val="16A56511"/>
    <w:rsid w:val="16CA15C8"/>
    <w:rsid w:val="16CB1E6E"/>
    <w:rsid w:val="16DA2228"/>
    <w:rsid w:val="16F863B4"/>
    <w:rsid w:val="171242DB"/>
    <w:rsid w:val="17224323"/>
    <w:rsid w:val="17376C27"/>
    <w:rsid w:val="173A756C"/>
    <w:rsid w:val="17435B9A"/>
    <w:rsid w:val="174E2E64"/>
    <w:rsid w:val="175C7CE9"/>
    <w:rsid w:val="17610856"/>
    <w:rsid w:val="17DE55AF"/>
    <w:rsid w:val="17E44964"/>
    <w:rsid w:val="17E86A50"/>
    <w:rsid w:val="17E91C7A"/>
    <w:rsid w:val="17F66765"/>
    <w:rsid w:val="1806443B"/>
    <w:rsid w:val="180B10BC"/>
    <w:rsid w:val="18242761"/>
    <w:rsid w:val="18452B6C"/>
    <w:rsid w:val="18C15A87"/>
    <w:rsid w:val="18F179FB"/>
    <w:rsid w:val="18F65610"/>
    <w:rsid w:val="18F87571"/>
    <w:rsid w:val="1921046B"/>
    <w:rsid w:val="19216282"/>
    <w:rsid w:val="19395972"/>
    <w:rsid w:val="19521845"/>
    <w:rsid w:val="19BB1D72"/>
    <w:rsid w:val="19D24EDF"/>
    <w:rsid w:val="1A10748B"/>
    <w:rsid w:val="1A282310"/>
    <w:rsid w:val="1A317866"/>
    <w:rsid w:val="1A43009A"/>
    <w:rsid w:val="1A4A697A"/>
    <w:rsid w:val="1A77066D"/>
    <w:rsid w:val="1A876A33"/>
    <w:rsid w:val="1A9A3781"/>
    <w:rsid w:val="1ABF1CEA"/>
    <w:rsid w:val="1AC01045"/>
    <w:rsid w:val="1AC8277F"/>
    <w:rsid w:val="1ACB3497"/>
    <w:rsid w:val="1AE479A2"/>
    <w:rsid w:val="1AF70E8A"/>
    <w:rsid w:val="1AFA78B5"/>
    <w:rsid w:val="1B0F08B5"/>
    <w:rsid w:val="1B1F61D8"/>
    <w:rsid w:val="1B292E33"/>
    <w:rsid w:val="1B3E226E"/>
    <w:rsid w:val="1B6C4AC3"/>
    <w:rsid w:val="1B9679F0"/>
    <w:rsid w:val="1BA17ACC"/>
    <w:rsid w:val="1BA710FC"/>
    <w:rsid w:val="1BD27933"/>
    <w:rsid w:val="1BE37C5A"/>
    <w:rsid w:val="1C3366AB"/>
    <w:rsid w:val="1C474987"/>
    <w:rsid w:val="1C5172BA"/>
    <w:rsid w:val="1C555FC6"/>
    <w:rsid w:val="1C561CA2"/>
    <w:rsid w:val="1C6B037B"/>
    <w:rsid w:val="1C831B76"/>
    <w:rsid w:val="1C9A2A0F"/>
    <w:rsid w:val="1CBD559E"/>
    <w:rsid w:val="1CBD6173"/>
    <w:rsid w:val="1CCE23EB"/>
    <w:rsid w:val="1CD201C5"/>
    <w:rsid w:val="1CFA4C3B"/>
    <w:rsid w:val="1D37200B"/>
    <w:rsid w:val="1D5F77B4"/>
    <w:rsid w:val="1D900790"/>
    <w:rsid w:val="1D9011EB"/>
    <w:rsid w:val="1D9E066F"/>
    <w:rsid w:val="1DAD5595"/>
    <w:rsid w:val="1DCD2099"/>
    <w:rsid w:val="1DD45609"/>
    <w:rsid w:val="1DFD14E9"/>
    <w:rsid w:val="1E0433AB"/>
    <w:rsid w:val="1E046800"/>
    <w:rsid w:val="1E07329B"/>
    <w:rsid w:val="1E093C09"/>
    <w:rsid w:val="1E2D154A"/>
    <w:rsid w:val="1E5712EF"/>
    <w:rsid w:val="1E835968"/>
    <w:rsid w:val="1E90421D"/>
    <w:rsid w:val="1EF702AC"/>
    <w:rsid w:val="1F23326C"/>
    <w:rsid w:val="1F38383F"/>
    <w:rsid w:val="1F46671C"/>
    <w:rsid w:val="1F4D4D8B"/>
    <w:rsid w:val="1F6C42CC"/>
    <w:rsid w:val="1F892D56"/>
    <w:rsid w:val="1F8D415A"/>
    <w:rsid w:val="1FA3165F"/>
    <w:rsid w:val="1FFA392E"/>
    <w:rsid w:val="207B0551"/>
    <w:rsid w:val="20881CA6"/>
    <w:rsid w:val="20986D5F"/>
    <w:rsid w:val="20991181"/>
    <w:rsid w:val="20A26336"/>
    <w:rsid w:val="20A46EBC"/>
    <w:rsid w:val="20A57BD4"/>
    <w:rsid w:val="20BC6241"/>
    <w:rsid w:val="20CB65E1"/>
    <w:rsid w:val="20D83B05"/>
    <w:rsid w:val="21455BFF"/>
    <w:rsid w:val="215F7D83"/>
    <w:rsid w:val="217001E2"/>
    <w:rsid w:val="21A42EE3"/>
    <w:rsid w:val="21B65164"/>
    <w:rsid w:val="21CC263B"/>
    <w:rsid w:val="21F658ED"/>
    <w:rsid w:val="21F77748"/>
    <w:rsid w:val="21F87D9B"/>
    <w:rsid w:val="22044F6F"/>
    <w:rsid w:val="22071B44"/>
    <w:rsid w:val="221F1715"/>
    <w:rsid w:val="22290E54"/>
    <w:rsid w:val="22576CAC"/>
    <w:rsid w:val="22600256"/>
    <w:rsid w:val="22837AA1"/>
    <w:rsid w:val="22AB7B04"/>
    <w:rsid w:val="22C75390"/>
    <w:rsid w:val="22EB3E7A"/>
    <w:rsid w:val="22F75752"/>
    <w:rsid w:val="230A25BF"/>
    <w:rsid w:val="2312270F"/>
    <w:rsid w:val="231266F4"/>
    <w:rsid w:val="23470DD3"/>
    <w:rsid w:val="23AE4FF1"/>
    <w:rsid w:val="23C6420B"/>
    <w:rsid w:val="23EC6593"/>
    <w:rsid w:val="23F50586"/>
    <w:rsid w:val="23FC7B0B"/>
    <w:rsid w:val="24341478"/>
    <w:rsid w:val="24485B4E"/>
    <w:rsid w:val="245F6DCD"/>
    <w:rsid w:val="246A53BC"/>
    <w:rsid w:val="248A6FAE"/>
    <w:rsid w:val="24A311A4"/>
    <w:rsid w:val="24C44020"/>
    <w:rsid w:val="24F56782"/>
    <w:rsid w:val="25021BBD"/>
    <w:rsid w:val="25576656"/>
    <w:rsid w:val="25632448"/>
    <w:rsid w:val="25734B06"/>
    <w:rsid w:val="25957B0B"/>
    <w:rsid w:val="25A60622"/>
    <w:rsid w:val="25DA0012"/>
    <w:rsid w:val="260918B2"/>
    <w:rsid w:val="2613169B"/>
    <w:rsid w:val="26443F74"/>
    <w:rsid w:val="26681A1A"/>
    <w:rsid w:val="266C411E"/>
    <w:rsid w:val="26731B14"/>
    <w:rsid w:val="26735811"/>
    <w:rsid w:val="2685203A"/>
    <w:rsid w:val="268A421D"/>
    <w:rsid w:val="268E20F9"/>
    <w:rsid w:val="26B01033"/>
    <w:rsid w:val="26B270EC"/>
    <w:rsid w:val="26DA6C8E"/>
    <w:rsid w:val="2726151F"/>
    <w:rsid w:val="276338D6"/>
    <w:rsid w:val="27670527"/>
    <w:rsid w:val="27C31FE6"/>
    <w:rsid w:val="27F702BD"/>
    <w:rsid w:val="28030A8A"/>
    <w:rsid w:val="282F67EE"/>
    <w:rsid w:val="283635B4"/>
    <w:rsid w:val="284137DE"/>
    <w:rsid w:val="285E5865"/>
    <w:rsid w:val="287903A7"/>
    <w:rsid w:val="287B6670"/>
    <w:rsid w:val="289D118E"/>
    <w:rsid w:val="28EB58C4"/>
    <w:rsid w:val="28F23857"/>
    <w:rsid w:val="29013DDA"/>
    <w:rsid w:val="291F1C23"/>
    <w:rsid w:val="29770DFC"/>
    <w:rsid w:val="29916F47"/>
    <w:rsid w:val="29D77209"/>
    <w:rsid w:val="29D977D6"/>
    <w:rsid w:val="2A0B6CFA"/>
    <w:rsid w:val="2A0C2A72"/>
    <w:rsid w:val="2A2B593B"/>
    <w:rsid w:val="2A3B6C67"/>
    <w:rsid w:val="2A4C4F69"/>
    <w:rsid w:val="2A6B1546"/>
    <w:rsid w:val="2A907D6C"/>
    <w:rsid w:val="2ABC4498"/>
    <w:rsid w:val="2ACA3E49"/>
    <w:rsid w:val="2ACE7FC1"/>
    <w:rsid w:val="2ACF7D27"/>
    <w:rsid w:val="2B022A53"/>
    <w:rsid w:val="2B2F21E8"/>
    <w:rsid w:val="2B633D26"/>
    <w:rsid w:val="2B7E26AA"/>
    <w:rsid w:val="2B9B5FAA"/>
    <w:rsid w:val="2BA521FA"/>
    <w:rsid w:val="2BC857E0"/>
    <w:rsid w:val="2C063B3A"/>
    <w:rsid w:val="2C1557BC"/>
    <w:rsid w:val="2C235CB2"/>
    <w:rsid w:val="2C316F51"/>
    <w:rsid w:val="2C331445"/>
    <w:rsid w:val="2C370819"/>
    <w:rsid w:val="2C43099C"/>
    <w:rsid w:val="2C750476"/>
    <w:rsid w:val="2C7C4A70"/>
    <w:rsid w:val="2C8763E0"/>
    <w:rsid w:val="2CB20576"/>
    <w:rsid w:val="2CC4685C"/>
    <w:rsid w:val="2CEC353A"/>
    <w:rsid w:val="2CF60C0B"/>
    <w:rsid w:val="2CFA0E4E"/>
    <w:rsid w:val="2D320E4C"/>
    <w:rsid w:val="2D4676D3"/>
    <w:rsid w:val="2D47222E"/>
    <w:rsid w:val="2D5C4D78"/>
    <w:rsid w:val="2D7B660D"/>
    <w:rsid w:val="2D9B25AE"/>
    <w:rsid w:val="2D9D7CDC"/>
    <w:rsid w:val="2DA77776"/>
    <w:rsid w:val="2DB01889"/>
    <w:rsid w:val="2DB63420"/>
    <w:rsid w:val="2DD438A6"/>
    <w:rsid w:val="2DE021E2"/>
    <w:rsid w:val="2DEE511B"/>
    <w:rsid w:val="2E0917A2"/>
    <w:rsid w:val="2E092D17"/>
    <w:rsid w:val="2E0E4F95"/>
    <w:rsid w:val="2E44334D"/>
    <w:rsid w:val="2E691CA5"/>
    <w:rsid w:val="2E731311"/>
    <w:rsid w:val="2E852ACB"/>
    <w:rsid w:val="2EA323DD"/>
    <w:rsid w:val="2EA739C3"/>
    <w:rsid w:val="2EBA657B"/>
    <w:rsid w:val="2ECA3844"/>
    <w:rsid w:val="2EFB562A"/>
    <w:rsid w:val="2F3B2C7B"/>
    <w:rsid w:val="2F3C780C"/>
    <w:rsid w:val="2F4B347E"/>
    <w:rsid w:val="2F5F53F2"/>
    <w:rsid w:val="2F6E6123"/>
    <w:rsid w:val="2F723377"/>
    <w:rsid w:val="2F8611D5"/>
    <w:rsid w:val="2FB2606F"/>
    <w:rsid w:val="2FBB18A6"/>
    <w:rsid w:val="2FF8102E"/>
    <w:rsid w:val="30036006"/>
    <w:rsid w:val="305641A7"/>
    <w:rsid w:val="308475C5"/>
    <w:rsid w:val="309A4933"/>
    <w:rsid w:val="30CD2F5B"/>
    <w:rsid w:val="314D3AB6"/>
    <w:rsid w:val="31591D07"/>
    <w:rsid w:val="3186310A"/>
    <w:rsid w:val="318F15FA"/>
    <w:rsid w:val="31A276EF"/>
    <w:rsid w:val="31B458CC"/>
    <w:rsid w:val="31C14142"/>
    <w:rsid w:val="327C5335"/>
    <w:rsid w:val="328847F7"/>
    <w:rsid w:val="328D1DA5"/>
    <w:rsid w:val="329614C3"/>
    <w:rsid w:val="32963820"/>
    <w:rsid w:val="32A55811"/>
    <w:rsid w:val="32B819E9"/>
    <w:rsid w:val="32DF2446"/>
    <w:rsid w:val="32E75E2A"/>
    <w:rsid w:val="33147E52"/>
    <w:rsid w:val="33263C60"/>
    <w:rsid w:val="332F02DD"/>
    <w:rsid w:val="33492641"/>
    <w:rsid w:val="334D0CB7"/>
    <w:rsid w:val="33512ED6"/>
    <w:rsid w:val="335C3A90"/>
    <w:rsid w:val="335D246F"/>
    <w:rsid w:val="33715716"/>
    <w:rsid w:val="338D4C23"/>
    <w:rsid w:val="33C1435B"/>
    <w:rsid w:val="33C323F3"/>
    <w:rsid w:val="33C96774"/>
    <w:rsid w:val="33E41857"/>
    <w:rsid w:val="33F82B82"/>
    <w:rsid w:val="34075BD7"/>
    <w:rsid w:val="34125358"/>
    <w:rsid w:val="3414558C"/>
    <w:rsid w:val="343706EB"/>
    <w:rsid w:val="34532446"/>
    <w:rsid w:val="3476086A"/>
    <w:rsid w:val="34DD2697"/>
    <w:rsid w:val="34DF14AF"/>
    <w:rsid w:val="34E5107F"/>
    <w:rsid w:val="34F9378A"/>
    <w:rsid w:val="350C3D26"/>
    <w:rsid w:val="35260FC4"/>
    <w:rsid w:val="35611EC4"/>
    <w:rsid w:val="35751709"/>
    <w:rsid w:val="35C613E9"/>
    <w:rsid w:val="35D34651"/>
    <w:rsid w:val="364D7648"/>
    <w:rsid w:val="36643159"/>
    <w:rsid w:val="36653207"/>
    <w:rsid w:val="36B00289"/>
    <w:rsid w:val="36C463C1"/>
    <w:rsid w:val="370B658B"/>
    <w:rsid w:val="370E2B33"/>
    <w:rsid w:val="371735F5"/>
    <w:rsid w:val="37372A23"/>
    <w:rsid w:val="37711B20"/>
    <w:rsid w:val="377C4D93"/>
    <w:rsid w:val="378F2D73"/>
    <w:rsid w:val="37AF122C"/>
    <w:rsid w:val="37D950AA"/>
    <w:rsid w:val="37DA6206"/>
    <w:rsid w:val="37DC3A83"/>
    <w:rsid w:val="37EF613E"/>
    <w:rsid w:val="382D7EDC"/>
    <w:rsid w:val="383F56FF"/>
    <w:rsid w:val="38577371"/>
    <w:rsid w:val="38673C95"/>
    <w:rsid w:val="38715AA7"/>
    <w:rsid w:val="389726AD"/>
    <w:rsid w:val="38A22D33"/>
    <w:rsid w:val="38A45CE2"/>
    <w:rsid w:val="38DE1A7D"/>
    <w:rsid w:val="39204954"/>
    <w:rsid w:val="39206269"/>
    <w:rsid w:val="39390072"/>
    <w:rsid w:val="393A3E10"/>
    <w:rsid w:val="39445D84"/>
    <w:rsid w:val="39645BC5"/>
    <w:rsid w:val="396E39C4"/>
    <w:rsid w:val="397D0411"/>
    <w:rsid w:val="398A0C5B"/>
    <w:rsid w:val="398E5E70"/>
    <w:rsid w:val="3991089E"/>
    <w:rsid w:val="39B65D05"/>
    <w:rsid w:val="39BE6D92"/>
    <w:rsid w:val="39C31730"/>
    <w:rsid w:val="39E11825"/>
    <w:rsid w:val="39E3559D"/>
    <w:rsid w:val="39E84962"/>
    <w:rsid w:val="3A0D77A5"/>
    <w:rsid w:val="3A234365"/>
    <w:rsid w:val="3A274477"/>
    <w:rsid w:val="3A704BFF"/>
    <w:rsid w:val="3A746DAE"/>
    <w:rsid w:val="3A763D93"/>
    <w:rsid w:val="3A93317B"/>
    <w:rsid w:val="3AD1189A"/>
    <w:rsid w:val="3AD62A0C"/>
    <w:rsid w:val="3AE570F3"/>
    <w:rsid w:val="3B2229C5"/>
    <w:rsid w:val="3B2F6869"/>
    <w:rsid w:val="3B6F69EF"/>
    <w:rsid w:val="3B8406BA"/>
    <w:rsid w:val="3B89730E"/>
    <w:rsid w:val="3BBA42FD"/>
    <w:rsid w:val="3BC1546A"/>
    <w:rsid w:val="3BF67402"/>
    <w:rsid w:val="3BFB576E"/>
    <w:rsid w:val="3C280EB6"/>
    <w:rsid w:val="3C366790"/>
    <w:rsid w:val="3C7106A2"/>
    <w:rsid w:val="3C75103D"/>
    <w:rsid w:val="3C840EAE"/>
    <w:rsid w:val="3CDF431C"/>
    <w:rsid w:val="3CEE138B"/>
    <w:rsid w:val="3D2558B0"/>
    <w:rsid w:val="3D264254"/>
    <w:rsid w:val="3D2B70B8"/>
    <w:rsid w:val="3D2C2F59"/>
    <w:rsid w:val="3D65276D"/>
    <w:rsid w:val="3D6F0494"/>
    <w:rsid w:val="3DD1007F"/>
    <w:rsid w:val="3DD63AA0"/>
    <w:rsid w:val="3DFA7212"/>
    <w:rsid w:val="3E03620E"/>
    <w:rsid w:val="3E0E0E9B"/>
    <w:rsid w:val="3E0F3344"/>
    <w:rsid w:val="3E1D4DF6"/>
    <w:rsid w:val="3E483D6A"/>
    <w:rsid w:val="3E5E7F7A"/>
    <w:rsid w:val="3E7867E2"/>
    <w:rsid w:val="3E7A5DA4"/>
    <w:rsid w:val="3E9952CD"/>
    <w:rsid w:val="3EA82911"/>
    <w:rsid w:val="3EBA0DEB"/>
    <w:rsid w:val="3EC97AF9"/>
    <w:rsid w:val="3EE40797"/>
    <w:rsid w:val="3EF94F1B"/>
    <w:rsid w:val="3F163D1F"/>
    <w:rsid w:val="3F246D01"/>
    <w:rsid w:val="3F6E5A9A"/>
    <w:rsid w:val="3F7F4FA1"/>
    <w:rsid w:val="3F82048F"/>
    <w:rsid w:val="3F9A4869"/>
    <w:rsid w:val="3F9B441D"/>
    <w:rsid w:val="3FB17CFB"/>
    <w:rsid w:val="3FD414E4"/>
    <w:rsid w:val="3FD82226"/>
    <w:rsid w:val="3FDF457C"/>
    <w:rsid w:val="400022D9"/>
    <w:rsid w:val="401341C3"/>
    <w:rsid w:val="402927AF"/>
    <w:rsid w:val="40414F02"/>
    <w:rsid w:val="40596F28"/>
    <w:rsid w:val="40813935"/>
    <w:rsid w:val="40CC64E7"/>
    <w:rsid w:val="40CC737C"/>
    <w:rsid w:val="40D94A39"/>
    <w:rsid w:val="40E353CE"/>
    <w:rsid w:val="4105719F"/>
    <w:rsid w:val="410E08F7"/>
    <w:rsid w:val="41285F8B"/>
    <w:rsid w:val="413233D6"/>
    <w:rsid w:val="41332028"/>
    <w:rsid w:val="413E48D8"/>
    <w:rsid w:val="414A6733"/>
    <w:rsid w:val="41801923"/>
    <w:rsid w:val="41840027"/>
    <w:rsid w:val="41A5340C"/>
    <w:rsid w:val="41B13A72"/>
    <w:rsid w:val="41D24C6F"/>
    <w:rsid w:val="41E256C5"/>
    <w:rsid w:val="41F7096A"/>
    <w:rsid w:val="42360234"/>
    <w:rsid w:val="423C1CEE"/>
    <w:rsid w:val="42BC538A"/>
    <w:rsid w:val="42BE6C1B"/>
    <w:rsid w:val="42D3194F"/>
    <w:rsid w:val="42F24E33"/>
    <w:rsid w:val="42F56341"/>
    <w:rsid w:val="43221882"/>
    <w:rsid w:val="43300BE0"/>
    <w:rsid w:val="437B05F4"/>
    <w:rsid w:val="438356FB"/>
    <w:rsid w:val="43AB143B"/>
    <w:rsid w:val="43B57B27"/>
    <w:rsid w:val="43C273BA"/>
    <w:rsid w:val="44123886"/>
    <w:rsid w:val="44354C47"/>
    <w:rsid w:val="445A6DE2"/>
    <w:rsid w:val="446E0159"/>
    <w:rsid w:val="44830D24"/>
    <w:rsid w:val="44C71617"/>
    <w:rsid w:val="44DE1617"/>
    <w:rsid w:val="44EE2B41"/>
    <w:rsid w:val="45020C04"/>
    <w:rsid w:val="45036AF3"/>
    <w:rsid w:val="450F4459"/>
    <w:rsid w:val="45542E15"/>
    <w:rsid w:val="457B2765"/>
    <w:rsid w:val="4585533A"/>
    <w:rsid w:val="45982474"/>
    <w:rsid w:val="45987BC0"/>
    <w:rsid w:val="45BA2CDD"/>
    <w:rsid w:val="45D6738B"/>
    <w:rsid w:val="4627713A"/>
    <w:rsid w:val="464878B5"/>
    <w:rsid w:val="46773265"/>
    <w:rsid w:val="468D2D6B"/>
    <w:rsid w:val="46986AE5"/>
    <w:rsid w:val="46A37606"/>
    <w:rsid w:val="46BD7E61"/>
    <w:rsid w:val="47350E82"/>
    <w:rsid w:val="47366E45"/>
    <w:rsid w:val="47394A4E"/>
    <w:rsid w:val="4791730F"/>
    <w:rsid w:val="47947ED7"/>
    <w:rsid w:val="479C6D8B"/>
    <w:rsid w:val="47EF74F7"/>
    <w:rsid w:val="47F71E89"/>
    <w:rsid w:val="482755C1"/>
    <w:rsid w:val="482C15B1"/>
    <w:rsid w:val="482F5E51"/>
    <w:rsid w:val="48396CD0"/>
    <w:rsid w:val="484E555F"/>
    <w:rsid w:val="48652595"/>
    <w:rsid w:val="48741AB6"/>
    <w:rsid w:val="488937B4"/>
    <w:rsid w:val="489E20FA"/>
    <w:rsid w:val="48BF71D5"/>
    <w:rsid w:val="48C17099"/>
    <w:rsid w:val="48D175B6"/>
    <w:rsid w:val="48DE7C34"/>
    <w:rsid w:val="48FA020D"/>
    <w:rsid w:val="490330E3"/>
    <w:rsid w:val="49351E89"/>
    <w:rsid w:val="49667048"/>
    <w:rsid w:val="497D7C7A"/>
    <w:rsid w:val="498C0A30"/>
    <w:rsid w:val="498D39F3"/>
    <w:rsid w:val="49E174B2"/>
    <w:rsid w:val="49F06174"/>
    <w:rsid w:val="4A111F8E"/>
    <w:rsid w:val="4A2B5451"/>
    <w:rsid w:val="4A456D42"/>
    <w:rsid w:val="4A461546"/>
    <w:rsid w:val="4A636FB9"/>
    <w:rsid w:val="4A6733E9"/>
    <w:rsid w:val="4A8204BA"/>
    <w:rsid w:val="4A8F2BD7"/>
    <w:rsid w:val="4AA0130A"/>
    <w:rsid w:val="4AA4190C"/>
    <w:rsid w:val="4AB14D43"/>
    <w:rsid w:val="4AB9381F"/>
    <w:rsid w:val="4ABA0143"/>
    <w:rsid w:val="4AE44536"/>
    <w:rsid w:val="4AF020F3"/>
    <w:rsid w:val="4B020E7A"/>
    <w:rsid w:val="4B32578A"/>
    <w:rsid w:val="4B5049ED"/>
    <w:rsid w:val="4B9318F2"/>
    <w:rsid w:val="4B9550DB"/>
    <w:rsid w:val="4B993B5B"/>
    <w:rsid w:val="4BB342B3"/>
    <w:rsid w:val="4BDC3E7C"/>
    <w:rsid w:val="4BEA5607"/>
    <w:rsid w:val="4C107D48"/>
    <w:rsid w:val="4C211F55"/>
    <w:rsid w:val="4C266994"/>
    <w:rsid w:val="4C8C11C2"/>
    <w:rsid w:val="4CA92044"/>
    <w:rsid w:val="4CC12FFC"/>
    <w:rsid w:val="4CC56D84"/>
    <w:rsid w:val="4CF05E44"/>
    <w:rsid w:val="4CF46F3C"/>
    <w:rsid w:val="4D0A1809"/>
    <w:rsid w:val="4D643578"/>
    <w:rsid w:val="4D836A49"/>
    <w:rsid w:val="4DB639B0"/>
    <w:rsid w:val="4DFD6083"/>
    <w:rsid w:val="4E013727"/>
    <w:rsid w:val="4E153677"/>
    <w:rsid w:val="4E2B4904"/>
    <w:rsid w:val="4E4A2A8E"/>
    <w:rsid w:val="4E4F59AA"/>
    <w:rsid w:val="4E9702AC"/>
    <w:rsid w:val="4E9C58C3"/>
    <w:rsid w:val="4EAD4033"/>
    <w:rsid w:val="4ECA2C6C"/>
    <w:rsid w:val="4F165675"/>
    <w:rsid w:val="4F2064F4"/>
    <w:rsid w:val="4F4A531F"/>
    <w:rsid w:val="4F5278CB"/>
    <w:rsid w:val="4F616B49"/>
    <w:rsid w:val="4F6556A5"/>
    <w:rsid w:val="4FA13C24"/>
    <w:rsid w:val="4FB55E39"/>
    <w:rsid w:val="4FD660A2"/>
    <w:rsid w:val="50015241"/>
    <w:rsid w:val="501F5FDE"/>
    <w:rsid w:val="5023004A"/>
    <w:rsid w:val="503C735D"/>
    <w:rsid w:val="506F35D7"/>
    <w:rsid w:val="509074BA"/>
    <w:rsid w:val="50A6124F"/>
    <w:rsid w:val="50A8513F"/>
    <w:rsid w:val="50D40AE8"/>
    <w:rsid w:val="50E87E99"/>
    <w:rsid w:val="50F70D9C"/>
    <w:rsid w:val="510C6D30"/>
    <w:rsid w:val="517A013D"/>
    <w:rsid w:val="517A638F"/>
    <w:rsid w:val="517E391A"/>
    <w:rsid w:val="518B2D91"/>
    <w:rsid w:val="518D1D94"/>
    <w:rsid w:val="519A5EC1"/>
    <w:rsid w:val="51DD3883"/>
    <w:rsid w:val="51E7553F"/>
    <w:rsid w:val="51EB468E"/>
    <w:rsid w:val="5205243B"/>
    <w:rsid w:val="52586AA6"/>
    <w:rsid w:val="526153FD"/>
    <w:rsid w:val="52647484"/>
    <w:rsid w:val="528F5E6A"/>
    <w:rsid w:val="52A60814"/>
    <w:rsid w:val="52B81675"/>
    <w:rsid w:val="52BF3FC9"/>
    <w:rsid w:val="52CB49C9"/>
    <w:rsid w:val="52ED3251"/>
    <w:rsid w:val="53217253"/>
    <w:rsid w:val="535E75EB"/>
    <w:rsid w:val="536F573F"/>
    <w:rsid w:val="53C23A53"/>
    <w:rsid w:val="53CA425B"/>
    <w:rsid w:val="53F92355"/>
    <w:rsid w:val="53FF2ACF"/>
    <w:rsid w:val="54040192"/>
    <w:rsid w:val="54085ED4"/>
    <w:rsid w:val="54224D7B"/>
    <w:rsid w:val="543A7BB3"/>
    <w:rsid w:val="54445537"/>
    <w:rsid w:val="54450D1E"/>
    <w:rsid w:val="54847D21"/>
    <w:rsid w:val="54D9371D"/>
    <w:rsid w:val="553226A2"/>
    <w:rsid w:val="553403DB"/>
    <w:rsid w:val="55354738"/>
    <w:rsid w:val="55512B0B"/>
    <w:rsid w:val="558D6041"/>
    <w:rsid w:val="55945FAB"/>
    <w:rsid w:val="55A16490"/>
    <w:rsid w:val="55DB13C7"/>
    <w:rsid w:val="55F8497D"/>
    <w:rsid w:val="56206DD9"/>
    <w:rsid w:val="562543F0"/>
    <w:rsid w:val="564741AE"/>
    <w:rsid w:val="564D23C5"/>
    <w:rsid w:val="565C76B1"/>
    <w:rsid w:val="56615C10"/>
    <w:rsid w:val="56660C90"/>
    <w:rsid w:val="56AD579F"/>
    <w:rsid w:val="56C425D1"/>
    <w:rsid w:val="56C82BBF"/>
    <w:rsid w:val="56D56F5D"/>
    <w:rsid w:val="56E96F9D"/>
    <w:rsid w:val="572B1EDA"/>
    <w:rsid w:val="573439FF"/>
    <w:rsid w:val="5737262D"/>
    <w:rsid w:val="575E405D"/>
    <w:rsid w:val="57820792"/>
    <w:rsid w:val="579A5A3E"/>
    <w:rsid w:val="57C40364"/>
    <w:rsid w:val="57C57C38"/>
    <w:rsid w:val="57D12A81"/>
    <w:rsid w:val="57D225F1"/>
    <w:rsid w:val="57DB3900"/>
    <w:rsid w:val="57ED44D8"/>
    <w:rsid w:val="57F90958"/>
    <w:rsid w:val="58086F50"/>
    <w:rsid w:val="5830465A"/>
    <w:rsid w:val="58550FBC"/>
    <w:rsid w:val="587A2792"/>
    <w:rsid w:val="588264A9"/>
    <w:rsid w:val="58AA6505"/>
    <w:rsid w:val="58AD704A"/>
    <w:rsid w:val="58B60FA3"/>
    <w:rsid w:val="58E737AF"/>
    <w:rsid w:val="59190DF4"/>
    <w:rsid w:val="59505C28"/>
    <w:rsid w:val="59562F37"/>
    <w:rsid w:val="59583C3D"/>
    <w:rsid w:val="597C07CB"/>
    <w:rsid w:val="59860D88"/>
    <w:rsid w:val="59DE3233"/>
    <w:rsid w:val="5A0343D7"/>
    <w:rsid w:val="5A8D758E"/>
    <w:rsid w:val="5A9D69A2"/>
    <w:rsid w:val="5A9D6C4B"/>
    <w:rsid w:val="5ABA3EA2"/>
    <w:rsid w:val="5AC3494D"/>
    <w:rsid w:val="5AC525B0"/>
    <w:rsid w:val="5AF26AF0"/>
    <w:rsid w:val="5B0E242E"/>
    <w:rsid w:val="5B182775"/>
    <w:rsid w:val="5B4812AC"/>
    <w:rsid w:val="5B596F9A"/>
    <w:rsid w:val="5B6B0AF7"/>
    <w:rsid w:val="5B6C29DC"/>
    <w:rsid w:val="5BC0269A"/>
    <w:rsid w:val="5BC35A43"/>
    <w:rsid w:val="5C0D4A9F"/>
    <w:rsid w:val="5C1703A7"/>
    <w:rsid w:val="5C2238AB"/>
    <w:rsid w:val="5C4B7C49"/>
    <w:rsid w:val="5C52031E"/>
    <w:rsid w:val="5C631661"/>
    <w:rsid w:val="5C727227"/>
    <w:rsid w:val="5C997ADB"/>
    <w:rsid w:val="5CB46152"/>
    <w:rsid w:val="5CE15438"/>
    <w:rsid w:val="5CFD3DFE"/>
    <w:rsid w:val="5D100AFA"/>
    <w:rsid w:val="5D122212"/>
    <w:rsid w:val="5D5B7453"/>
    <w:rsid w:val="5D656145"/>
    <w:rsid w:val="5D973E25"/>
    <w:rsid w:val="5DA0518A"/>
    <w:rsid w:val="5DCA0C89"/>
    <w:rsid w:val="5DCF21F7"/>
    <w:rsid w:val="5DCF35BF"/>
    <w:rsid w:val="5DD83C04"/>
    <w:rsid w:val="5E265F8D"/>
    <w:rsid w:val="5E604FD7"/>
    <w:rsid w:val="5E6171F9"/>
    <w:rsid w:val="5E9046F4"/>
    <w:rsid w:val="5E9618E8"/>
    <w:rsid w:val="5EC21376"/>
    <w:rsid w:val="5EC533C3"/>
    <w:rsid w:val="5EC549C2"/>
    <w:rsid w:val="5EC65F4E"/>
    <w:rsid w:val="5EFA53D2"/>
    <w:rsid w:val="5F1422DF"/>
    <w:rsid w:val="5F1E0394"/>
    <w:rsid w:val="5F35017C"/>
    <w:rsid w:val="5F36141C"/>
    <w:rsid w:val="5F3A7CD1"/>
    <w:rsid w:val="5F3E6A95"/>
    <w:rsid w:val="5F5A6FD2"/>
    <w:rsid w:val="5F62218C"/>
    <w:rsid w:val="5F6E1A70"/>
    <w:rsid w:val="5F8E1258"/>
    <w:rsid w:val="5FAA1F53"/>
    <w:rsid w:val="5FF04E0B"/>
    <w:rsid w:val="60045A46"/>
    <w:rsid w:val="600F12BD"/>
    <w:rsid w:val="60395A06"/>
    <w:rsid w:val="606C1B0C"/>
    <w:rsid w:val="60761918"/>
    <w:rsid w:val="60A93096"/>
    <w:rsid w:val="60BE39F1"/>
    <w:rsid w:val="60ED2FB6"/>
    <w:rsid w:val="60F42D94"/>
    <w:rsid w:val="6104126A"/>
    <w:rsid w:val="610A4651"/>
    <w:rsid w:val="61136B99"/>
    <w:rsid w:val="6126314C"/>
    <w:rsid w:val="612E17F9"/>
    <w:rsid w:val="614A4FC9"/>
    <w:rsid w:val="614E7199"/>
    <w:rsid w:val="617E5C72"/>
    <w:rsid w:val="61803709"/>
    <w:rsid w:val="6181218F"/>
    <w:rsid w:val="6198016C"/>
    <w:rsid w:val="61A46B11"/>
    <w:rsid w:val="61DC1BA0"/>
    <w:rsid w:val="61EC113F"/>
    <w:rsid w:val="61F74CB9"/>
    <w:rsid w:val="621B13C4"/>
    <w:rsid w:val="621B42D5"/>
    <w:rsid w:val="62261C1B"/>
    <w:rsid w:val="62270080"/>
    <w:rsid w:val="62345ABF"/>
    <w:rsid w:val="624B1238"/>
    <w:rsid w:val="62526487"/>
    <w:rsid w:val="6265219D"/>
    <w:rsid w:val="629530A9"/>
    <w:rsid w:val="62960B4F"/>
    <w:rsid w:val="62992578"/>
    <w:rsid w:val="63247AA4"/>
    <w:rsid w:val="63275050"/>
    <w:rsid w:val="636649C5"/>
    <w:rsid w:val="637426D2"/>
    <w:rsid w:val="63846BFA"/>
    <w:rsid w:val="639C6298"/>
    <w:rsid w:val="63FB1C97"/>
    <w:rsid w:val="640B4148"/>
    <w:rsid w:val="64721148"/>
    <w:rsid w:val="64A509B6"/>
    <w:rsid w:val="64F3532E"/>
    <w:rsid w:val="65017ED4"/>
    <w:rsid w:val="6514228A"/>
    <w:rsid w:val="653B1E64"/>
    <w:rsid w:val="65805730"/>
    <w:rsid w:val="659F45BA"/>
    <w:rsid w:val="65C45AD0"/>
    <w:rsid w:val="65E26AB3"/>
    <w:rsid w:val="65F52031"/>
    <w:rsid w:val="66317058"/>
    <w:rsid w:val="663E6402"/>
    <w:rsid w:val="66633B2F"/>
    <w:rsid w:val="667278C9"/>
    <w:rsid w:val="668D124B"/>
    <w:rsid w:val="66B51B98"/>
    <w:rsid w:val="66DA5CD7"/>
    <w:rsid w:val="66FA5B8D"/>
    <w:rsid w:val="66FD52AF"/>
    <w:rsid w:val="67024D25"/>
    <w:rsid w:val="674D4159"/>
    <w:rsid w:val="675608AD"/>
    <w:rsid w:val="67725917"/>
    <w:rsid w:val="678E524B"/>
    <w:rsid w:val="67FB2D21"/>
    <w:rsid w:val="68004642"/>
    <w:rsid w:val="683B7413"/>
    <w:rsid w:val="68450003"/>
    <w:rsid w:val="68640378"/>
    <w:rsid w:val="68AB27F7"/>
    <w:rsid w:val="68BC0BE4"/>
    <w:rsid w:val="68C64184"/>
    <w:rsid w:val="68CA1025"/>
    <w:rsid w:val="68E63EB3"/>
    <w:rsid w:val="68F53807"/>
    <w:rsid w:val="691D306B"/>
    <w:rsid w:val="692405FE"/>
    <w:rsid w:val="69477468"/>
    <w:rsid w:val="694F4A56"/>
    <w:rsid w:val="69603C65"/>
    <w:rsid w:val="696D1462"/>
    <w:rsid w:val="699D7EFD"/>
    <w:rsid w:val="6A0C16F7"/>
    <w:rsid w:val="6A52684D"/>
    <w:rsid w:val="6A5512F0"/>
    <w:rsid w:val="6A5A06B4"/>
    <w:rsid w:val="6AA06A0F"/>
    <w:rsid w:val="6AA638F9"/>
    <w:rsid w:val="6AD76559"/>
    <w:rsid w:val="6AE213F9"/>
    <w:rsid w:val="6AE82164"/>
    <w:rsid w:val="6AEB3B54"/>
    <w:rsid w:val="6B1765A5"/>
    <w:rsid w:val="6B416605"/>
    <w:rsid w:val="6B464D0B"/>
    <w:rsid w:val="6B696C8B"/>
    <w:rsid w:val="6B8143A2"/>
    <w:rsid w:val="6B8F438D"/>
    <w:rsid w:val="6BD66460"/>
    <w:rsid w:val="6BE446D9"/>
    <w:rsid w:val="6BEC6755"/>
    <w:rsid w:val="6BF9408C"/>
    <w:rsid w:val="6BFD073C"/>
    <w:rsid w:val="6C136D6D"/>
    <w:rsid w:val="6C1D4EF0"/>
    <w:rsid w:val="6C2D2438"/>
    <w:rsid w:val="6C3D64DF"/>
    <w:rsid w:val="6C54752D"/>
    <w:rsid w:val="6C7D5723"/>
    <w:rsid w:val="6CA43D4D"/>
    <w:rsid w:val="6CDA788A"/>
    <w:rsid w:val="6CE13431"/>
    <w:rsid w:val="6CF12E5E"/>
    <w:rsid w:val="6D0C69C9"/>
    <w:rsid w:val="6D0F1C2A"/>
    <w:rsid w:val="6D377FB2"/>
    <w:rsid w:val="6D4270CF"/>
    <w:rsid w:val="6D467CD3"/>
    <w:rsid w:val="6D4E14DA"/>
    <w:rsid w:val="6D512242"/>
    <w:rsid w:val="6D7319A8"/>
    <w:rsid w:val="6D7E183D"/>
    <w:rsid w:val="6D9162B5"/>
    <w:rsid w:val="6D9B4E2A"/>
    <w:rsid w:val="6DA06CC7"/>
    <w:rsid w:val="6DA564DF"/>
    <w:rsid w:val="6DCA0B54"/>
    <w:rsid w:val="6E7C400D"/>
    <w:rsid w:val="6E9D0574"/>
    <w:rsid w:val="6EB76031"/>
    <w:rsid w:val="6EBC037B"/>
    <w:rsid w:val="6EC455E8"/>
    <w:rsid w:val="6F0670E3"/>
    <w:rsid w:val="6F2372ED"/>
    <w:rsid w:val="6F360C6D"/>
    <w:rsid w:val="6F6F4A62"/>
    <w:rsid w:val="6F8372E4"/>
    <w:rsid w:val="6F983C13"/>
    <w:rsid w:val="6FA10EE2"/>
    <w:rsid w:val="6FA625D0"/>
    <w:rsid w:val="6FB7593B"/>
    <w:rsid w:val="6FD42CB7"/>
    <w:rsid w:val="6FE17037"/>
    <w:rsid w:val="6FE23786"/>
    <w:rsid w:val="6FE97DE1"/>
    <w:rsid w:val="704C6E4E"/>
    <w:rsid w:val="7063448F"/>
    <w:rsid w:val="70710506"/>
    <w:rsid w:val="707350FA"/>
    <w:rsid w:val="708E76A3"/>
    <w:rsid w:val="709F5141"/>
    <w:rsid w:val="70A036F7"/>
    <w:rsid w:val="70B93B6C"/>
    <w:rsid w:val="70E60EF4"/>
    <w:rsid w:val="70F60B30"/>
    <w:rsid w:val="71342FEC"/>
    <w:rsid w:val="71481C0E"/>
    <w:rsid w:val="71823515"/>
    <w:rsid w:val="71871854"/>
    <w:rsid w:val="719C3510"/>
    <w:rsid w:val="71A45D11"/>
    <w:rsid w:val="71BB57CD"/>
    <w:rsid w:val="71F41E2D"/>
    <w:rsid w:val="71FB7F18"/>
    <w:rsid w:val="72333558"/>
    <w:rsid w:val="72346E25"/>
    <w:rsid w:val="72911A79"/>
    <w:rsid w:val="72BE1CA5"/>
    <w:rsid w:val="72D41D6F"/>
    <w:rsid w:val="735105F2"/>
    <w:rsid w:val="73526864"/>
    <w:rsid w:val="735E1215"/>
    <w:rsid w:val="73733B48"/>
    <w:rsid w:val="7374127B"/>
    <w:rsid w:val="737A3E1E"/>
    <w:rsid w:val="738770CA"/>
    <w:rsid w:val="738F2F51"/>
    <w:rsid w:val="73A31348"/>
    <w:rsid w:val="73AC4C34"/>
    <w:rsid w:val="73BB3113"/>
    <w:rsid w:val="73DF48EB"/>
    <w:rsid w:val="73EB3B3A"/>
    <w:rsid w:val="73F676A0"/>
    <w:rsid w:val="73FD752A"/>
    <w:rsid w:val="74085ABE"/>
    <w:rsid w:val="741D19A8"/>
    <w:rsid w:val="74403E1C"/>
    <w:rsid w:val="746C7BF2"/>
    <w:rsid w:val="74732A9E"/>
    <w:rsid w:val="748B0C21"/>
    <w:rsid w:val="748D0748"/>
    <w:rsid w:val="74A65425"/>
    <w:rsid w:val="74AC6CAB"/>
    <w:rsid w:val="74B160E5"/>
    <w:rsid w:val="74D67227"/>
    <w:rsid w:val="74DB7F7F"/>
    <w:rsid w:val="74E50D2E"/>
    <w:rsid w:val="75004E12"/>
    <w:rsid w:val="750616E4"/>
    <w:rsid w:val="75154854"/>
    <w:rsid w:val="752E64C5"/>
    <w:rsid w:val="758F0C84"/>
    <w:rsid w:val="75AF5D58"/>
    <w:rsid w:val="767955ED"/>
    <w:rsid w:val="767D77CE"/>
    <w:rsid w:val="768C2CE1"/>
    <w:rsid w:val="76943274"/>
    <w:rsid w:val="769A34C5"/>
    <w:rsid w:val="76B25651"/>
    <w:rsid w:val="76B82F83"/>
    <w:rsid w:val="76CB3AE8"/>
    <w:rsid w:val="77791682"/>
    <w:rsid w:val="778D28B9"/>
    <w:rsid w:val="77AE4D05"/>
    <w:rsid w:val="781312EB"/>
    <w:rsid w:val="781B5927"/>
    <w:rsid w:val="782465A4"/>
    <w:rsid w:val="782D12A8"/>
    <w:rsid w:val="78685410"/>
    <w:rsid w:val="7874534E"/>
    <w:rsid w:val="788413B0"/>
    <w:rsid w:val="788704E7"/>
    <w:rsid w:val="78A07BDA"/>
    <w:rsid w:val="78CA4C57"/>
    <w:rsid w:val="78CC09CF"/>
    <w:rsid w:val="78D66E2B"/>
    <w:rsid w:val="78FD553D"/>
    <w:rsid w:val="79055C6B"/>
    <w:rsid w:val="790836D0"/>
    <w:rsid w:val="790F043C"/>
    <w:rsid w:val="79406247"/>
    <w:rsid w:val="79515378"/>
    <w:rsid w:val="798017B9"/>
    <w:rsid w:val="79A529F4"/>
    <w:rsid w:val="79A96F62"/>
    <w:rsid w:val="79BD1E6F"/>
    <w:rsid w:val="79F14AD6"/>
    <w:rsid w:val="7A1062A7"/>
    <w:rsid w:val="7A434CC1"/>
    <w:rsid w:val="7A635363"/>
    <w:rsid w:val="7A6B1771"/>
    <w:rsid w:val="7A745707"/>
    <w:rsid w:val="7A822B44"/>
    <w:rsid w:val="7AC13D73"/>
    <w:rsid w:val="7AC3522E"/>
    <w:rsid w:val="7AC96443"/>
    <w:rsid w:val="7AEA1B37"/>
    <w:rsid w:val="7AFA142C"/>
    <w:rsid w:val="7B02579B"/>
    <w:rsid w:val="7B1B3E90"/>
    <w:rsid w:val="7B4035FC"/>
    <w:rsid w:val="7B426BFF"/>
    <w:rsid w:val="7B5370FF"/>
    <w:rsid w:val="7BB223DA"/>
    <w:rsid w:val="7BB7550B"/>
    <w:rsid w:val="7BBF266F"/>
    <w:rsid w:val="7BD52290"/>
    <w:rsid w:val="7BDD1103"/>
    <w:rsid w:val="7BF512D6"/>
    <w:rsid w:val="7BF55D97"/>
    <w:rsid w:val="7C026B52"/>
    <w:rsid w:val="7C0617D3"/>
    <w:rsid w:val="7C407A06"/>
    <w:rsid w:val="7C4C465A"/>
    <w:rsid w:val="7C7B1E04"/>
    <w:rsid w:val="7CD42548"/>
    <w:rsid w:val="7CE42605"/>
    <w:rsid w:val="7D113C50"/>
    <w:rsid w:val="7D5479FD"/>
    <w:rsid w:val="7D5B60DB"/>
    <w:rsid w:val="7D760C50"/>
    <w:rsid w:val="7D83532C"/>
    <w:rsid w:val="7D8E0CB1"/>
    <w:rsid w:val="7D917500"/>
    <w:rsid w:val="7D9F73FB"/>
    <w:rsid w:val="7DBD12CB"/>
    <w:rsid w:val="7E15212F"/>
    <w:rsid w:val="7E291289"/>
    <w:rsid w:val="7E5A0472"/>
    <w:rsid w:val="7E5A6A7D"/>
    <w:rsid w:val="7E5E6C12"/>
    <w:rsid w:val="7E754DAE"/>
    <w:rsid w:val="7E7C2CBC"/>
    <w:rsid w:val="7EB048EF"/>
    <w:rsid w:val="7EC47257"/>
    <w:rsid w:val="7ED00E67"/>
    <w:rsid w:val="7ED06113"/>
    <w:rsid w:val="7F212AA4"/>
    <w:rsid w:val="7F4E3607"/>
    <w:rsid w:val="7F5D7A5E"/>
    <w:rsid w:val="7F6552A1"/>
    <w:rsid w:val="7F771D9D"/>
    <w:rsid w:val="7F9F776C"/>
    <w:rsid w:val="7FC55ADC"/>
    <w:rsid w:val="7FCA31AD"/>
    <w:rsid w:val="7FE10A82"/>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iPriority="99" w:semiHidden="0"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0"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qFormat="1" w:unhideWhenUsed="0" w:uiPriority="0" w:name="Table Simple 1"/>
    <w:lsdException w:uiPriority="99" w:name="Table Simple 2"/>
    <w:lsdException w:qFormat="1" w:unhideWhenUsed="0" w:uiPriority="0" w:semiHidden="0"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qFormat="1" w:unhideWhenUsed="0" w:uiPriority="0" w:semiHidden="0"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ind w:firstLine="72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104"/>
    <w:qFormat/>
    <w:uiPriority w:val="0"/>
    <w:pPr>
      <w:keepNext/>
      <w:keepLines/>
      <w:numPr>
        <w:ilvl w:val="0"/>
        <w:numId w:val="1"/>
      </w:numPr>
      <w:spacing w:before="160" w:after="160"/>
      <w:outlineLvl w:val="0"/>
    </w:pPr>
    <w:rPr>
      <w:rFonts w:eastAsia="黑体"/>
      <w:bCs/>
      <w:kern w:val="44"/>
      <w:sz w:val="32"/>
      <w:szCs w:val="44"/>
    </w:rPr>
  </w:style>
  <w:style w:type="paragraph" w:styleId="4">
    <w:name w:val="heading 2"/>
    <w:basedOn w:val="1"/>
    <w:next w:val="1"/>
    <w:link w:val="105"/>
    <w:qFormat/>
    <w:uiPriority w:val="0"/>
    <w:pPr>
      <w:keepNext/>
      <w:keepLines/>
      <w:numPr>
        <w:ilvl w:val="1"/>
        <w:numId w:val="1"/>
      </w:numPr>
      <w:tabs>
        <w:tab w:val="left" w:pos="525"/>
      </w:tabs>
      <w:spacing w:before="102" w:beforeLines="30" w:after="68" w:afterLines="20"/>
      <w:outlineLvl w:val="1"/>
    </w:pPr>
    <w:rPr>
      <w:b/>
      <w:bCs/>
      <w:sz w:val="30"/>
      <w:szCs w:val="32"/>
    </w:rPr>
  </w:style>
  <w:style w:type="paragraph" w:styleId="5">
    <w:name w:val="heading 3"/>
    <w:basedOn w:val="1"/>
    <w:next w:val="1"/>
    <w:link w:val="106"/>
    <w:qFormat/>
    <w:uiPriority w:val="0"/>
    <w:pPr>
      <w:keepNext/>
      <w:keepLines/>
      <w:numPr>
        <w:ilvl w:val="2"/>
        <w:numId w:val="1"/>
      </w:numPr>
      <w:tabs>
        <w:tab w:val="left" w:pos="630"/>
      </w:tabs>
      <w:spacing w:before="102" w:beforeLines="30" w:after="68" w:afterLines="20"/>
      <w:outlineLvl w:val="2"/>
    </w:pPr>
    <w:rPr>
      <w:b/>
      <w:bCs/>
      <w:sz w:val="28"/>
      <w:szCs w:val="28"/>
    </w:rPr>
  </w:style>
  <w:style w:type="paragraph" w:styleId="6">
    <w:name w:val="heading 4"/>
    <w:basedOn w:val="1"/>
    <w:next w:val="1"/>
    <w:link w:val="107"/>
    <w:qFormat/>
    <w:uiPriority w:val="0"/>
    <w:pPr>
      <w:keepNext/>
      <w:keepLines/>
      <w:numPr>
        <w:ilvl w:val="3"/>
        <w:numId w:val="1"/>
      </w:numPr>
      <w:outlineLvl w:val="3"/>
    </w:pPr>
    <w:rPr>
      <w:b/>
      <w:bCs/>
      <w:szCs w:val="28"/>
    </w:rPr>
  </w:style>
  <w:style w:type="paragraph" w:styleId="7">
    <w:name w:val="heading 5"/>
    <w:basedOn w:val="1"/>
    <w:next w:val="1"/>
    <w:link w:val="108"/>
    <w:qFormat/>
    <w:uiPriority w:val="0"/>
    <w:pPr>
      <w:keepNext/>
      <w:keepLines/>
      <w:numPr>
        <w:ilvl w:val="4"/>
        <w:numId w:val="1"/>
      </w:numPr>
      <w:outlineLvl w:val="4"/>
    </w:pPr>
    <w:rPr>
      <w:b/>
      <w:bCs/>
      <w:sz w:val="28"/>
      <w:szCs w:val="28"/>
    </w:rPr>
  </w:style>
  <w:style w:type="paragraph" w:styleId="8">
    <w:name w:val="heading 6"/>
    <w:basedOn w:val="1"/>
    <w:next w:val="1"/>
    <w:link w:val="109"/>
    <w:qFormat/>
    <w:uiPriority w:val="0"/>
    <w:pPr>
      <w:keepNext/>
      <w:keepLines/>
      <w:numPr>
        <w:ilvl w:val="5"/>
        <w:numId w:val="1"/>
      </w:numPr>
      <w:outlineLvl w:val="5"/>
    </w:pPr>
    <w:rPr>
      <w:b/>
      <w:bCs/>
      <w:sz w:val="30"/>
      <w:szCs w:val="24"/>
    </w:rPr>
  </w:style>
  <w:style w:type="paragraph" w:styleId="9">
    <w:name w:val="heading 7"/>
    <w:basedOn w:val="1"/>
    <w:next w:val="1"/>
    <w:link w:val="110"/>
    <w:qFormat/>
    <w:uiPriority w:val="0"/>
    <w:pPr>
      <w:keepNext/>
      <w:keepLines/>
      <w:numPr>
        <w:ilvl w:val="6"/>
        <w:numId w:val="1"/>
      </w:numPr>
      <w:spacing w:before="240" w:after="64" w:line="320" w:lineRule="auto"/>
      <w:outlineLvl w:val="6"/>
    </w:pPr>
    <w:rPr>
      <w:b/>
      <w:bCs/>
      <w:szCs w:val="24"/>
    </w:rPr>
  </w:style>
  <w:style w:type="paragraph" w:styleId="10">
    <w:name w:val="heading 8"/>
    <w:basedOn w:val="1"/>
    <w:next w:val="1"/>
    <w:link w:val="111"/>
    <w:qFormat/>
    <w:uiPriority w:val="0"/>
    <w:pPr>
      <w:keepNext/>
      <w:keepLines/>
      <w:numPr>
        <w:ilvl w:val="7"/>
        <w:numId w:val="1"/>
      </w:numPr>
      <w:spacing w:before="240" w:after="64" w:line="320" w:lineRule="auto"/>
      <w:outlineLvl w:val="7"/>
    </w:pPr>
    <w:rPr>
      <w:rFonts w:ascii="Arial" w:hAnsi="Arial" w:eastAsia="黑体"/>
      <w:szCs w:val="24"/>
    </w:rPr>
  </w:style>
  <w:style w:type="paragraph" w:styleId="11">
    <w:name w:val="heading 9"/>
    <w:basedOn w:val="1"/>
    <w:next w:val="1"/>
    <w:link w:val="112"/>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93">
    <w:name w:val="Default Paragraph Font"/>
    <w:unhideWhenUsed/>
    <w:qFormat/>
    <w:uiPriority w:val="1"/>
  </w:style>
  <w:style w:type="table" w:default="1" w:styleId="82">
    <w:name w:val="Normal Table"/>
    <w:semiHidden/>
    <w:unhideWhenUsed/>
    <w:qFormat/>
    <w:uiPriority w:val="99"/>
    <w:tblPr>
      <w:tblCellMar>
        <w:top w:w="0" w:type="dxa"/>
        <w:left w:w="108" w:type="dxa"/>
        <w:bottom w:w="0" w:type="dxa"/>
        <w:right w:w="108" w:type="dxa"/>
      </w:tblCellMar>
    </w:tblPr>
  </w:style>
  <w:style w:type="paragraph" w:styleId="2">
    <w:name w:val="macro"/>
    <w:link w:val="103"/>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toc 7"/>
    <w:basedOn w:val="1"/>
    <w:next w:val="1"/>
    <w:qFormat/>
    <w:uiPriority w:val="39"/>
    <w:pPr>
      <w:ind w:left="1260"/>
    </w:pPr>
    <w:rPr>
      <w:sz w:val="18"/>
      <w:szCs w:val="18"/>
    </w:rPr>
  </w:style>
  <w:style w:type="paragraph" w:styleId="13">
    <w:name w:val="List Number 2"/>
    <w:basedOn w:val="1"/>
    <w:qFormat/>
    <w:uiPriority w:val="0"/>
    <w:pPr>
      <w:widowControl w:val="0"/>
      <w:tabs>
        <w:tab w:val="left" w:pos="780"/>
      </w:tabs>
      <w:ind w:left="780" w:leftChars="200" w:hanging="420"/>
    </w:pPr>
    <w:rPr>
      <w:b/>
      <w:sz w:val="28"/>
      <w:szCs w:val="24"/>
    </w:rPr>
  </w:style>
  <w:style w:type="paragraph" w:styleId="14">
    <w:name w:val="table of authorities"/>
    <w:basedOn w:val="1"/>
    <w:next w:val="1"/>
    <w:qFormat/>
    <w:uiPriority w:val="0"/>
    <w:pPr>
      <w:ind w:left="420" w:leftChars="200"/>
    </w:pPr>
    <w:rPr>
      <w:szCs w:val="24"/>
    </w:rPr>
  </w:style>
  <w:style w:type="paragraph" w:styleId="15">
    <w:name w:val="Note Heading"/>
    <w:basedOn w:val="1"/>
    <w:next w:val="1"/>
    <w:link w:val="113"/>
    <w:qFormat/>
    <w:uiPriority w:val="0"/>
    <w:pPr>
      <w:jc w:val="center"/>
    </w:pPr>
    <w:rPr>
      <w:szCs w:val="20"/>
    </w:rPr>
  </w:style>
  <w:style w:type="paragraph" w:styleId="16">
    <w:name w:val="index 8"/>
    <w:basedOn w:val="1"/>
    <w:next w:val="1"/>
    <w:semiHidden/>
    <w:qFormat/>
    <w:uiPriority w:val="0"/>
    <w:pPr>
      <w:ind w:left="2940" w:firstLine="480"/>
    </w:pPr>
    <w:rPr>
      <w:szCs w:val="20"/>
    </w:rPr>
  </w:style>
  <w:style w:type="paragraph" w:styleId="17">
    <w:name w:val="E-mail Signature"/>
    <w:basedOn w:val="1"/>
    <w:link w:val="114"/>
    <w:semiHidden/>
    <w:qFormat/>
    <w:uiPriority w:val="0"/>
    <w:pPr>
      <w:spacing w:line="520" w:lineRule="exact"/>
      <w:ind w:firstLine="200"/>
    </w:pPr>
    <w:rPr>
      <w:rFonts w:ascii="仿宋_GB2312" w:eastAsia="仿宋_GB2312"/>
      <w:sz w:val="28"/>
      <w:szCs w:val="28"/>
    </w:rPr>
  </w:style>
  <w:style w:type="paragraph" w:styleId="18">
    <w:name w:val="List Number"/>
    <w:basedOn w:val="1"/>
    <w:qFormat/>
    <w:uiPriority w:val="0"/>
    <w:pPr>
      <w:tabs>
        <w:tab w:val="left" w:pos="360"/>
      </w:tabs>
      <w:spacing w:line="520" w:lineRule="exact"/>
      <w:ind w:left="360" w:hanging="360" w:hangingChars="200"/>
    </w:pPr>
    <w:rPr>
      <w:rFonts w:ascii="仿宋_GB2312" w:eastAsia="仿宋_GB2312"/>
      <w:sz w:val="28"/>
      <w:szCs w:val="28"/>
    </w:rPr>
  </w:style>
  <w:style w:type="paragraph" w:styleId="19">
    <w:name w:val="Normal Indent"/>
    <w:basedOn w:val="1"/>
    <w:link w:val="115"/>
    <w:unhideWhenUsed/>
    <w:qFormat/>
    <w:uiPriority w:val="0"/>
    <w:pPr>
      <w:ind w:firstLine="420"/>
    </w:pPr>
  </w:style>
  <w:style w:type="paragraph" w:styleId="20">
    <w:name w:val="caption"/>
    <w:basedOn w:val="1"/>
    <w:next w:val="1"/>
    <w:link w:val="116"/>
    <w:qFormat/>
    <w:uiPriority w:val="0"/>
    <w:pPr>
      <w:widowControl w:val="0"/>
      <w:ind w:firstLine="482"/>
    </w:pPr>
    <w:rPr>
      <w:b/>
      <w:bCs/>
      <w:szCs w:val="24"/>
    </w:rPr>
  </w:style>
  <w:style w:type="paragraph" w:styleId="21">
    <w:name w:val="index 5"/>
    <w:basedOn w:val="1"/>
    <w:next w:val="1"/>
    <w:semiHidden/>
    <w:qFormat/>
    <w:uiPriority w:val="0"/>
    <w:pPr>
      <w:ind w:left="1680" w:firstLine="480"/>
    </w:pPr>
    <w:rPr>
      <w:szCs w:val="20"/>
    </w:rPr>
  </w:style>
  <w:style w:type="paragraph" w:styleId="22">
    <w:name w:val="List Bullet"/>
    <w:basedOn w:val="1"/>
    <w:qFormat/>
    <w:uiPriority w:val="0"/>
    <w:pPr>
      <w:tabs>
        <w:tab w:val="left" w:pos="432"/>
      </w:tabs>
      <w:spacing w:line="490" w:lineRule="exact"/>
      <w:ind w:left="432" w:hanging="432"/>
    </w:pPr>
    <w:rPr>
      <w:rFonts w:eastAsia="仿宋_GB2312"/>
      <w:sz w:val="28"/>
      <w:szCs w:val="20"/>
    </w:rPr>
  </w:style>
  <w:style w:type="paragraph" w:styleId="23">
    <w:name w:val="Document Map"/>
    <w:basedOn w:val="1"/>
    <w:link w:val="117"/>
    <w:unhideWhenUsed/>
    <w:qFormat/>
    <w:uiPriority w:val="0"/>
    <w:rPr>
      <w:rFonts w:ascii="宋体"/>
      <w:sz w:val="18"/>
      <w:szCs w:val="18"/>
    </w:rPr>
  </w:style>
  <w:style w:type="paragraph" w:styleId="24">
    <w:name w:val="toa heading"/>
    <w:basedOn w:val="1"/>
    <w:next w:val="1"/>
    <w:qFormat/>
    <w:uiPriority w:val="0"/>
    <w:pPr>
      <w:spacing w:before="120"/>
    </w:pPr>
    <w:rPr>
      <w:rFonts w:ascii="Arial" w:hAnsi="Arial" w:cs="Arial"/>
      <w:szCs w:val="24"/>
    </w:rPr>
  </w:style>
  <w:style w:type="paragraph" w:styleId="25">
    <w:name w:val="annotation text"/>
    <w:basedOn w:val="1"/>
    <w:link w:val="118"/>
    <w:qFormat/>
    <w:uiPriority w:val="0"/>
    <w:rPr>
      <w:szCs w:val="24"/>
    </w:rPr>
  </w:style>
  <w:style w:type="paragraph" w:styleId="26">
    <w:name w:val="index 6"/>
    <w:basedOn w:val="1"/>
    <w:next w:val="1"/>
    <w:semiHidden/>
    <w:qFormat/>
    <w:uiPriority w:val="0"/>
    <w:pPr>
      <w:ind w:left="2100" w:firstLine="480"/>
    </w:pPr>
    <w:rPr>
      <w:szCs w:val="20"/>
    </w:rPr>
  </w:style>
  <w:style w:type="paragraph" w:styleId="27">
    <w:name w:val="Salutation"/>
    <w:basedOn w:val="1"/>
    <w:next w:val="1"/>
    <w:link w:val="119"/>
    <w:qFormat/>
    <w:uiPriority w:val="0"/>
    <w:pPr>
      <w:spacing w:line="360" w:lineRule="atLeast"/>
      <w:textAlignment w:val="baseline"/>
    </w:pPr>
    <w:rPr>
      <w:rFonts w:hAnsi="楷体" w:eastAsia="楷体"/>
      <w:kern w:val="0"/>
      <w:sz w:val="28"/>
      <w:szCs w:val="20"/>
    </w:rPr>
  </w:style>
  <w:style w:type="paragraph" w:styleId="28">
    <w:name w:val="Body Text 3"/>
    <w:basedOn w:val="1"/>
    <w:link w:val="120"/>
    <w:qFormat/>
    <w:uiPriority w:val="0"/>
    <w:pPr>
      <w:jc w:val="center"/>
      <w:textAlignment w:val="baseline"/>
    </w:pPr>
    <w:rPr>
      <w:kern w:val="0"/>
      <w:sz w:val="18"/>
      <w:szCs w:val="20"/>
    </w:rPr>
  </w:style>
  <w:style w:type="paragraph" w:styleId="29">
    <w:name w:val="Closing"/>
    <w:basedOn w:val="1"/>
    <w:link w:val="121"/>
    <w:qFormat/>
    <w:uiPriority w:val="0"/>
    <w:pPr>
      <w:spacing w:line="360" w:lineRule="atLeast"/>
      <w:ind w:left="100" w:leftChars="2100"/>
      <w:textAlignment w:val="baseline"/>
    </w:pPr>
    <w:rPr>
      <w:rFonts w:hAnsi="楷体" w:eastAsia="楷体"/>
      <w:kern w:val="0"/>
      <w:sz w:val="28"/>
      <w:szCs w:val="20"/>
    </w:rPr>
  </w:style>
  <w:style w:type="paragraph" w:styleId="30">
    <w:name w:val="List Bullet 3"/>
    <w:basedOn w:val="1"/>
    <w:qFormat/>
    <w:uiPriority w:val="0"/>
    <w:pPr>
      <w:widowControl w:val="0"/>
      <w:tabs>
        <w:tab w:val="left" w:pos="1200"/>
      </w:tabs>
      <w:ind w:left="1200" w:leftChars="400" w:hanging="420"/>
    </w:pPr>
    <w:rPr>
      <w:b/>
      <w:sz w:val="28"/>
      <w:szCs w:val="24"/>
    </w:rPr>
  </w:style>
  <w:style w:type="paragraph" w:styleId="31">
    <w:name w:val="Body Text"/>
    <w:basedOn w:val="1"/>
    <w:next w:val="1"/>
    <w:link w:val="122"/>
    <w:unhideWhenUsed/>
    <w:qFormat/>
    <w:uiPriority w:val="0"/>
    <w:pPr>
      <w:spacing w:after="120"/>
    </w:pPr>
  </w:style>
  <w:style w:type="paragraph" w:styleId="32">
    <w:name w:val="Body Text Indent"/>
    <w:basedOn w:val="1"/>
    <w:next w:val="33"/>
    <w:link w:val="123"/>
    <w:qFormat/>
    <w:uiPriority w:val="0"/>
    <w:pPr>
      <w:spacing w:after="120" w:line="360" w:lineRule="atLeast"/>
      <w:ind w:left="420" w:leftChars="200"/>
      <w:textAlignment w:val="baseline"/>
    </w:pPr>
    <w:rPr>
      <w:kern w:val="0"/>
      <w:szCs w:val="20"/>
    </w:rPr>
  </w:style>
  <w:style w:type="paragraph" w:styleId="33">
    <w:name w:val="header"/>
    <w:basedOn w:val="1"/>
    <w:next w:val="34"/>
    <w:link w:val="124"/>
    <w:qFormat/>
    <w:uiPriority w:val="0"/>
    <w:pPr>
      <w:pBdr>
        <w:bottom w:val="single" w:color="auto" w:sz="6" w:space="1"/>
      </w:pBdr>
      <w:tabs>
        <w:tab w:val="center" w:pos="4153"/>
        <w:tab w:val="right" w:pos="8306"/>
      </w:tabs>
      <w:spacing w:line="240" w:lineRule="atLeast"/>
      <w:ind w:firstLine="510"/>
      <w:jc w:val="center"/>
      <w:textAlignment w:val="baseline"/>
    </w:pPr>
    <w:rPr>
      <w:kern w:val="0"/>
      <w:sz w:val="20"/>
      <w:szCs w:val="20"/>
    </w:rPr>
  </w:style>
  <w:style w:type="paragraph" w:customStyle="1" w:styleId="34">
    <w:name w:val="样式5"/>
    <w:basedOn w:val="35"/>
    <w:link w:val="125"/>
    <w:qFormat/>
    <w:uiPriority w:val="0"/>
    <w:pPr>
      <w:tabs>
        <w:tab w:val="left" w:pos="1247"/>
        <w:tab w:val="left" w:pos="1534"/>
      </w:tabs>
      <w:spacing w:line="440" w:lineRule="atLeast"/>
      <w:ind w:left="284" w:firstLine="170"/>
    </w:pPr>
    <w:rPr>
      <w:rFonts w:ascii="宋体"/>
      <w:snapToGrid w:val="0"/>
      <w:kern w:val="0"/>
    </w:rPr>
  </w:style>
  <w:style w:type="paragraph" w:customStyle="1" w:styleId="35">
    <w:name w:val="样式3"/>
    <w:basedOn w:val="36"/>
    <w:qFormat/>
    <w:uiPriority w:val="0"/>
    <w:pPr>
      <w:spacing w:line="490" w:lineRule="exact"/>
    </w:pPr>
    <w:rPr>
      <w:rFonts w:ascii="仿宋_GB2312"/>
      <w:szCs w:val="20"/>
    </w:rPr>
  </w:style>
  <w:style w:type="paragraph" w:customStyle="1" w:styleId="36">
    <w:name w:val="样式2"/>
    <w:basedOn w:val="37"/>
    <w:qFormat/>
    <w:uiPriority w:val="0"/>
    <w:pPr>
      <w:spacing w:line="300" w:lineRule="auto"/>
      <w:ind w:firstLine="510"/>
    </w:pPr>
  </w:style>
  <w:style w:type="paragraph" w:customStyle="1" w:styleId="37">
    <w:name w:val="正文 + 宋体"/>
    <w:basedOn w:val="1"/>
    <w:qFormat/>
    <w:uiPriority w:val="0"/>
    <w:pPr>
      <w:ind w:firstLine="200"/>
    </w:pPr>
  </w:style>
  <w:style w:type="paragraph" w:styleId="38">
    <w:name w:val="List Number 3"/>
    <w:basedOn w:val="1"/>
    <w:qFormat/>
    <w:uiPriority w:val="0"/>
    <w:pPr>
      <w:widowControl w:val="0"/>
      <w:tabs>
        <w:tab w:val="left" w:pos="1200"/>
      </w:tabs>
      <w:ind w:left="1200" w:leftChars="400" w:hanging="420"/>
    </w:pPr>
    <w:rPr>
      <w:b/>
      <w:sz w:val="28"/>
      <w:szCs w:val="24"/>
    </w:rPr>
  </w:style>
  <w:style w:type="paragraph" w:styleId="39">
    <w:name w:val="List 2"/>
    <w:basedOn w:val="1"/>
    <w:qFormat/>
    <w:uiPriority w:val="0"/>
    <w:pPr>
      <w:spacing w:line="490" w:lineRule="exact"/>
      <w:ind w:left="100" w:leftChars="200" w:hanging="200" w:hangingChars="200"/>
    </w:pPr>
    <w:rPr>
      <w:rFonts w:eastAsia="仿宋_GB2312"/>
      <w:sz w:val="28"/>
      <w:szCs w:val="20"/>
    </w:rPr>
  </w:style>
  <w:style w:type="paragraph" w:styleId="40">
    <w:name w:val="List Continue"/>
    <w:basedOn w:val="1"/>
    <w:qFormat/>
    <w:uiPriority w:val="0"/>
    <w:pPr>
      <w:spacing w:after="120"/>
      <w:ind w:left="420" w:leftChars="200"/>
    </w:pPr>
    <w:rPr>
      <w:szCs w:val="24"/>
    </w:rPr>
  </w:style>
  <w:style w:type="paragraph" w:styleId="41">
    <w:name w:val="Block Text"/>
    <w:basedOn w:val="1"/>
    <w:qFormat/>
    <w:uiPriority w:val="0"/>
    <w:pPr>
      <w:ind w:left="113" w:right="113"/>
      <w:jc w:val="center"/>
    </w:pPr>
    <w:rPr>
      <w:b/>
      <w:bCs/>
      <w:sz w:val="18"/>
      <w:szCs w:val="24"/>
    </w:rPr>
  </w:style>
  <w:style w:type="paragraph" w:styleId="42">
    <w:name w:val="List Bullet 2"/>
    <w:basedOn w:val="1"/>
    <w:qFormat/>
    <w:uiPriority w:val="0"/>
    <w:pPr>
      <w:spacing w:line="490" w:lineRule="exact"/>
      <w:ind w:left="425" w:hanging="425"/>
    </w:pPr>
    <w:rPr>
      <w:rFonts w:eastAsia="仿宋_GB2312"/>
      <w:sz w:val="28"/>
      <w:szCs w:val="20"/>
    </w:rPr>
  </w:style>
  <w:style w:type="paragraph" w:styleId="43">
    <w:name w:val="index 4"/>
    <w:basedOn w:val="1"/>
    <w:next w:val="1"/>
    <w:semiHidden/>
    <w:qFormat/>
    <w:uiPriority w:val="0"/>
    <w:pPr>
      <w:ind w:left="1260" w:firstLine="480"/>
    </w:pPr>
    <w:rPr>
      <w:szCs w:val="20"/>
    </w:rPr>
  </w:style>
  <w:style w:type="paragraph" w:styleId="44">
    <w:name w:val="toc 5"/>
    <w:basedOn w:val="1"/>
    <w:next w:val="1"/>
    <w:qFormat/>
    <w:uiPriority w:val="39"/>
    <w:pPr>
      <w:ind w:left="840"/>
    </w:pPr>
    <w:rPr>
      <w:sz w:val="18"/>
      <w:szCs w:val="18"/>
    </w:rPr>
  </w:style>
  <w:style w:type="paragraph" w:styleId="45">
    <w:name w:val="toc 3"/>
    <w:basedOn w:val="1"/>
    <w:next w:val="1"/>
    <w:unhideWhenUsed/>
    <w:qFormat/>
    <w:uiPriority w:val="39"/>
    <w:pPr>
      <w:ind w:left="420"/>
    </w:pPr>
    <w:rPr>
      <w:i/>
      <w:iCs/>
      <w:sz w:val="20"/>
      <w:szCs w:val="20"/>
    </w:rPr>
  </w:style>
  <w:style w:type="paragraph" w:styleId="46">
    <w:name w:val="Plain Text"/>
    <w:basedOn w:val="1"/>
    <w:link w:val="126"/>
    <w:qFormat/>
    <w:uiPriority w:val="0"/>
    <w:pPr>
      <w:tabs>
        <w:tab w:val="left" w:pos="420"/>
        <w:tab w:val="left" w:pos="675"/>
      </w:tabs>
      <w:spacing w:line="460" w:lineRule="atLeast"/>
      <w:textAlignment w:val="center"/>
    </w:pPr>
    <w:rPr>
      <w:rFonts w:ascii="宋体" w:hAnsi="Courier New"/>
      <w:szCs w:val="20"/>
    </w:rPr>
  </w:style>
  <w:style w:type="paragraph" w:styleId="47">
    <w:name w:val="List Bullet 5"/>
    <w:basedOn w:val="1"/>
    <w:unhideWhenUsed/>
    <w:qFormat/>
    <w:uiPriority w:val="99"/>
    <w:pPr>
      <w:numPr>
        <w:ilvl w:val="0"/>
        <w:numId w:val="2"/>
      </w:numPr>
    </w:pPr>
  </w:style>
  <w:style w:type="paragraph" w:styleId="48">
    <w:name w:val="toc 8"/>
    <w:basedOn w:val="1"/>
    <w:next w:val="1"/>
    <w:qFormat/>
    <w:uiPriority w:val="39"/>
    <w:pPr>
      <w:ind w:left="1470"/>
    </w:pPr>
    <w:rPr>
      <w:sz w:val="18"/>
      <w:szCs w:val="18"/>
    </w:rPr>
  </w:style>
  <w:style w:type="paragraph" w:styleId="49">
    <w:name w:val="index 3"/>
    <w:basedOn w:val="1"/>
    <w:next w:val="1"/>
    <w:semiHidden/>
    <w:qFormat/>
    <w:uiPriority w:val="0"/>
    <w:pPr>
      <w:ind w:left="840" w:firstLine="480"/>
    </w:pPr>
    <w:rPr>
      <w:szCs w:val="20"/>
    </w:rPr>
  </w:style>
  <w:style w:type="paragraph" w:styleId="50">
    <w:name w:val="Date"/>
    <w:basedOn w:val="1"/>
    <w:next w:val="1"/>
    <w:link w:val="127"/>
    <w:qFormat/>
    <w:uiPriority w:val="0"/>
    <w:pPr>
      <w:ind w:left="100" w:leftChars="2500"/>
    </w:pPr>
    <w:rPr>
      <w:szCs w:val="24"/>
    </w:rPr>
  </w:style>
  <w:style w:type="paragraph" w:styleId="51">
    <w:name w:val="Body Text Indent 2"/>
    <w:basedOn w:val="1"/>
    <w:next w:val="1"/>
    <w:link w:val="128"/>
    <w:unhideWhenUsed/>
    <w:qFormat/>
    <w:uiPriority w:val="0"/>
    <w:pPr>
      <w:spacing w:after="120" w:line="480" w:lineRule="auto"/>
      <w:ind w:left="420" w:leftChars="200"/>
    </w:pPr>
  </w:style>
  <w:style w:type="paragraph" w:styleId="52">
    <w:name w:val="endnote text"/>
    <w:basedOn w:val="1"/>
    <w:link w:val="129"/>
    <w:qFormat/>
    <w:uiPriority w:val="0"/>
    <w:rPr>
      <w:szCs w:val="24"/>
    </w:rPr>
  </w:style>
  <w:style w:type="paragraph" w:styleId="53">
    <w:name w:val="List Continue 5"/>
    <w:basedOn w:val="1"/>
    <w:qFormat/>
    <w:uiPriority w:val="0"/>
    <w:pPr>
      <w:widowControl w:val="0"/>
      <w:tabs>
        <w:tab w:val="left" w:pos="420"/>
      </w:tabs>
      <w:spacing w:after="120"/>
      <w:ind w:left="2100" w:leftChars="1000"/>
    </w:pPr>
    <w:rPr>
      <w:b/>
      <w:sz w:val="28"/>
      <w:szCs w:val="24"/>
    </w:rPr>
  </w:style>
  <w:style w:type="paragraph" w:styleId="54">
    <w:name w:val="Balloon Text"/>
    <w:basedOn w:val="1"/>
    <w:link w:val="130"/>
    <w:qFormat/>
    <w:uiPriority w:val="0"/>
    <w:rPr>
      <w:sz w:val="18"/>
      <w:szCs w:val="18"/>
    </w:rPr>
  </w:style>
  <w:style w:type="paragraph" w:styleId="55">
    <w:name w:val="footer"/>
    <w:basedOn w:val="1"/>
    <w:link w:val="131"/>
    <w:qFormat/>
    <w:uiPriority w:val="99"/>
    <w:pPr>
      <w:tabs>
        <w:tab w:val="center" w:pos="4153"/>
        <w:tab w:val="right" w:pos="8306"/>
      </w:tabs>
      <w:spacing w:line="240" w:lineRule="atLeast"/>
      <w:ind w:firstLine="510"/>
      <w:textAlignment w:val="baseline"/>
    </w:pPr>
    <w:rPr>
      <w:kern w:val="0"/>
      <w:sz w:val="18"/>
      <w:szCs w:val="20"/>
    </w:rPr>
  </w:style>
  <w:style w:type="paragraph" w:styleId="56">
    <w:name w:val="toc 1"/>
    <w:basedOn w:val="1"/>
    <w:next w:val="1"/>
    <w:unhideWhenUsed/>
    <w:qFormat/>
    <w:uiPriority w:val="39"/>
    <w:pPr>
      <w:spacing w:before="120" w:after="120"/>
    </w:pPr>
    <w:rPr>
      <w:b/>
      <w:bCs/>
      <w:caps/>
      <w:szCs w:val="20"/>
    </w:rPr>
  </w:style>
  <w:style w:type="paragraph" w:styleId="57">
    <w:name w:val="List Continue 4"/>
    <w:basedOn w:val="1"/>
    <w:qFormat/>
    <w:uiPriority w:val="0"/>
    <w:pPr>
      <w:widowControl w:val="0"/>
      <w:spacing w:after="120"/>
      <w:ind w:left="1680" w:leftChars="800"/>
    </w:pPr>
    <w:rPr>
      <w:b/>
      <w:sz w:val="28"/>
      <w:szCs w:val="24"/>
    </w:rPr>
  </w:style>
  <w:style w:type="paragraph" w:styleId="58">
    <w:name w:val="toc 4"/>
    <w:basedOn w:val="1"/>
    <w:next w:val="1"/>
    <w:qFormat/>
    <w:uiPriority w:val="39"/>
    <w:pPr>
      <w:ind w:left="630"/>
    </w:pPr>
    <w:rPr>
      <w:sz w:val="18"/>
      <w:szCs w:val="18"/>
    </w:rPr>
  </w:style>
  <w:style w:type="paragraph" w:styleId="59">
    <w:name w:val="index heading"/>
    <w:basedOn w:val="1"/>
    <w:next w:val="60"/>
    <w:semiHidden/>
    <w:qFormat/>
    <w:uiPriority w:val="0"/>
    <w:pPr>
      <w:spacing w:line="460" w:lineRule="exact"/>
      <w:ind w:firstLine="510"/>
      <w:textAlignment w:val="baseline"/>
    </w:pPr>
    <w:rPr>
      <w:kern w:val="0"/>
      <w:szCs w:val="24"/>
    </w:rPr>
  </w:style>
  <w:style w:type="paragraph" w:styleId="60">
    <w:name w:val="index 1"/>
    <w:basedOn w:val="1"/>
    <w:next w:val="1"/>
    <w:semiHidden/>
    <w:qFormat/>
    <w:uiPriority w:val="0"/>
    <w:pPr>
      <w:jc w:val="center"/>
    </w:pPr>
    <w:rPr>
      <w:rFonts w:ascii="宋体" w:hAnsi="宋体"/>
      <w:szCs w:val="20"/>
    </w:rPr>
  </w:style>
  <w:style w:type="paragraph" w:styleId="61">
    <w:name w:val="Subtitle"/>
    <w:basedOn w:val="1"/>
    <w:next w:val="1"/>
    <w:link w:val="132"/>
    <w:qFormat/>
    <w:uiPriority w:val="0"/>
    <w:pPr>
      <w:spacing w:before="240" w:after="60" w:line="312" w:lineRule="atLeast"/>
      <w:jc w:val="center"/>
      <w:textAlignment w:val="baseline"/>
      <w:outlineLvl w:val="1"/>
    </w:pPr>
    <w:rPr>
      <w:rFonts w:ascii="Cambria" w:hAnsi="Cambria"/>
      <w:b/>
      <w:bCs/>
      <w:kern w:val="28"/>
      <w:sz w:val="32"/>
      <w:szCs w:val="32"/>
    </w:rPr>
  </w:style>
  <w:style w:type="paragraph" w:styleId="62">
    <w:name w:val="List"/>
    <w:basedOn w:val="1"/>
    <w:qFormat/>
    <w:uiPriority w:val="0"/>
    <w:pPr>
      <w:spacing w:line="460" w:lineRule="exact"/>
      <w:ind w:left="1276" w:hanging="425"/>
      <w:textAlignment w:val="baseline"/>
    </w:pPr>
    <w:rPr>
      <w:kern w:val="0"/>
      <w:szCs w:val="20"/>
    </w:rPr>
  </w:style>
  <w:style w:type="paragraph" w:styleId="63">
    <w:name w:val="footnote text"/>
    <w:basedOn w:val="1"/>
    <w:link w:val="133"/>
    <w:qFormat/>
    <w:uiPriority w:val="0"/>
    <w:rPr>
      <w:sz w:val="18"/>
      <w:szCs w:val="18"/>
    </w:rPr>
  </w:style>
  <w:style w:type="paragraph" w:styleId="64">
    <w:name w:val="toc 6"/>
    <w:basedOn w:val="1"/>
    <w:next w:val="1"/>
    <w:unhideWhenUsed/>
    <w:qFormat/>
    <w:uiPriority w:val="39"/>
    <w:pPr>
      <w:ind w:left="1050"/>
    </w:pPr>
    <w:rPr>
      <w:sz w:val="18"/>
      <w:szCs w:val="18"/>
    </w:rPr>
  </w:style>
  <w:style w:type="paragraph" w:styleId="65">
    <w:name w:val="List 5"/>
    <w:basedOn w:val="1"/>
    <w:qFormat/>
    <w:uiPriority w:val="0"/>
    <w:pPr>
      <w:widowControl w:val="0"/>
      <w:ind w:left="100" w:leftChars="800" w:hanging="200"/>
    </w:pPr>
    <w:rPr>
      <w:b/>
      <w:sz w:val="28"/>
      <w:szCs w:val="24"/>
    </w:rPr>
  </w:style>
  <w:style w:type="paragraph" w:styleId="66">
    <w:name w:val="Body Text Indent 3"/>
    <w:basedOn w:val="1"/>
    <w:link w:val="134"/>
    <w:unhideWhenUsed/>
    <w:qFormat/>
    <w:uiPriority w:val="0"/>
    <w:pPr>
      <w:spacing w:after="120"/>
      <w:ind w:left="420" w:leftChars="200"/>
    </w:pPr>
    <w:rPr>
      <w:sz w:val="16"/>
      <w:szCs w:val="16"/>
    </w:rPr>
  </w:style>
  <w:style w:type="paragraph" w:styleId="67">
    <w:name w:val="index 7"/>
    <w:basedOn w:val="1"/>
    <w:next w:val="1"/>
    <w:semiHidden/>
    <w:qFormat/>
    <w:uiPriority w:val="0"/>
    <w:pPr>
      <w:spacing w:line="460" w:lineRule="exact"/>
      <w:ind w:left="1200" w:leftChars="1200"/>
      <w:textAlignment w:val="baseline"/>
    </w:pPr>
    <w:rPr>
      <w:kern w:val="0"/>
      <w:szCs w:val="20"/>
    </w:rPr>
  </w:style>
  <w:style w:type="paragraph" w:styleId="68">
    <w:name w:val="index 9"/>
    <w:basedOn w:val="1"/>
    <w:next w:val="1"/>
    <w:semiHidden/>
    <w:qFormat/>
    <w:uiPriority w:val="0"/>
    <w:pPr>
      <w:ind w:left="3360" w:firstLine="480"/>
    </w:pPr>
    <w:rPr>
      <w:szCs w:val="20"/>
    </w:rPr>
  </w:style>
  <w:style w:type="paragraph" w:styleId="69">
    <w:name w:val="table of figures"/>
    <w:basedOn w:val="1"/>
    <w:next w:val="1"/>
    <w:qFormat/>
    <w:uiPriority w:val="0"/>
    <w:pPr>
      <w:tabs>
        <w:tab w:val="left" w:pos="510"/>
      </w:tabs>
      <w:spacing w:line="240" w:lineRule="atLeast"/>
      <w:textAlignment w:val="baseline"/>
    </w:pPr>
    <w:rPr>
      <w:kern w:val="0"/>
      <w:szCs w:val="20"/>
    </w:rPr>
  </w:style>
  <w:style w:type="paragraph" w:styleId="70">
    <w:name w:val="toc 2"/>
    <w:basedOn w:val="1"/>
    <w:next w:val="1"/>
    <w:unhideWhenUsed/>
    <w:qFormat/>
    <w:uiPriority w:val="39"/>
    <w:pPr>
      <w:ind w:left="210"/>
    </w:pPr>
    <w:rPr>
      <w:smallCaps/>
      <w:szCs w:val="20"/>
    </w:rPr>
  </w:style>
  <w:style w:type="paragraph" w:styleId="71">
    <w:name w:val="toc 9"/>
    <w:basedOn w:val="1"/>
    <w:next w:val="1"/>
    <w:qFormat/>
    <w:uiPriority w:val="39"/>
    <w:pPr>
      <w:ind w:left="1680"/>
    </w:pPr>
    <w:rPr>
      <w:sz w:val="18"/>
      <w:szCs w:val="18"/>
    </w:rPr>
  </w:style>
  <w:style w:type="paragraph" w:styleId="72">
    <w:name w:val="Body Text 2"/>
    <w:basedOn w:val="1"/>
    <w:link w:val="135"/>
    <w:unhideWhenUsed/>
    <w:qFormat/>
    <w:uiPriority w:val="0"/>
    <w:pPr>
      <w:spacing w:after="120" w:line="480" w:lineRule="auto"/>
    </w:pPr>
  </w:style>
  <w:style w:type="paragraph" w:styleId="73">
    <w:name w:val="List 4"/>
    <w:basedOn w:val="1"/>
    <w:qFormat/>
    <w:uiPriority w:val="0"/>
    <w:pPr>
      <w:spacing w:before="15" w:beforeLines="15" w:after="15" w:afterLines="15"/>
      <w:ind w:left="1680" w:hanging="420"/>
      <w:textAlignment w:val="baseline"/>
    </w:pPr>
    <w:rPr>
      <w:kern w:val="0"/>
      <w:sz w:val="28"/>
      <w:szCs w:val="20"/>
    </w:rPr>
  </w:style>
  <w:style w:type="paragraph" w:styleId="74">
    <w:name w:val="Message Header"/>
    <w:basedOn w:val="31"/>
    <w:link w:val="136"/>
    <w:qFormat/>
    <w:uiPriority w:val="0"/>
    <w:pPr>
      <w:keepLines/>
      <w:tabs>
        <w:tab w:val="left" w:pos="720"/>
        <w:tab w:val="left" w:pos="4320"/>
        <w:tab w:val="left" w:pos="5040"/>
        <w:tab w:val="right" w:pos="8640"/>
      </w:tabs>
      <w:spacing w:after="40" w:line="440" w:lineRule="atLeast"/>
      <w:ind w:left="720" w:hanging="720"/>
    </w:pPr>
    <w:rPr>
      <w:rFonts w:ascii="Arial" w:hAnsi="Arial"/>
      <w:spacing w:val="-5"/>
      <w:kern w:val="0"/>
      <w:sz w:val="20"/>
      <w:szCs w:val="20"/>
      <w:lang w:bidi="he-IL"/>
    </w:rPr>
  </w:style>
  <w:style w:type="paragraph" w:styleId="75">
    <w:name w:val="HTML Preformatted"/>
    <w:basedOn w:val="1"/>
    <w:link w:val="13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kern w:val="0"/>
      <w:szCs w:val="24"/>
    </w:rPr>
  </w:style>
  <w:style w:type="paragraph" w:styleId="76">
    <w:name w:val="Normal (Web)"/>
    <w:basedOn w:val="1"/>
    <w:link w:val="1310"/>
    <w:unhideWhenUsed/>
    <w:qFormat/>
    <w:uiPriority w:val="0"/>
    <w:pPr>
      <w:spacing w:before="100" w:beforeAutospacing="1" w:after="100" w:afterAutospacing="1"/>
    </w:pPr>
    <w:rPr>
      <w:rFonts w:ascii="宋体" w:hAnsi="宋体" w:cs="宋体"/>
      <w:kern w:val="0"/>
      <w:szCs w:val="24"/>
    </w:rPr>
  </w:style>
  <w:style w:type="paragraph" w:styleId="77">
    <w:name w:val="index 2"/>
    <w:basedOn w:val="1"/>
    <w:next w:val="1"/>
    <w:semiHidden/>
    <w:qFormat/>
    <w:uiPriority w:val="0"/>
    <w:pPr>
      <w:ind w:left="420" w:firstLine="480"/>
    </w:pPr>
    <w:rPr>
      <w:szCs w:val="20"/>
    </w:rPr>
  </w:style>
  <w:style w:type="paragraph" w:styleId="78">
    <w:name w:val="Title"/>
    <w:basedOn w:val="1"/>
    <w:link w:val="138"/>
    <w:qFormat/>
    <w:uiPriority w:val="0"/>
    <w:pPr>
      <w:spacing w:before="160" w:after="160"/>
      <w:outlineLvl w:val="0"/>
    </w:pPr>
    <w:rPr>
      <w:b/>
      <w:bCs/>
      <w:sz w:val="32"/>
      <w:szCs w:val="32"/>
    </w:rPr>
  </w:style>
  <w:style w:type="paragraph" w:styleId="79">
    <w:name w:val="annotation subject"/>
    <w:basedOn w:val="25"/>
    <w:next w:val="25"/>
    <w:link w:val="139"/>
    <w:qFormat/>
    <w:uiPriority w:val="0"/>
    <w:pPr>
      <w:spacing w:line="460" w:lineRule="exact"/>
      <w:ind w:firstLine="510"/>
      <w:textAlignment w:val="baseline"/>
    </w:pPr>
    <w:rPr>
      <w:b/>
      <w:bCs/>
    </w:rPr>
  </w:style>
  <w:style w:type="paragraph" w:styleId="80">
    <w:name w:val="Body Text First Indent"/>
    <w:basedOn w:val="31"/>
    <w:next w:val="1"/>
    <w:link w:val="140"/>
    <w:unhideWhenUsed/>
    <w:qFormat/>
    <w:uiPriority w:val="0"/>
    <w:pPr>
      <w:ind w:firstLine="420" w:firstLineChars="100"/>
    </w:pPr>
  </w:style>
  <w:style w:type="paragraph" w:styleId="81">
    <w:name w:val="Body Text First Indent 2"/>
    <w:basedOn w:val="1"/>
    <w:next w:val="1"/>
    <w:link w:val="141"/>
    <w:qFormat/>
    <w:uiPriority w:val="0"/>
    <w:pPr>
      <w:adjustRightInd/>
      <w:spacing w:line="240" w:lineRule="auto"/>
      <w:ind w:firstLine="420"/>
    </w:pPr>
    <w:rPr>
      <w:sz w:val="21"/>
    </w:rPr>
  </w:style>
  <w:style w:type="table" w:styleId="83">
    <w:name w:val="Table Grid"/>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4">
    <w:name w:val="Table Theme"/>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5">
    <w:name w:val="Table Elegant"/>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6">
    <w:name w:val="Table Simple 1"/>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7">
    <w:name w:val="Table Simple 3"/>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8">
    <w:name w:val="Table List 8"/>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89">
    <w:name w:val="Table Grid 1"/>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0">
    <w:name w:val="Table Grid 5"/>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1">
    <w:name w:val="Table Grid 7"/>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2">
    <w:name w:val="Table Web 3"/>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styleId="94">
    <w:name w:val="Strong"/>
    <w:qFormat/>
    <w:uiPriority w:val="22"/>
    <w:rPr>
      <w:b/>
      <w:bCs/>
    </w:rPr>
  </w:style>
  <w:style w:type="character" w:styleId="95">
    <w:name w:val="endnote reference"/>
    <w:qFormat/>
    <w:uiPriority w:val="0"/>
    <w:rPr>
      <w:vertAlign w:val="superscript"/>
    </w:rPr>
  </w:style>
  <w:style w:type="character" w:styleId="96">
    <w:name w:val="page number"/>
    <w:basedOn w:val="93"/>
    <w:qFormat/>
    <w:uiPriority w:val="0"/>
  </w:style>
  <w:style w:type="character" w:styleId="97">
    <w:name w:val="FollowedHyperlink"/>
    <w:qFormat/>
    <w:uiPriority w:val="99"/>
    <w:rPr>
      <w:color w:val="800080"/>
      <w:u w:val="single"/>
    </w:rPr>
  </w:style>
  <w:style w:type="character" w:styleId="98">
    <w:name w:val="Emphasis"/>
    <w:qFormat/>
    <w:uiPriority w:val="0"/>
    <w:rPr>
      <w:i/>
      <w:iCs/>
    </w:rPr>
  </w:style>
  <w:style w:type="character" w:styleId="99">
    <w:name w:val="line number"/>
    <w:basedOn w:val="93"/>
    <w:qFormat/>
    <w:uiPriority w:val="0"/>
  </w:style>
  <w:style w:type="character" w:styleId="100">
    <w:name w:val="Hyperlink"/>
    <w:unhideWhenUsed/>
    <w:qFormat/>
    <w:uiPriority w:val="0"/>
    <w:rPr>
      <w:color w:val="0000FF"/>
      <w:u w:val="single"/>
    </w:rPr>
  </w:style>
  <w:style w:type="character" w:styleId="101">
    <w:name w:val="annotation reference"/>
    <w:qFormat/>
    <w:uiPriority w:val="0"/>
    <w:rPr>
      <w:sz w:val="21"/>
      <w:szCs w:val="21"/>
    </w:rPr>
  </w:style>
  <w:style w:type="character" w:styleId="102">
    <w:name w:val="footnote reference"/>
    <w:qFormat/>
    <w:uiPriority w:val="0"/>
    <w:rPr>
      <w:vertAlign w:val="superscript"/>
    </w:rPr>
  </w:style>
  <w:style w:type="character" w:customStyle="1" w:styleId="103">
    <w:name w:val="宏文本 字符"/>
    <w:link w:val="2"/>
    <w:semiHidden/>
    <w:qFormat/>
    <w:uiPriority w:val="0"/>
    <w:rPr>
      <w:rFonts w:ascii="Courier New" w:hAnsi="Courier New" w:cs="Courier New"/>
      <w:kern w:val="2"/>
      <w:sz w:val="24"/>
      <w:szCs w:val="24"/>
      <w:lang w:val="en-US" w:eastAsia="zh-CN" w:bidi="ar-SA"/>
    </w:rPr>
  </w:style>
  <w:style w:type="character" w:customStyle="1" w:styleId="104">
    <w:name w:val="标题 1 字符"/>
    <w:link w:val="3"/>
    <w:qFormat/>
    <w:uiPriority w:val="0"/>
    <w:rPr>
      <w:rFonts w:ascii="Times New Roman" w:hAnsi="Times New Roman" w:eastAsia="黑体"/>
      <w:bCs/>
      <w:kern w:val="44"/>
      <w:sz w:val="32"/>
      <w:szCs w:val="44"/>
    </w:rPr>
  </w:style>
  <w:style w:type="character" w:customStyle="1" w:styleId="105">
    <w:name w:val="标题 2 字符2"/>
    <w:link w:val="4"/>
    <w:qFormat/>
    <w:uiPriority w:val="0"/>
    <w:rPr>
      <w:rFonts w:ascii="Times New Roman" w:hAnsi="Times New Roman"/>
      <w:b/>
      <w:bCs/>
      <w:kern w:val="2"/>
      <w:sz w:val="30"/>
      <w:szCs w:val="32"/>
    </w:rPr>
  </w:style>
  <w:style w:type="character" w:customStyle="1" w:styleId="106">
    <w:name w:val="标题 3 字符2"/>
    <w:link w:val="5"/>
    <w:qFormat/>
    <w:uiPriority w:val="0"/>
    <w:rPr>
      <w:rFonts w:ascii="Times New Roman" w:hAnsi="Times New Roman"/>
      <w:b/>
      <w:bCs/>
      <w:kern w:val="2"/>
      <w:sz w:val="28"/>
      <w:szCs w:val="28"/>
    </w:rPr>
  </w:style>
  <w:style w:type="character" w:customStyle="1" w:styleId="107">
    <w:name w:val="标题 4 字符"/>
    <w:link w:val="6"/>
    <w:qFormat/>
    <w:uiPriority w:val="0"/>
    <w:rPr>
      <w:rFonts w:ascii="Times New Roman" w:hAnsi="Times New Roman"/>
      <w:b/>
      <w:bCs/>
      <w:kern w:val="2"/>
      <w:sz w:val="24"/>
      <w:szCs w:val="28"/>
    </w:rPr>
  </w:style>
  <w:style w:type="character" w:customStyle="1" w:styleId="108">
    <w:name w:val="标题 5 字符"/>
    <w:link w:val="7"/>
    <w:qFormat/>
    <w:uiPriority w:val="0"/>
    <w:rPr>
      <w:rFonts w:ascii="Times New Roman" w:hAnsi="Times New Roman"/>
      <w:b/>
      <w:bCs/>
      <w:kern w:val="2"/>
      <w:sz w:val="28"/>
      <w:szCs w:val="28"/>
    </w:rPr>
  </w:style>
  <w:style w:type="character" w:customStyle="1" w:styleId="109">
    <w:name w:val="标题 6 字符"/>
    <w:link w:val="8"/>
    <w:qFormat/>
    <w:uiPriority w:val="0"/>
    <w:rPr>
      <w:rFonts w:ascii="Times New Roman" w:hAnsi="Times New Roman"/>
      <w:b/>
      <w:bCs/>
      <w:kern w:val="2"/>
      <w:sz w:val="30"/>
      <w:szCs w:val="24"/>
    </w:rPr>
  </w:style>
  <w:style w:type="character" w:customStyle="1" w:styleId="110">
    <w:name w:val="标题 7 字符"/>
    <w:link w:val="9"/>
    <w:qFormat/>
    <w:uiPriority w:val="0"/>
    <w:rPr>
      <w:b/>
      <w:bCs/>
      <w:kern w:val="2"/>
      <w:sz w:val="24"/>
      <w:szCs w:val="24"/>
    </w:rPr>
  </w:style>
  <w:style w:type="character" w:customStyle="1" w:styleId="111">
    <w:name w:val="标题 8 字符"/>
    <w:link w:val="10"/>
    <w:qFormat/>
    <w:uiPriority w:val="0"/>
    <w:rPr>
      <w:rFonts w:ascii="Arial" w:hAnsi="Arial" w:eastAsia="黑体"/>
      <w:kern w:val="2"/>
      <w:sz w:val="24"/>
      <w:szCs w:val="24"/>
    </w:rPr>
  </w:style>
  <w:style w:type="character" w:customStyle="1" w:styleId="112">
    <w:name w:val="标题 9 字符"/>
    <w:link w:val="11"/>
    <w:qFormat/>
    <w:uiPriority w:val="0"/>
    <w:rPr>
      <w:rFonts w:ascii="Arial" w:hAnsi="Arial" w:eastAsia="黑体"/>
      <w:kern w:val="2"/>
      <w:sz w:val="24"/>
      <w:szCs w:val="21"/>
    </w:rPr>
  </w:style>
  <w:style w:type="character" w:customStyle="1" w:styleId="113">
    <w:name w:val="注释标题 字符"/>
    <w:link w:val="15"/>
    <w:qFormat/>
    <w:uiPriority w:val="0"/>
    <w:rPr>
      <w:rFonts w:ascii="Times New Roman" w:hAnsi="Times New Roman"/>
      <w:kern w:val="2"/>
      <w:sz w:val="21"/>
    </w:rPr>
  </w:style>
  <w:style w:type="character" w:customStyle="1" w:styleId="114">
    <w:name w:val="电子邮件签名 字符"/>
    <w:link w:val="17"/>
    <w:semiHidden/>
    <w:qFormat/>
    <w:uiPriority w:val="0"/>
    <w:rPr>
      <w:rFonts w:ascii="仿宋_GB2312" w:hAnsi="Times New Roman" w:eastAsia="仿宋_GB2312"/>
      <w:kern w:val="2"/>
      <w:sz w:val="28"/>
      <w:szCs w:val="28"/>
    </w:rPr>
  </w:style>
  <w:style w:type="character" w:customStyle="1" w:styleId="115">
    <w:name w:val="正文缩进 字符"/>
    <w:link w:val="19"/>
    <w:qFormat/>
    <w:uiPriority w:val="0"/>
    <w:rPr>
      <w:kern w:val="2"/>
      <w:sz w:val="21"/>
      <w:szCs w:val="22"/>
    </w:rPr>
  </w:style>
  <w:style w:type="character" w:customStyle="1" w:styleId="116">
    <w:name w:val="题注 字符"/>
    <w:link w:val="20"/>
    <w:qFormat/>
    <w:uiPriority w:val="0"/>
    <w:rPr>
      <w:rFonts w:ascii="Times New Roman" w:hAnsi="Times New Roman"/>
      <w:b/>
      <w:bCs/>
      <w:kern w:val="2"/>
      <w:sz w:val="24"/>
      <w:szCs w:val="24"/>
    </w:rPr>
  </w:style>
  <w:style w:type="character" w:customStyle="1" w:styleId="117">
    <w:name w:val="文档结构图 字符1"/>
    <w:link w:val="23"/>
    <w:qFormat/>
    <w:uiPriority w:val="0"/>
    <w:rPr>
      <w:rFonts w:ascii="宋体"/>
      <w:kern w:val="2"/>
      <w:sz w:val="18"/>
      <w:szCs w:val="18"/>
    </w:rPr>
  </w:style>
  <w:style w:type="character" w:customStyle="1" w:styleId="118">
    <w:name w:val="批注文字 字符"/>
    <w:link w:val="25"/>
    <w:qFormat/>
    <w:uiPriority w:val="0"/>
    <w:rPr>
      <w:rFonts w:ascii="Times New Roman" w:hAnsi="Times New Roman"/>
      <w:kern w:val="2"/>
      <w:sz w:val="21"/>
      <w:szCs w:val="24"/>
    </w:rPr>
  </w:style>
  <w:style w:type="character" w:customStyle="1" w:styleId="119">
    <w:name w:val="称呼 字符"/>
    <w:link w:val="27"/>
    <w:qFormat/>
    <w:uiPriority w:val="0"/>
    <w:rPr>
      <w:rFonts w:ascii="Times New Roman" w:hAnsi="楷体" w:eastAsia="楷体"/>
      <w:sz w:val="28"/>
    </w:rPr>
  </w:style>
  <w:style w:type="character" w:customStyle="1" w:styleId="120">
    <w:name w:val="正文文本 3 字符"/>
    <w:link w:val="28"/>
    <w:qFormat/>
    <w:uiPriority w:val="0"/>
    <w:rPr>
      <w:rFonts w:ascii="Times New Roman" w:hAnsi="Times New Roman"/>
      <w:sz w:val="18"/>
    </w:rPr>
  </w:style>
  <w:style w:type="character" w:customStyle="1" w:styleId="121">
    <w:name w:val="结束语 字符"/>
    <w:link w:val="29"/>
    <w:qFormat/>
    <w:uiPriority w:val="0"/>
    <w:rPr>
      <w:rFonts w:ascii="Times New Roman" w:hAnsi="楷体" w:eastAsia="楷体"/>
      <w:sz w:val="28"/>
    </w:rPr>
  </w:style>
  <w:style w:type="character" w:customStyle="1" w:styleId="122">
    <w:name w:val="正文文本 字符"/>
    <w:link w:val="31"/>
    <w:qFormat/>
    <w:uiPriority w:val="0"/>
    <w:rPr>
      <w:kern w:val="2"/>
      <w:sz w:val="21"/>
      <w:szCs w:val="22"/>
    </w:rPr>
  </w:style>
  <w:style w:type="character" w:customStyle="1" w:styleId="123">
    <w:name w:val="正文文本缩进 字符2"/>
    <w:link w:val="32"/>
    <w:qFormat/>
    <w:uiPriority w:val="0"/>
    <w:rPr>
      <w:rFonts w:ascii="Times New Roman" w:hAnsi="Times New Roman"/>
      <w:sz w:val="24"/>
    </w:rPr>
  </w:style>
  <w:style w:type="character" w:customStyle="1" w:styleId="124">
    <w:name w:val="页眉 字符2"/>
    <w:link w:val="33"/>
    <w:qFormat/>
    <w:uiPriority w:val="0"/>
    <w:rPr>
      <w:rFonts w:ascii="Times New Roman" w:hAnsi="Times New Roman"/>
    </w:rPr>
  </w:style>
  <w:style w:type="character" w:customStyle="1" w:styleId="125">
    <w:name w:val="样式5 Char"/>
    <w:link w:val="34"/>
    <w:qFormat/>
    <w:uiPriority w:val="0"/>
    <w:rPr>
      <w:rFonts w:ascii="宋体" w:hAnsi="Times New Roman"/>
      <w:b/>
      <w:snapToGrid w:val="0"/>
      <w:sz w:val="24"/>
    </w:rPr>
  </w:style>
  <w:style w:type="character" w:customStyle="1" w:styleId="126">
    <w:name w:val="纯文本 字符1"/>
    <w:link w:val="46"/>
    <w:qFormat/>
    <w:uiPriority w:val="0"/>
    <w:rPr>
      <w:rFonts w:ascii="宋体" w:hAnsi="Courier New"/>
      <w:kern w:val="2"/>
      <w:sz w:val="21"/>
    </w:rPr>
  </w:style>
  <w:style w:type="character" w:customStyle="1" w:styleId="127">
    <w:name w:val="日期 字符"/>
    <w:link w:val="50"/>
    <w:qFormat/>
    <w:uiPriority w:val="0"/>
    <w:rPr>
      <w:rFonts w:ascii="Times New Roman" w:hAnsi="Times New Roman"/>
      <w:kern w:val="2"/>
      <w:sz w:val="21"/>
      <w:szCs w:val="24"/>
    </w:rPr>
  </w:style>
  <w:style w:type="character" w:customStyle="1" w:styleId="128">
    <w:name w:val="正文文本缩进 2 字符"/>
    <w:link w:val="51"/>
    <w:qFormat/>
    <w:uiPriority w:val="0"/>
    <w:rPr>
      <w:kern w:val="2"/>
      <w:sz w:val="21"/>
      <w:szCs w:val="22"/>
    </w:rPr>
  </w:style>
  <w:style w:type="character" w:customStyle="1" w:styleId="129">
    <w:name w:val="尾注文本 字符"/>
    <w:link w:val="52"/>
    <w:qFormat/>
    <w:uiPriority w:val="0"/>
    <w:rPr>
      <w:rFonts w:ascii="Times New Roman" w:hAnsi="Times New Roman"/>
      <w:kern w:val="2"/>
      <w:sz w:val="21"/>
      <w:szCs w:val="24"/>
    </w:rPr>
  </w:style>
  <w:style w:type="character" w:customStyle="1" w:styleId="130">
    <w:name w:val="批注框文本 字符2"/>
    <w:link w:val="54"/>
    <w:qFormat/>
    <w:uiPriority w:val="0"/>
    <w:rPr>
      <w:rFonts w:ascii="Times New Roman" w:hAnsi="Times New Roman"/>
      <w:kern w:val="2"/>
      <w:sz w:val="18"/>
      <w:szCs w:val="18"/>
    </w:rPr>
  </w:style>
  <w:style w:type="character" w:customStyle="1" w:styleId="131">
    <w:name w:val="页脚 字符2"/>
    <w:link w:val="55"/>
    <w:qFormat/>
    <w:uiPriority w:val="99"/>
    <w:rPr>
      <w:rFonts w:ascii="Times New Roman" w:hAnsi="Times New Roman"/>
      <w:sz w:val="18"/>
    </w:rPr>
  </w:style>
  <w:style w:type="character" w:customStyle="1" w:styleId="132">
    <w:name w:val="副标题 字符"/>
    <w:link w:val="61"/>
    <w:qFormat/>
    <w:uiPriority w:val="0"/>
    <w:rPr>
      <w:rFonts w:ascii="Cambria" w:hAnsi="Cambria"/>
      <w:b/>
      <w:bCs/>
      <w:kern w:val="28"/>
      <w:sz w:val="32"/>
      <w:szCs w:val="32"/>
    </w:rPr>
  </w:style>
  <w:style w:type="character" w:customStyle="1" w:styleId="133">
    <w:name w:val="脚注文本 字符"/>
    <w:link w:val="63"/>
    <w:qFormat/>
    <w:uiPriority w:val="0"/>
    <w:rPr>
      <w:rFonts w:ascii="Times New Roman" w:hAnsi="Times New Roman"/>
      <w:kern w:val="2"/>
      <w:sz w:val="18"/>
      <w:szCs w:val="18"/>
    </w:rPr>
  </w:style>
  <w:style w:type="character" w:customStyle="1" w:styleId="134">
    <w:name w:val="正文文本缩进 3 字符2"/>
    <w:link w:val="66"/>
    <w:qFormat/>
    <w:uiPriority w:val="0"/>
    <w:rPr>
      <w:kern w:val="2"/>
      <w:sz w:val="16"/>
      <w:szCs w:val="16"/>
    </w:rPr>
  </w:style>
  <w:style w:type="character" w:customStyle="1" w:styleId="135">
    <w:name w:val="正文文本 2 字符"/>
    <w:link w:val="72"/>
    <w:qFormat/>
    <w:uiPriority w:val="0"/>
    <w:rPr>
      <w:kern w:val="2"/>
      <w:sz w:val="21"/>
      <w:szCs w:val="22"/>
    </w:rPr>
  </w:style>
  <w:style w:type="character" w:customStyle="1" w:styleId="136">
    <w:name w:val="信息标题 字符"/>
    <w:link w:val="74"/>
    <w:qFormat/>
    <w:uiPriority w:val="0"/>
    <w:rPr>
      <w:rFonts w:ascii="Arial" w:hAnsi="Arial"/>
      <w:spacing w:val="-5"/>
      <w:lang w:bidi="he-IL"/>
    </w:rPr>
  </w:style>
  <w:style w:type="character" w:customStyle="1" w:styleId="137">
    <w:name w:val="HTML 预设格式 字符"/>
    <w:link w:val="75"/>
    <w:qFormat/>
    <w:uiPriority w:val="0"/>
    <w:rPr>
      <w:rFonts w:ascii="Arial" w:hAnsi="Arial" w:cs="Arial"/>
      <w:sz w:val="24"/>
      <w:szCs w:val="24"/>
    </w:rPr>
  </w:style>
  <w:style w:type="character" w:customStyle="1" w:styleId="138">
    <w:name w:val="标题 字符1"/>
    <w:link w:val="78"/>
    <w:qFormat/>
    <w:uiPriority w:val="0"/>
    <w:rPr>
      <w:rFonts w:ascii="Times New Roman" w:hAnsi="Times New Roman" w:cs="Arial"/>
      <w:b/>
      <w:bCs/>
      <w:kern w:val="2"/>
      <w:sz w:val="32"/>
      <w:szCs w:val="32"/>
    </w:rPr>
  </w:style>
  <w:style w:type="character" w:customStyle="1" w:styleId="139">
    <w:name w:val="批注主题 字符"/>
    <w:link w:val="79"/>
    <w:qFormat/>
    <w:uiPriority w:val="0"/>
    <w:rPr>
      <w:rFonts w:ascii="Times New Roman" w:hAnsi="Times New Roman"/>
      <w:b/>
      <w:bCs/>
      <w:kern w:val="2"/>
      <w:sz w:val="24"/>
      <w:szCs w:val="24"/>
    </w:rPr>
  </w:style>
  <w:style w:type="character" w:customStyle="1" w:styleId="140">
    <w:name w:val="正文文本首行缩进 字符"/>
    <w:basedOn w:val="122"/>
    <w:link w:val="80"/>
    <w:qFormat/>
    <w:uiPriority w:val="0"/>
    <w:rPr>
      <w:kern w:val="2"/>
      <w:sz w:val="21"/>
      <w:szCs w:val="22"/>
    </w:rPr>
  </w:style>
  <w:style w:type="character" w:customStyle="1" w:styleId="141">
    <w:name w:val="正文文本首行缩进 2 字符"/>
    <w:link w:val="81"/>
    <w:qFormat/>
    <w:uiPriority w:val="0"/>
    <w:rPr>
      <w:rFonts w:ascii="Times New Roman" w:hAnsi="Times New Roman"/>
      <w:kern w:val="2"/>
      <w:sz w:val="21"/>
    </w:rPr>
  </w:style>
  <w:style w:type="paragraph" w:customStyle="1" w:styleId="142">
    <w:name w:val="正文首行缩进 21"/>
    <w:basedOn w:val="32"/>
    <w:next w:val="143"/>
    <w:qFormat/>
    <w:uiPriority w:val="0"/>
    <w:pPr>
      <w:widowControl w:val="0"/>
      <w:adjustRightInd/>
      <w:spacing w:line="240" w:lineRule="auto"/>
      <w:ind w:firstLine="420"/>
      <w:textAlignment w:val="auto"/>
    </w:pPr>
    <w:rPr>
      <w:rFonts w:eastAsia="Calibri"/>
      <w:sz w:val="22"/>
      <w:szCs w:val="24"/>
      <w:lang w:val="zh-CN" w:eastAsia="en-US"/>
    </w:rPr>
  </w:style>
  <w:style w:type="paragraph" w:customStyle="1" w:styleId="143">
    <w:name w:val="正文首行缩进1"/>
    <w:basedOn w:val="31"/>
    <w:qFormat/>
    <w:uiPriority w:val="0"/>
    <w:pPr>
      <w:widowControl w:val="0"/>
      <w:ind w:firstLine="420" w:firstLineChars="100"/>
    </w:pPr>
    <w:rPr>
      <w:szCs w:val="24"/>
    </w:rPr>
  </w:style>
  <w:style w:type="paragraph" w:customStyle="1" w:styleId="144">
    <w:name w:val="表格内容"/>
    <w:basedOn w:val="145"/>
    <w:link w:val="147"/>
    <w:qFormat/>
    <w:uiPriority w:val="0"/>
    <w:pPr>
      <w:widowControl w:val="0"/>
      <w:tabs>
        <w:tab w:val="left" w:pos="2340"/>
        <w:tab w:val="left" w:pos="3720"/>
      </w:tabs>
      <w:spacing w:line="240" w:lineRule="auto"/>
      <w:ind w:firstLine="0" w:firstLineChars="0"/>
    </w:pPr>
    <w:rPr>
      <w:kern w:val="0"/>
      <w:sz w:val="21"/>
      <w:szCs w:val="24"/>
    </w:rPr>
  </w:style>
  <w:style w:type="paragraph" w:customStyle="1" w:styleId="145">
    <w:name w:val="表格文字"/>
    <w:basedOn w:val="31"/>
    <w:next w:val="1"/>
    <w:link w:val="146"/>
    <w:qFormat/>
    <w:uiPriority w:val="0"/>
    <w:pPr>
      <w:tabs>
        <w:tab w:val="left" w:pos="3720"/>
      </w:tabs>
      <w:autoSpaceDE w:val="0"/>
      <w:autoSpaceDN w:val="0"/>
      <w:spacing w:after="0" w:line="315" w:lineRule="exact"/>
      <w:jc w:val="center"/>
    </w:pPr>
    <w:rPr>
      <w:rFonts w:ascii="宋体" w:hAnsi="宋体"/>
      <w:szCs w:val="20"/>
    </w:rPr>
  </w:style>
  <w:style w:type="character" w:customStyle="1" w:styleId="146">
    <w:name w:val="表格文字 Char"/>
    <w:link w:val="145"/>
    <w:qFormat/>
    <w:uiPriority w:val="0"/>
    <w:rPr>
      <w:rFonts w:ascii="宋体" w:hAnsi="宋体"/>
      <w:kern w:val="2"/>
      <w:sz w:val="21"/>
    </w:rPr>
  </w:style>
  <w:style w:type="character" w:customStyle="1" w:styleId="147">
    <w:name w:val="表格内容 Char"/>
    <w:link w:val="144"/>
    <w:qFormat/>
    <w:uiPriority w:val="0"/>
    <w:rPr>
      <w:kern w:val="0"/>
      <w:sz w:val="21"/>
      <w:szCs w:val="24"/>
    </w:rPr>
  </w:style>
  <w:style w:type="paragraph" w:customStyle="1" w:styleId="148">
    <w:name w:val="表头"/>
    <w:basedOn w:val="149"/>
    <w:next w:val="1"/>
    <w:link w:val="150"/>
    <w:qFormat/>
    <w:uiPriority w:val="0"/>
    <w:pPr>
      <w:spacing w:line="440" w:lineRule="atLeast"/>
    </w:pPr>
    <w:rPr>
      <w:rFonts w:ascii="黑体" w:eastAsia="黑体"/>
      <w:snapToGrid w:val="0"/>
      <w:kern w:val="0"/>
      <w:szCs w:val="24"/>
    </w:rPr>
  </w:style>
  <w:style w:type="paragraph" w:customStyle="1" w:styleId="149">
    <w:name w:val="第一列"/>
    <w:basedOn w:val="62"/>
    <w:qFormat/>
    <w:uiPriority w:val="0"/>
    <w:rPr>
      <w:rFonts w:ascii="Times New Roman" w:hAnsi="Times New Roman"/>
      <w:color w:val="000000"/>
    </w:rPr>
  </w:style>
  <w:style w:type="character" w:customStyle="1" w:styleId="150">
    <w:name w:val="表头 Char"/>
    <w:link w:val="148"/>
    <w:qFormat/>
    <w:uiPriority w:val="0"/>
    <w:rPr>
      <w:rFonts w:ascii="黑体" w:hAnsi="Times New Roman" w:eastAsia="黑体"/>
      <w:snapToGrid w:val="0"/>
      <w:sz w:val="24"/>
      <w:szCs w:val="24"/>
    </w:rPr>
  </w:style>
  <w:style w:type="character" w:customStyle="1" w:styleId="151">
    <w:name w:val="标题 3 字符1"/>
    <w:qFormat/>
    <w:uiPriority w:val="0"/>
    <w:rPr>
      <w:rFonts w:ascii="Times New Roman" w:hAnsi="Times New Roman"/>
      <w:b/>
      <w:bCs/>
      <w:kern w:val="2"/>
      <w:sz w:val="28"/>
      <w:szCs w:val="28"/>
    </w:rPr>
  </w:style>
  <w:style w:type="character" w:customStyle="1" w:styleId="152">
    <w:name w:val="line21"/>
    <w:qFormat/>
    <w:uiPriority w:val="0"/>
  </w:style>
  <w:style w:type="character" w:customStyle="1" w:styleId="153">
    <w:name w:val="apple-converted-space"/>
    <w:basedOn w:val="93"/>
    <w:qFormat/>
    <w:uiPriority w:val="0"/>
  </w:style>
  <w:style w:type="character" w:customStyle="1" w:styleId="154">
    <w:name w:val="表头 Char Char"/>
    <w:qFormat/>
    <w:uiPriority w:val="0"/>
    <w:rPr>
      <w:rFonts w:ascii="黑体" w:eastAsia="黑体"/>
      <w:snapToGrid w:val="0"/>
      <w:kern w:val="2"/>
      <w:sz w:val="24"/>
      <w:szCs w:val="24"/>
      <w:lang w:val="en-US" w:eastAsia="zh-CN" w:bidi="ar-SA"/>
    </w:rPr>
  </w:style>
  <w:style w:type="character" w:customStyle="1" w:styleId="155">
    <w:name w:val="xiaodong1"/>
    <w:qFormat/>
    <w:uiPriority w:val="0"/>
    <w:rPr>
      <w:sz w:val="22"/>
      <w:szCs w:val="22"/>
    </w:rPr>
  </w:style>
  <w:style w:type="character" w:customStyle="1" w:styleId="156">
    <w:name w:val="日期 Char1"/>
    <w:qFormat/>
    <w:uiPriority w:val="0"/>
    <w:rPr>
      <w:kern w:val="2"/>
      <w:sz w:val="21"/>
      <w:szCs w:val="22"/>
    </w:rPr>
  </w:style>
  <w:style w:type="character" w:customStyle="1" w:styleId="157">
    <w:name w:val="页眉 Char1"/>
    <w:qFormat/>
    <w:uiPriority w:val="0"/>
    <w:rPr>
      <w:rFonts w:ascii="Times New Roman" w:hAnsi="Times New Roman" w:eastAsia="宋体" w:cs="Times New Roman"/>
      <w:sz w:val="18"/>
      <w:szCs w:val="18"/>
    </w:rPr>
  </w:style>
  <w:style w:type="character" w:customStyle="1" w:styleId="158">
    <w:name w:val="样式 正文缩进s4 + 首行缩进:  2 字符 Char"/>
    <w:qFormat/>
    <w:uiPriority w:val="0"/>
    <w:rPr>
      <w:rFonts w:ascii="宋体" w:hAnsi="宋体" w:eastAsia="宋体" w:cs="宋体"/>
      <w:b/>
      <w:bCs/>
      <w:kern w:val="2"/>
      <w:sz w:val="24"/>
      <w:szCs w:val="32"/>
      <w:lang w:val="en-US" w:eastAsia="zh-CN" w:bidi="ar-SA"/>
    </w:rPr>
  </w:style>
  <w:style w:type="character" w:customStyle="1" w:styleId="159">
    <w:name w:val="正文样式1 Char"/>
    <w:link w:val="160"/>
    <w:qFormat/>
    <w:uiPriority w:val="0"/>
    <w:rPr>
      <w:rFonts w:ascii="Times New Roman" w:hAnsi="Times New Roman"/>
      <w:sz w:val="24"/>
    </w:rPr>
  </w:style>
  <w:style w:type="paragraph" w:customStyle="1" w:styleId="160">
    <w:name w:val="正文样式1"/>
    <w:basedOn w:val="1"/>
    <w:link w:val="159"/>
    <w:qFormat/>
    <w:uiPriority w:val="0"/>
    <w:pPr>
      <w:ind w:firstLine="482"/>
      <w:textAlignment w:val="baseline"/>
    </w:pPr>
    <w:rPr>
      <w:kern w:val="0"/>
      <w:szCs w:val="20"/>
    </w:rPr>
  </w:style>
  <w:style w:type="character" w:customStyle="1" w:styleId="161">
    <w:name w:val="unnamed11"/>
    <w:qFormat/>
    <w:uiPriority w:val="0"/>
  </w:style>
  <w:style w:type="character" w:customStyle="1" w:styleId="162">
    <w:name w:val="标题 3 Char3"/>
    <w:qFormat/>
    <w:uiPriority w:val="0"/>
    <w:rPr>
      <w:sz w:val="24"/>
    </w:rPr>
  </w:style>
  <w:style w:type="character" w:customStyle="1" w:styleId="163">
    <w:name w:val="Char Char"/>
    <w:link w:val="164"/>
    <w:qFormat/>
    <w:uiPriority w:val="0"/>
    <w:rPr>
      <w:rFonts w:ascii="Times New Roman" w:hAnsi="Times New Roman"/>
      <w:kern w:val="2"/>
      <w:sz w:val="21"/>
      <w:szCs w:val="24"/>
    </w:rPr>
  </w:style>
  <w:style w:type="paragraph" w:customStyle="1" w:styleId="164">
    <w:name w:val="Char3"/>
    <w:basedOn w:val="1"/>
    <w:link w:val="163"/>
    <w:qFormat/>
    <w:uiPriority w:val="0"/>
    <w:pPr>
      <w:pageBreakBefore/>
    </w:pPr>
    <w:rPr>
      <w:szCs w:val="24"/>
    </w:rPr>
  </w:style>
  <w:style w:type="character" w:customStyle="1" w:styleId="165">
    <w:name w:val="批注文字 Char1"/>
    <w:semiHidden/>
    <w:qFormat/>
    <w:uiPriority w:val="99"/>
    <w:rPr>
      <w:rFonts w:ascii="Times New Roman" w:hAnsi="Times New Roman" w:eastAsia="宋体" w:cs="Times New Roman"/>
      <w:szCs w:val="24"/>
    </w:rPr>
  </w:style>
  <w:style w:type="character" w:customStyle="1" w:styleId="166">
    <w:name w:val="正文文本 3 Char2"/>
    <w:semiHidden/>
    <w:qFormat/>
    <w:uiPriority w:val="99"/>
    <w:rPr>
      <w:rFonts w:ascii="Times New Roman" w:hAnsi="Times New Roman" w:eastAsia="宋体" w:cs="Times New Roman"/>
      <w:sz w:val="16"/>
      <w:szCs w:val="16"/>
    </w:rPr>
  </w:style>
  <w:style w:type="character" w:customStyle="1" w:styleId="167">
    <w:name w:val="weby1"/>
    <w:qFormat/>
    <w:uiPriority w:val="0"/>
    <w:rPr>
      <w:color w:val="003300"/>
      <w:sz w:val="18"/>
      <w:szCs w:val="18"/>
    </w:rPr>
  </w:style>
  <w:style w:type="character" w:customStyle="1" w:styleId="168">
    <w:name w:val="表题 Char"/>
    <w:link w:val="169"/>
    <w:qFormat/>
    <w:uiPriority w:val="0"/>
    <w:rPr>
      <w:b/>
    </w:rPr>
  </w:style>
  <w:style w:type="paragraph" w:customStyle="1" w:styleId="169">
    <w:name w:val="表题"/>
    <w:basedOn w:val="20"/>
    <w:link w:val="168"/>
    <w:qFormat/>
    <w:uiPriority w:val="0"/>
    <w:pPr>
      <w:tabs>
        <w:tab w:val="left" w:pos="720"/>
      </w:tabs>
      <w:ind w:firstLine="0" w:firstLineChars="0"/>
    </w:pPr>
    <w:rPr>
      <w:rFonts w:ascii="Calibri" w:hAnsi="Calibri"/>
      <w:b w:val="0"/>
      <w:sz w:val="20"/>
      <w:szCs w:val="20"/>
    </w:rPr>
  </w:style>
  <w:style w:type="character" w:customStyle="1" w:styleId="170">
    <w:name w:val="Message Header Label"/>
    <w:qFormat/>
    <w:uiPriority w:val="0"/>
    <w:rPr>
      <w:rFonts w:ascii="Arial Black" w:hAnsi="Arial Black"/>
      <w:sz w:val="18"/>
    </w:rPr>
  </w:style>
  <w:style w:type="character" w:customStyle="1" w:styleId="171">
    <w:name w:val="不明显参考1"/>
    <w:qFormat/>
    <w:uiPriority w:val="31"/>
    <w:rPr>
      <w:smallCaps/>
      <w:color w:val="C0504D"/>
      <w:u w:val="single"/>
    </w:rPr>
  </w:style>
  <w:style w:type="character" w:customStyle="1" w:styleId="172">
    <w:name w:val="we1"/>
    <w:basedOn w:val="93"/>
    <w:qFormat/>
    <w:uiPriority w:val="0"/>
  </w:style>
  <w:style w:type="character" w:customStyle="1" w:styleId="173">
    <w:name w:val="tpc_content1"/>
    <w:qFormat/>
    <w:uiPriority w:val="0"/>
    <w:rPr>
      <w:sz w:val="18"/>
      <w:szCs w:val="18"/>
    </w:rPr>
  </w:style>
  <w:style w:type="character" w:customStyle="1" w:styleId="174">
    <w:name w:val="pt10-2"/>
    <w:qFormat/>
    <w:uiPriority w:val="0"/>
    <w:rPr>
      <w:rFonts w:ascii="宋体" w:hAnsi="宋体" w:eastAsia="宋体" w:cs="宋体"/>
      <w:b/>
      <w:bCs/>
      <w:kern w:val="44"/>
      <w:sz w:val="32"/>
      <w:szCs w:val="32"/>
      <w:lang w:val="en-US" w:eastAsia="zh-CN" w:bidi="ar-SA"/>
    </w:rPr>
  </w:style>
  <w:style w:type="character" w:customStyle="1" w:styleId="175">
    <w:name w:val="xygk11"/>
    <w:qFormat/>
    <w:uiPriority w:val="0"/>
    <w:rPr>
      <w:rFonts w:hint="default" w:eastAsia="宋体" w:cs="宋体"/>
      <w:b/>
      <w:bCs/>
      <w:kern w:val="44"/>
      <w:sz w:val="21"/>
      <w:szCs w:val="21"/>
      <w:lang w:val="en-US" w:eastAsia="zh-CN" w:bidi="ar-SA"/>
    </w:rPr>
  </w:style>
  <w:style w:type="character" w:customStyle="1" w:styleId="176">
    <w:name w:val="表格 Char"/>
    <w:link w:val="177"/>
    <w:qFormat/>
    <w:uiPriority w:val="0"/>
    <w:rPr>
      <w:rFonts w:ascii="Times New Roman" w:hAnsi="Times New Roman"/>
      <w:kern w:val="2"/>
      <w:sz w:val="21"/>
    </w:rPr>
  </w:style>
  <w:style w:type="paragraph" w:customStyle="1" w:styleId="177">
    <w:name w:val="表格"/>
    <w:basedOn w:val="1"/>
    <w:next w:val="1"/>
    <w:link w:val="176"/>
    <w:qFormat/>
    <w:uiPriority w:val="0"/>
    <w:pPr>
      <w:jc w:val="center"/>
    </w:pPr>
    <w:rPr>
      <w:szCs w:val="20"/>
    </w:rPr>
  </w:style>
  <w:style w:type="character" w:customStyle="1" w:styleId="178">
    <w:name w:val="style141"/>
    <w:qFormat/>
    <w:uiPriority w:val="0"/>
    <w:rPr>
      <w:sz w:val="27"/>
      <w:szCs w:val="27"/>
    </w:rPr>
  </w:style>
  <w:style w:type="character" w:customStyle="1" w:styleId="179">
    <w:name w:val="表名 Char"/>
    <w:link w:val="180"/>
    <w:qFormat/>
    <w:uiPriority w:val="0"/>
    <w:rPr>
      <w:rFonts w:ascii="Times New Roman" w:hAnsi="Times New Roman" w:eastAsia="黑体"/>
      <w:kern w:val="2"/>
      <w:sz w:val="28"/>
    </w:rPr>
  </w:style>
  <w:style w:type="paragraph" w:customStyle="1" w:styleId="180">
    <w:name w:val="表名"/>
    <w:basedOn w:val="1"/>
    <w:link w:val="179"/>
    <w:qFormat/>
    <w:uiPriority w:val="0"/>
    <w:pPr>
      <w:overflowPunct w:val="0"/>
      <w:spacing w:before="120" w:line="300" w:lineRule="exact"/>
      <w:textAlignment w:val="baseline"/>
    </w:pPr>
    <w:rPr>
      <w:rFonts w:eastAsia="黑体"/>
      <w:sz w:val="28"/>
      <w:szCs w:val="20"/>
    </w:rPr>
  </w:style>
  <w:style w:type="character" w:customStyle="1" w:styleId="181">
    <w:name w:val="表文 Char Char"/>
    <w:link w:val="182"/>
    <w:qFormat/>
    <w:uiPriority w:val="0"/>
    <w:rPr>
      <w:rFonts w:ascii="Times New Roman" w:hAnsi="Times New Roman"/>
      <w:kern w:val="2"/>
      <w:sz w:val="24"/>
    </w:rPr>
  </w:style>
  <w:style w:type="paragraph" w:customStyle="1" w:styleId="182">
    <w:name w:val="表文 Char"/>
    <w:basedOn w:val="1"/>
    <w:link w:val="181"/>
    <w:qFormat/>
    <w:uiPriority w:val="0"/>
    <w:pPr>
      <w:overflowPunct w:val="0"/>
      <w:jc w:val="center"/>
      <w:textAlignment w:val="baseline"/>
    </w:pPr>
    <w:rPr>
      <w:szCs w:val="20"/>
    </w:rPr>
  </w:style>
  <w:style w:type="character" w:customStyle="1" w:styleId="183">
    <w:name w:val="标题 53"/>
    <w:qFormat/>
    <w:uiPriority w:val="0"/>
    <w:rPr>
      <w:rFonts w:eastAsia="宋体"/>
      <w:sz w:val="24"/>
      <w:lang w:val="en-US" w:eastAsia="zh-CN" w:bidi="ar-SA"/>
    </w:rPr>
  </w:style>
  <w:style w:type="character" w:customStyle="1" w:styleId="184">
    <w:name w:val="表名 Char Char"/>
    <w:qFormat/>
    <w:uiPriority w:val="0"/>
    <w:rPr>
      <w:rFonts w:ascii="黑体" w:hAnsi="Arial" w:eastAsia="黑体"/>
      <w:kern w:val="2"/>
      <w:sz w:val="28"/>
      <w:lang w:val="en-US" w:eastAsia="zh-CN" w:bidi="ar-SA"/>
    </w:rPr>
  </w:style>
  <w:style w:type="character" w:customStyle="1" w:styleId="185">
    <w:name w:val="a21"/>
    <w:qFormat/>
    <w:uiPriority w:val="0"/>
    <w:rPr>
      <w:rFonts w:hint="default" w:ascii="Geneva" w:hAnsi="Geneva"/>
      <w:color w:val="000000"/>
      <w:sz w:val="23"/>
      <w:szCs w:val="23"/>
      <w:u w:val="none"/>
    </w:rPr>
  </w:style>
  <w:style w:type="character" w:customStyle="1" w:styleId="186">
    <w:name w:val="标题 41"/>
    <w:qFormat/>
    <w:uiPriority w:val="0"/>
    <w:rPr>
      <w:rFonts w:eastAsia="宋体"/>
      <w:sz w:val="24"/>
      <w:lang w:val="en-US" w:eastAsia="zh-CN" w:bidi="ar-SA"/>
    </w:rPr>
  </w:style>
  <w:style w:type="character" w:customStyle="1" w:styleId="187">
    <w:name w:val="样式12q Char"/>
    <w:link w:val="188"/>
    <w:qFormat/>
    <w:uiPriority w:val="0"/>
    <w:rPr>
      <w:rFonts w:ascii="Times New Roman" w:hAnsi="Times New Roman"/>
      <w:kern w:val="2"/>
      <w:sz w:val="28"/>
      <w:szCs w:val="28"/>
    </w:rPr>
  </w:style>
  <w:style w:type="paragraph" w:customStyle="1" w:styleId="188">
    <w:name w:val="样式12q"/>
    <w:basedOn w:val="1"/>
    <w:link w:val="187"/>
    <w:qFormat/>
    <w:uiPriority w:val="0"/>
    <w:pPr>
      <w:ind w:firstLine="560"/>
    </w:pPr>
    <w:rPr>
      <w:sz w:val="28"/>
      <w:szCs w:val="28"/>
    </w:rPr>
  </w:style>
  <w:style w:type="character" w:customStyle="1" w:styleId="189">
    <w:name w:val="duan1"/>
    <w:qFormat/>
    <w:uiPriority w:val="0"/>
    <w:rPr>
      <w:rFonts w:hint="default" w:ascii="ˎ̥" w:hAnsi="ˎ̥"/>
      <w:sz w:val="20"/>
      <w:szCs w:val="20"/>
    </w:rPr>
  </w:style>
  <w:style w:type="character" w:customStyle="1" w:styleId="190">
    <w:name w:val="样式 标题 1 Char"/>
    <w:link w:val="191"/>
    <w:qFormat/>
    <w:uiPriority w:val="0"/>
    <w:rPr>
      <w:rFonts w:ascii="Times New Roman" w:hAnsi="Times New Roman" w:eastAsia="黑体"/>
      <w:b/>
      <w:bCs/>
      <w:kern w:val="44"/>
      <w:sz w:val="32"/>
    </w:rPr>
  </w:style>
  <w:style w:type="paragraph" w:customStyle="1" w:styleId="191">
    <w:name w:val="样式 标题 1"/>
    <w:basedOn w:val="3"/>
    <w:link w:val="190"/>
    <w:qFormat/>
    <w:uiPriority w:val="0"/>
    <w:pPr>
      <w:spacing w:before="0" w:after="0"/>
    </w:pPr>
    <w:rPr>
      <w:b/>
      <w:szCs w:val="20"/>
    </w:rPr>
  </w:style>
  <w:style w:type="character" w:customStyle="1" w:styleId="192">
    <w:name w:val="black91"/>
    <w:qFormat/>
    <w:uiPriority w:val="0"/>
    <w:rPr>
      <w:color w:val="000000"/>
      <w:sz w:val="18"/>
      <w:szCs w:val="18"/>
    </w:rPr>
  </w:style>
  <w:style w:type="character" w:customStyle="1" w:styleId="193">
    <w:name w:val="lm1"/>
    <w:qFormat/>
    <w:uiPriority w:val="0"/>
    <w:rPr>
      <w:sz w:val="20"/>
      <w:szCs w:val="20"/>
    </w:rPr>
  </w:style>
  <w:style w:type="character" w:customStyle="1" w:styleId="194">
    <w:name w:val="pt11"/>
    <w:qFormat/>
    <w:uiPriority w:val="0"/>
    <w:rPr>
      <w:rFonts w:ascii="宋体" w:hAnsi="宋体" w:eastAsia="宋体" w:cs="宋体"/>
      <w:b/>
      <w:bCs/>
      <w:kern w:val="44"/>
      <w:sz w:val="32"/>
      <w:szCs w:val="32"/>
      <w:lang w:val="en-US" w:eastAsia="zh-CN" w:bidi="ar-SA"/>
    </w:rPr>
  </w:style>
  <w:style w:type="character" w:customStyle="1" w:styleId="195">
    <w:name w:val="apple-style-span"/>
    <w:basedOn w:val="93"/>
    <w:qFormat/>
    <w:uiPriority w:val="0"/>
  </w:style>
  <w:style w:type="character" w:customStyle="1" w:styleId="196">
    <w:name w:val="style111"/>
    <w:qFormat/>
    <w:uiPriority w:val="0"/>
    <w:rPr>
      <w:b/>
      <w:bCs/>
      <w:color w:val="FF0000"/>
    </w:rPr>
  </w:style>
  <w:style w:type="character" w:customStyle="1" w:styleId="197">
    <w:name w:val="style101"/>
    <w:qFormat/>
    <w:uiPriority w:val="0"/>
    <w:rPr>
      <w:sz w:val="21"/>
      <w:szCs w:val="21"/>
    </w:rPr>
  </w:style>
  <w:style w:type="character" w:customStyle="1" w:styleId="198">
    <w:name w:val="blue"/>
    <w:basedOn w:val="93"/>
    <w:qFormat/>
    <w:uiPriority w:val="0"/>
  </w:style>
  <w:style w:type="character" w:customStyle="1" w:styleId="199">
    <w:name w:val="标题 4 Char1"/>
    <w:qFormat/>
    <w:uiPriority w:val="0"/>
    <w:rPr>
      <w:sz w:val="24"/>
    </w:rPr>
  </w:style>
  <w:style w:type="character" w:customStyle="1" w:styleId="200">
    <w:name w:val="普通文字 Char Char Char Char Char Char Char Char Char Char Char"/>
    <w:qFormat/>
    <w:uiPriority w:val="0"/>
    <w:rPr>
      <w:rFonts w:ascii="宋体" w:hAnsi="Courier New" w:eastAsia="宋体"/>
      <w:kern w:val="2"/>
      <w:sz w:val="21"/>
      <w:lang w:val="en-US" w:eastAsia="zh-CN" w:bidi="ar-SA"/>
    </w:rPr>
  </w:style>
  <w:style w:type="character" w:customStyle="1" w:styleId="201">
    <w:name w:val="表号.tx"/>
    <w:qFormat/>
    <w:uiPriority w:val="0"/>
    <w:rPr>
      <w:rFonts w:eastAsia="仿宋_GB2312"/>
      <w:sz w:val="24"/>
    </w:rPr>
  </w:style>
  <w:style w:type="character" w:customStyle="1" w:styleId="202">
    <w:name w:val="样式 左侧:  0.98 厘米 Char1"/>
    <w:link w:val="203"/>
    <w:qFormat/>
    <w:uiPriority w:val="0"/>
    <w:rPr>
      <w:rFonts w:ascii="Times New Roman" w:hAnsi="Times New Roman" w:eastAsia="仿宋_GB2312"/>
      <w:kern w:val="2"/>
      <w:sz w:val="28"/>
    </w:rPr>
  </w:style>
  <w:style w:type="paragraph" w:customStyle="1" w:styleId="203">
    <w:name w:val="样式 左侧:  0.98 厘米"/>
    <w:basedOn w:val="1"/>
    <w:link w:val="202"/>
    <w:qFormat/>
    <w:uiPriority w:val="0"/>
    <w:pPr>
      <w:spacing w:line="490" w:lineRule="exact"/>
      <w:ind w:firstLine="560"/>
    </w:pPr>
    <w:rPr>
      <w:rFonts w:eastAsia="仿宋_GB2312"/>
      <w:sz w:val="28"/>
      <w:szCs w:val="20"/>
    </w:rPr>
  </w:style>
  <w:style w:type="character" w:customStyle="1" w:styleId="204">
    <w:name w:val="style131"/>
    <w:qFormat/>
    <w:uiPriority w:val="0"/>
    <w:rPr>
      <w:color w:val="FF0000"/>
    </w:rPr>
  </w:style>
  <w:style w:type="character" w:customStyle="1" w:styleId="205">
    <w:name w:val="样式 正文文本表中文字 + 小四 Char"/>
    <w:link w:val="206"/>
    <w:qFormat/>
    <w:uiPriority w:val="0"/>
    <w:rPr>
      <w:snapToGrid w:val="0"/>
      <w:sz w:val="24"/>
      <w:szCs w:val="24"/>
    </w:rPr>
  </w:style>
  <w:style w:type="paragraph" w:customStyle="1" w:styleId="206">
    <w:name w:val="样式 正文文本表中文字 + 小四"/>
    <w:basedOn w:val="31"/>
    <w:link w:val="205"/>
    <w:qFormat/>
    <w:uiPriority w:val="0"/>
    <w:pPr>
      <w:spacing w:after="0"/>
      <w:ind w:firstLine="200"/>
      <w:textAlignment w:val="baseline"/>
    </w:pPr>
    <w:rPr>
      <w:snapToGrid w:val="0"/>
      <w:kern w:val="0"/>
      <w:szCs w:val="24"/>
    </w:rPr>
  </w:style>
  <w:style w:type="character" w:customStyle="1" w:styleId="207">
    <w:name w:val="title1"/>
    <w:qFormat/>
    <w:uiPriority w:val="0"/>
    <w:rPr>
      <w:rFonts w:hint="eastAsia" w:ascii="Verdana, Arial, 宋体" w:eastAsia="Verdana, Arial, 宋体"/>
      <w:b/>
      <w:bCs/>
      <w:color w:val="333333"/>
      <w:sz w:val="30"/>
      <w:szCs w:val="30"/>
    </w:rPr>
  </w:style>
  <w:style w:type="character" w:customStyle="1" w:styleId="208">
    <w:name w:val="报告书正文 Char2"/>
    <w:link w:val="209"/>
    <w:qFormat/>
    <w:uiPriority w:val="0"/>
    <w:rPr>
      <w:rFonts w:ascii="Times New Roman" w:hAnsi="Times New Roman"/>
      <w:kern w:val="2"/>
      <w:sz w:val="24"/>
    </w:rPr>
  </w:style>
  <w:style w:type="paragraph" w:customStyle="1" w:styleId="209">
    <w:name w:val="报告书正文"/>
    <w:basedOn w:val="1"/>
    <w:link w:val="208"/>
    <w:qFormat/>
    <w:uiPriority w:val="0"/>
    <w:pPr>
      <w:spacing w:line="300" w:lineRule="auto"/>
      <w:ind w:firstLine="200"/>
    </w:pPr>
    <w:rPr>
      <w:szCs w:val="20"/>
    </w:rPr>
  </w:style>
  <w:style w:type="character" w:customStyle="1" w:styleId="210">
    <w:name w:val="表 Char"/>
    <w:link w:val="211"/>
    <w:qFormat/>
    <w:locked/>
    <w:uiPriority w:val="0"/>
    <w:rPr>
      <w:rFonts w:ascii="Times New Roman" w:hAnsi="Times New Roman"/>
      <w:sz w:val="21"/>
      <w:szCs w:val="28"/>
    </w:rPr>
  </w:style>
  <w:style w:type="paragraph" w:customStyle="1" w:styleId="211">
    <w:name w:val="表"/>
    <w:basedOn w:val="1"/>
    <w:next w:val="1"/>
    <w:link w:val="210"/>
    <w:qFormat/>
    <w:uiPriority w:val="0"/>
    <w:pPr>
      <w:spacing w:line="288" w:lineRule="auto"/>
    </w:pPr>
    <w:rPr>
      <w:kern w:val="0"/>
      <w:szCs w:val="28"/>
    </w:rPr>
  </w:style>
  <w:style w:type="character" w:customStyle="1" w:styleId="212">
    <w:name w:val="Char Char19"/>
    <w:semiHidden/>
    <w:qFormat/>
    <w:uiPriority w:val="0"/>
    <w:rPr>
      <w:rFonts w:ascii="宋体" w:hAnsi="Calibri" w:eastAsia="宋体" w:cs="Times New Roman"/>
      <w:sz w:val="18"/>
      <w:szCs w:val="18"/>
    </w:rPr>
  </w:style>
  <w:style w:type="character" w:customStyle="1" w:styleId="213">
    <w:name w:val="样式 样式 正文缩进s4 + 首行缩进:  2 字符 + 首行缩进:  2 字符 Char"/>
    <w:qFormat/>
    <w:uiPriority w:val="0"/>
    <w:rPr>
      <w:rFonts w:ascii="宋体" w:hAnsi="宋体" w:eastAsia="仿宋_GB2312" w:cs="宋体"/>
      <w:b/>
      <w:bCs/>
      <w:kern w:val="2"/>
      <w:sz w:val="28"/>
      <w:szCs w:val="32"/>
      <w:lang w:val="en-US" w:eastAsia="zh-CN" w:bidi="ar-SA"/>
    </w:rPr>
  </w:style>
  <w:style w:type="character" w:customStyle="1" w:styleId="214">
    <w:name w:val="样式 样式 样式 正文缩进s4 + 首行缩进:  2 字符 + 首行缩进:  2 字符 + Char"/>
    <w:qFormat/>
    <w:uiPriority w:val="0"/>
    <w:rPr>
      <w:rFonts w:ascii="宋体" w:hAnsi="宋体" w:eastAsia="仿宋_GB2312" w:cs="宋体"/>
      <w:b/>
      <w:bCs/>
      <w:color w:val="000000"/>
      <w:kern w:val="2"/>
      <w:sz w:val="28"/>
      <w:szCs w:val="28"/>
      <w:lang w:val="en-US" w:eastAsia="zh-CN" w:bidi="ar-SA"/>
    </w:rPr>
  </w:style>
  <w:style w:type="character" w:customStyle="1" w:styleId="215">
    <w:name w:val="章标题 1 Char"/>
    <w:qFormat/>
    <w:uiPriority w:val="0"/>
    <w:rPr>
      <w:rFonts w:eastAsia="宋体"/>
      <w:b/>
      <w:kern w:val="44"/>
      <w:sz w:val="44"/>
      <w:lang w:val="en-US" w:eastAsia="zh-CN" w:bidi="ar-SA"/>
    </w:rPr>
  </w:style>
  <w:style w:type="character" w:customStyle="1" w:styleId="216">
    <w:name w:val="表头.tx Char"/>
    <w:link w:val="217"/>
    <w:qFormat/>
    <w:uiPriority w:val="0"/>
    <w:rPr>
      <w:rFonts w:ascii="Times New Roman" w:hAnsi="宋体"/>
      <w:kern w:val="2"/>
      <w:sz w:val="28"/>
      <w:szCs w:val="24"/>
    </w:rPr>
  </w:style>
  <w:style w:type="paragraph" w:customStyle="1" w:styleId="217">
    <w:name w:val="表头.tx"/>
    <w:basedOn w:val="1"/>
    <w:link w:val="216"/>
    <w:qFormat/>
    <w:uiPriority w:val="0"/>
    <w:pPr>
      <w:spacing w:before="156" w:beforeLines="50"/>
      <w:jc w:val="center"/>
    </w:pPr>
    <w:rPr>
      <w:rFonts w:hAnsi="宋体"/>
      <w:sz w:val="28"/>
      <w:szCs w:val="24"/>
    </w:rPr>
  </w:style>
  <w:style w:type="character" w:customStyle="1" w:styleId="218">
    <w:name w:val="style121"/>
    <w:qFormat/>
    <w:uiPriority w:val="0"/>
    <w:rPr>
      <w:b/>
      <w:bCs/>
      <w:color w:val="FF0000"/>
    </w:rPr>
  </w:style>
  <w:style w:type="character" w:customStyle="1" w:styleId="219">
    <w:name w:val="pt121"/>
    <w:qFormat/>
    <w:uiPriority w:val="0"/>
    <w:rPr>
      <w:rFonts w:hint="eastAsia" w:ascii="宋体" w:hAnsi="宋体" w:eastAsia="宋体"/>
      <w:sz w:val="24"/>
      <w:szCs w:val="24"/>
    </w:rPr>
  </w:style>
  <w:style w:type="character" w:customStyle="1" w:styleId="220">
    <w:name w:val="docpro"/>
    <w:basedOn w:val="93"/>
    <w:qFormat/>
    <w:uiPriority w:val="0"/>
  </w:style>
  <w:style w:type="character" w:customStyle="1" w:styleId="221">
    <w:name w:val="t11"/>
    <w:qFormat/>
    <w:uiPriority w:val="0"/>
    <w:rPr>
      <w:sz w:val="21"/>
      <w:szCs w:val="21"/>
    </w:rPr>
  </w:style>
  <w:style w:type="character" w:customStyle="1" w:styleId="222">
    <w:name w:val="Normal Char"/>
    <w:link w:val="223"/>
    <w:qFormat/>
    <w:uiPriority w:val="0"/>
    <w:rPr>
      <w:rFonts w:ascii="Times New Roman" w:hAnsi="Times New Roman" w:eastAsia="仿宋_GB2312"/>
      <w:sz w:val="28"/>
      <w:lang w:val="en-US" w:eastAsia="zh-CN" w:bidi="ar-SA"/>
    </w:rPr>
  </w:style>
  <w:style w:type="paragraph" w:customStyle="1" w:styleId="223">
    <w:name w:val="正文2"/>
    <w:link w:val="222"/>
    <w:qFormat/>
    <w:uiPriority w:val="0"/>
    <w:pPr>
      <w:widowControl w:val="0"/>
      <w:adjustRightInd w:val="0"/>
      <w:jc w:val="center"/>
      <w:textAlignment w:val="baseline"/>
    </w:pPr>
    <w:rPr>
      <w:rFonts w:ascii="Times New Roman" w:hAnsi="Times New Roman" w:eastAsia="仿宋_GB2312" w:cs="Times New Roman"/>
      <w:sz w:val="28"/>
      <w:lang w:val="en-US" w:eastAsia="zh-CN" w:bidi="ar-SA"/>
    </w:rPr>
  </w:style>
  <w:style w:type="character" w:customStyle="1" w:styleId="224">
    <w:name w:val="标题 6 Char1"/>
    <w:qFormat/>
    <w:uiPriority w:val="0"/>
    <w:rPr>
      <w:sz w:val="24"/>
    </w:rPr>
  </w:style>
  <w:style w:type="character" w:customStyle="1" w:styleId="225">
    <w:name w:val="content"/>
    <w:basedOn w:val="93"/>
    <w:qFormat/>
    <w:uiPriority w:val="0"/>
  </w:style>
  <w:style w:type="character" w:customStyle="1" w:styleId="226">
    <w:name w:val="正文22 Char"/>
    <w:link w:val="227"/>
    <w:qFormat/>
    <w:uiPriority w:val="0"/>
    <w:rPr>
      <w:rFonts w:ascii="Times New Roman" w:hAnsi="Times New Roman"/>
      <w:sz w:val="24"/>
      <w:szCs w:val="24"/>
    </w:rPr>
  </w:style>
  <w:style w:type="paragraph" w:customStyle="1" w:styleId="227">
    <w:name w:val="正文22"/>
    <w:basedOn w:val="1"/>
    <w:link w:val="226"/>
    <w:qFormat/>
    <w:uiPriority w:val="0"/>
    <w:pPr>
      <w:ind w:firstLine="510"/>
      <w:textAlignment w:val="center"/>
    </w:pPr>
    <w:rPr>
      <w:kern w:val="0"/>
      <w:szCs w:val="24"/>
    </w:rPr>
  </w:style>
  <w:style w:type="character" w:customStyle="1" w:styleId="228">
    <w:name w:val="表格标题沣西新城 Char"/>
    <w:link w:val="229"/>
    <w:qFormat/>
    <w:uiPriority w:val="0"/>
    <w:rPr>
      <w:rFonts w:ascii="Times New Roman" w:hAnsi="Times New Roman" w:eastAsia="黑体"/>
      <w:b/>
      <w:sz w:val="21"/>
      <w:szCs w:val="24"/>
    </w:rPr>
  </w:style>
  <w:style w:type="paragraph" w:customStyle="1" w:styleId="229">
    <w:name w:val="表格标题沣西新城"/>
    <w:basedOn w:val="1"/>
    <w:link w:val="228"/>
    <w:qFormat/>
    <w:uiPriority w:val="0"/>
    <w:pPr>
      <w:jc w:val="center"/>
      <w:textAlignment w:val="center"/>
    </w:pPr>
    <w:rPr>
      <w:rFonts w:eastAsia="黑体"/>
      <w:b/>
      <w:kern w:val="0"/>
      <w:szCs w:val="24"/>
    </w:rPr>
  </w:style>
  <w:style w:type="character" w:customStyle="1" w:styleId="230">
    <w:name w:val="Char Char8"/>
    <w:qFormat/>
    <w:uiPriority w:val="0"/>
    <w:rPr>
      <w:rFonts w:ascii="宋体"/>
      <w:sz w:val="24"/>
    </w:rPr>
  </w:style>
  <w:style w:type="character" w:customStyle="1" w:styleId="231">
    <w:name w:val="Char Char Char Char1"/>
    <w:link w:val="232"/>
    <w:qFormat/>
    <w:uiPriority w:val="0"/>
    <w:rPr>
      <w:rFonts w:ascii="宋体" w:hAnsi="宋体" w:cs="宋体"/>
      <w:kern w:val="2"/>
      <w:sz w:val="24"/>
      <w:szCs w:val="24"/>
    </w:rPr>
  </w:style>
  <w:style w:type="paragraph" w:customStyle="1" w:styleId="232">
    <w:name w:val="Char Char Char1"/>
    <w:basedOn w:val="1"/>
    <w:link w:val="231"/>
    <w:qFormat/>
    <w:uiPriority w:val="0"/>
    <w:pPr>
      <w:ind w:firstLine="200"/>
    </w:pPr>
    <w:rPr>
      <w:rFonts w:ascii="宋体" w:hAnsi="宋体"/>
      <w:szCs w:val="24"/>
    </w:rPr>
  </w:style>
  <w:style w:type="character" w:customStyle="1" w:styleId="233">
    <w:name w:val="正文(首行缩进2字） Char"/>
    <w:link w:val="234"/>
    <w:qFormat/>
    <w:uiPriority w:val="0"/>
    <w:rPr>
      <w:rFonts w:ascii="Arial" w:hAnsi="Arial" w:cs="Arial"/>
      <w:kern w:val="2"/>
      <w:sz w:val="24"/>
      <w:szCs w:val="24"/>
    </w:rPr>
  </w:style>
  <w:style w:type="paragraph" w:customStyle="1" w:styleId="234">
    <w:name w:val="正文(首行缩进2字）"/>
    <w:basedOn w:val="1"/>
    <w:link w:val="233"/>
    <w:qFormat/>
    <w:uiPriority w:val="0"/>
    <w:pPr>
      <w:ind w:firstLine="480"/>
    </w:pPr>
    <w:rPr>
      <w:rFonts w:ascii="Arial" w:hAnsi="Arial"/>
      <w:szCs w:val="24"/>
    </w:rPr>
  </w:style>
  <w:style w:type="character" w:customStyle="1" w:styleId="235">
    <w:name w:val="表中文字 Char3"/>
    <w:qFormat/>
    <w:uiPriority w:val="0"/>
    <w:rPr>
      <w:rFonts w:ascii="宋体" w:eastAsia="宋体"/>
      <w:kern w:val="2"/>
      <w:sz w:val="32"/>
      <w:lang w:val="en-US" w:eastAsia="zh-CN" w:bidi="ar-SA"/>
    </w:rPr>
  </w:style>
  <w:style w:type="character" w:customStyle="1" w:styleId="236">
    <w:name w:val="表号 Char1"/>
    <w:link w:val="237"/>
    <w:qFormat/>
    <w:uiPriority w:val="0"/>
    <w:rPr>
      <w:rFonts w:ascii="Arial" w:hAnsi="Arial"/>
      <w:sz w:val="23"/>
      <w:lang w:val="en-US" w:eastAsia="zh-CN" w:bidi="ar-SA"/>
    </w:rPr>
  </w:style>
  <w:style w:type="paragraph" w:customStyle="1" w:styleId="237">
    <w:name w:val="表号"/>
    <w:link w:val="236"/>
    <w:qFormat/>
    <w:uiPriority w:val="0"/>
    <w:pPr>
      <w:adjustRightInd w:val="0"/>
      <w:snapToGrid w:val="0"/>
      <w:spacing w:line="480" w:lineRule="exact"/>
      <w:jc w:val="right"/>
    </w:pPr>
    <w:rPr>
      <w:rFonts w:ascii="Arial" w:hAnsi="Arial" w:eastAsia="宋体" w:cs="Times New Roman"/>
      <w:sz w:val="23"/>
      <w:lang w:val="en-US" w:eastAsia="zh-CN" w:bidi="ar-SA"/>
    </w:rPr>
  </w:style>
  <w:style w:type="character" w:customStyle="1" w:styleId="238">
    <w:name w:val="introtxt"/>
    <w:semiHidden/>
    <w:qFormat/>
    <w:uiPriority w:val="0"/>
    <w:rPr>
      <w:rFonts w:ascii="宋体" w:hAnsi="宋体" w:eastAsia="黑体" w:cs="宋体"/>
      <w:kern w:val="2"/>
      <w:sz w:val="30"/>
      <w:szCs w:val="24"/>
      <w:lang w:val="en-US" w:eastAsia="zh-CN" w:bidi="ar-SA"/>
    </w:rPr>
  </w:style>
  <w:style w:type="character" w:customStyle="1" w:styleId="239">
    <w:name w:val="1文本正文 Char"/>
    <w:link w:val="240"/>
    <w:qFormat/>
    <w:uiPriority w:val="0"/>
    <w:rPr>
      <w:rFonts w:ascii="Times New Roman" w:hAnsi="Times New Roman"/>
      <w:kern w:val="2"/>
      <w:sz w:val="24"/>
      <w:szCs w:val="24"/>
    </w:rPr>
  </w:style>
  <w:style w:type="paragraph" w:customStyle="1" w:styleId="240">
    <w:name w:val="1文本正文"/>
    <w:basedOn w:val="1"/>
    <w:link w:val="239"/>
    <w:qFormat/>
    <w:uiPriority w:val="0"/>
    <w:pPr>
      <w:spacing w:line="427" w:lineRule="exact"/>
      <w:ind w:firstLine="200"/>
    </w:pPr>
    <w:rPr>
      <w:szCs w:val="24"/>
    </w:rPr>
  </w:style>
  <w:style w:type="character" w:customStyle="1" w:styleId="241">
    <w:name w:val="样式 表格 + Times New Roman Char"/>
    <w:link w:val="242"/>
    <w:qFormat/>
    <w:uiPriority w:val="0"/>
    <w:rPr>
      <w:rFonts w:ascii="Arial" w:hAnsi="Arial" w:cs="Arial"/>
      <w:snapToGrid w:val="0"/>
      <w:sz w:val="21"/>
      <w:szCs w:val="21"/>
    </w:rPr>
  </w:style>
  <w:style w:type="paragraph" w:customStyle="1" w:styleId="242">
    <w:name w:val="样式 表格 + Times New Roman"/>
    <w:basedOn w:val="1"/>
    <w:link w:val="241"/>
    <w:qFormat/>
    <w:uiPriority w:val="0"/>
    <w:pPr>
      <w:spacing w:before="100" w:beforeAutospacing="1" w:after="100" w:afterAutospacing="1"/>
      <w:jc w:val="center"/>
    </w:pPr>
    <w:rPr>
      <w:rFonts w:ascii="Arial" w:hAnsi="Arial"/>
      <w:snapToGrid w:val="0"/>
      <w:kern w:val="0"/>
      <w:szCs w:val="21"/>
    </w:rPr>
  </w:style>
  <w:style w:type="character" w:customStyle="1" w:styleId="243">
    <w:name w:val="款标题 Char3"/>
    <w:qFormat/>
    <w:uiPriority w:val="0"/>
    <w:rPr>
      <w:rFonts w:ascii="Cambria" w:hAnsi="Cambria" w:eastAsia="宋体" w:cs="Times New Roman"/>
      <w:b/>
      <w:bCs/>
      <w:sz w:val="28"/>
      <w:szCs w:val="28"/>
    </w:rPr>
  </w:style>
  <w:style w:type="character" w:customStyle="1" w:styleId="244">
    <w:name w:val="样式 样式 左侧:  0.98 厘米 + 首行缩进:  2 字符 Char1"/>
    <w:link w:val="245"/>
    <w:qFormat/>
    <w:uiPriority w:val="0"/>
    <w:rPr>
      <w:rFonts w:ascii="宋体" w:hAnsi="宋体"/>
      <w:kern w:val="2"/>
      <w:sz w:val="24"/>
    </w:rPr>
  </w:style>
  <w:style w:type="paragraph" w:customStyle="1" w:styleId="245">
    <w:name w:val="样式 样式 左侧:  0.98 厘米 + 首行缩进:  2 字符"/>
    <w:basedOn w:val="1"/>
    <w:link w:val="244"/>
    <w:qFormat/>
    <w:uiPriority w:val="0"/>
    <w:pPr>
      <w:spacing w:line="490" w:lineRule="exact"/>
      <w:ind w:firstLine="480"/>
    </w:pPr>
    <w:rPr>
      <w:rFonts w:ascii="宋体" w:hAnsi="宋体"/>
      <w:szCs w:val="20"/>
    </w:rPr>
  </w:style>
  <w:style w:type="character" w:customStyle="1" w:styleId="246">
    <w:name w:val="表文 Char Char Char"/>
    <w:qFormat/>
    <w:uiPriority w:val="0"/>
    <w:rPr>
      <w:rFonts w:eastAsia="宋体"/>
      <w:kern w:val="2"/>
      <w:sz w:val="24"/>
      <w:lang w:val="en-US" w:eastAsia="zh-CN" w:bidi="ar-SA"/>
    </w:rPr>
  </w:style>
  <w:style w:type="character" w:customStyle="1" w:styleId="247">
    <w:name w:val="Char Char17"/>
    <w:qFormat/>
    <w:uiPriority w:val="0"/>
    <w:rPr>
      <w:rFonts w:ascii="Times New Roman" w:hAnsi="Times New Roman" w:eastAsia="宋体" w:cs="Times New Roman"/>
      <w:sz w:val="18"/>
      <w:szCs w:val="18"/>
    </w:rPr>
  </w:style>
  <w:style w:type="character" w:customStyle="1" w:styleId="248">
    <w:name w:val="样式（ 正文） Char"/>
    <w:link w:val="249"/>
    <w:qFormat/>
    <w:uiPriority w:val="0"/>
    <w:rPr>
      <w:rFonts w:ascii="宋体" w:hAnsi="宋体"/>
      <w:color w:val="000000"/>
      <w:kern w:val="2"/>
      <w:sz w:val="24"/>
      <w:szCs w:val="32"/>
    </w:rPr>
  </w:style>
  <w:style w:type="paragraph" w:customStyle="1" w:styleId="249">
    <w:name w:val="样式（ 正文）"/>
    <w:basedOn w:val="19"/>
    <w:link w:val="248"/>
    <w:qFormat/>
    <w:uiPriority w:val="0"/>
    <w:pPr>
      <w:ind w:firstLine="480"/>
    </w:pPr>
    <w:rPr>
      <w:rFonts w:ascii="宋体" w:hAnsi="宋体"/>
      <w:color w:val="000000"/>
      <w:szCs w:val="32"/>
    </w:rPr>
  </w:style>
  <w:style w:type="character" w:customStyle="1" w:styleId="250">
    <w:name w:val="章标题 Char3"/>
    <w:qFormat/>
    <w:uiPriority w:val="0"/>
    <w:rPr>
      <w:rFonts w:ascii="Calibri" w:hAnsi="Calibri" w:eastAsia="宋体" w:cs="Times New Roman"/>
      <w:b/>
      <w:bCs/>
      <w:kern w:val="44"/>
      <w:sz w:val="44"/>
      <w:szCs w:val="44"/>
    </w:rPr>
  </w:style>
  <w:style w:type="character" w:customStyle="1" w:styleId="251">
    <w:name w:val="style51"/>
    <w:qFormat/>
    <w:uiPriority w:val="0"/>
    <w:rPr>
      <w:b/>
      <w:bCs/>
      <w:color w:val="000066"/>
      <w:sz w:val="40"/>
      <w:szCs w:val="40"/>
    </w:rPr>
  </w:style>
  <w:style w:type="character" w:customStyle="1" w:styleId="252">
    <w:name w:val="Char Char18"/>
    <w:qFormat/>
    <w:uiPriority w:val="0"/>
    <w:rPr>
      <w:rFonts w:ascii="Arial" w:hAnsi="Arial" w:eastAsia="黑体" w:cs="Arial"/>
      <w:szCs w:val="20"/>
    </w:rPr>
  </w:style>
  <w:style w:type="character" w:customStyle="1" w:styleId="253">
    <w:name w:val="Char Char16"/>
    <w:qFormat/>
    <w:uiPriority w:val="0"/>
    <w:rPr>
      <w:rFonts w:ascii="Times New Roman" w:hAnsi="Times New Roman"/>
      <w:kern w:val="2"/>
      <w:sz w:val="24"/>
    </w:rPr>
  </w:style>
  <w:style w:type="character" w:customStyle="1" w:styleId="254">
    <w:name w:val="标题 1 Char1"/>
    <w:qFormat/>
    <w:uiPriority w:val="9"/>
    <w:rPr>
      <w:b/>
      <w:kern w:val="44"/>
      <w:sz w:val="24"/>
    </w:rPr>
  </w:style>
  <w:style w:type="character" w:customStyle="1" w:styleId="255">
    <w:name w:val="正文文本 2 Char1"/>
    <w:semiHidden/>
    <w:qFormat/>
    <w:uiPriority w:val="99"/>
    <w:rPr>
      <w:kern w:val="2"/>
      <w:sz w:val="21"/>
      <w:szCs w:val="22"/>
    </w:rPr>
  </w:style>
  <w:style w:type="character" w:customStyle="1" w:styleId="256">
    <w:name w:val="表头 Char2"/>
    <w:qFormat/>
    <w:uiPriority w:val="0"/>
    <w:rPr>
      <w:rFonts w:ascii="黑体" w:eastAsia="黑体"/>
      <w:snapToGrid w:val="0"/>
      <w:sz w:val="24"/>
      <w:szCs w:val="24"/>
      <w:lang w:val="en-US" w:eastAsia="zh-CN" w:bidi="ar-SA"/>
    </w:rPr>
  </w:style>
  <w:style w:type="character" w:customStyle="1" w:styleId="257">
    <w:name w:val="Char Char15"/>
    <w:qFormat/>
    <w:uiPriority w:val="0"/>
    <w:rPr>
      <w:rFonts w:ascii="Times New Roman" w:hAnsi="Times New Roman"/>
      <w:b/>
      <w:bCs/>
      <w:kern w:val="2"/>
      <w:sz w:val="21"/>
      <w:szCs w:val="24"/>
    </w:rPr>
  </w:style>
  <w:style w:type="character" w:customStyle="1" w:styleId="258">
    <w:name w:val="样式 样式 正文文本 + 首行缩进:  2 字符 + 自动设置 Char"/>
    <w:link w:val="259"/>
    <w:qFormat/>
    <w:uiPriority w:val="0"/>
    <w:rPr>
      <w:rFonts w:ascii="Times New Roman" w:hAnsi="Times New Roman"/>
      <w:snapToGrid w:val="0"/>
      <w:color w:val="0000FF"/>
      <w:sz w:val="24"/>
      <w:szCs w:val="28"/>
    </w:rPr>
  </w:style>
  <w:style w:type="paragraph" w:customStyle="1" w:styleId="259">
    <w:name w:val="样式 样式 正文文本 + 首行缩进:  2 字符 + 自动设置"/>
    <w:basedOn w:val="1"/>
    <w:link w:val="258"/>
    <w:qFormat/>
    <w:uiPriority w:val="0"/>
    <w:pPr>
      <w:autoSpaceDE w:val="0"/>
      <w:autoSpaceDN w:val="0"/>
      <w:ind w:firstLine="480"/>
      <w:textAlignment w:val="bottom"/>
    </w:pPr>
    <w:rPr>
      <w:snapToGrid w:val="0"/>
      <w:color w:val="0000FF"/>
      <w:kern w:val="0"/>
      <w:szCs w:val="28"/>
    </w:rPr>
  </w:style>
  <w:style w:type="character" w:customStyle="1" w:styleId="260">
    <w:name w:val="正文文字缩进 Char Char1"/>
    <w:qFormat/>
    <w:uiPriority w:val="0"/>
    <w:rPr>
      <w:rFonts w:ascii="Times New Roman" w:hAnsi="Times New Roman"/>
      <w:kern w:val="2"/>
      <w:sz w:val="21"/>
      <w:szCs w:val="24"/>
    </w:rPr>
  </w:style>
  <w:style w:type="character" w:customStyle="1" w:styleId="261">
    <w:name w:val="款标题 Char2"/>
    <w:qFormat/>
    <w:uiPriority w:val="0"/>
    <w:rPr>
      <w:rFonts w:ascii="Arial" w:hAnsi="Arial" w:eastAsia="黑体" w:cs="宋体"/>
      <w:kern w:val="2"/>
      <w:sz w:val="30"/>
      <w:szCs w:val="24"/>
      <w:lang w:val="en-US" w:eastAsia="zh-CN" w:bidi="ar-SA"/>
    </w:rPr>
  </w:style>
  <w:style w:type="character" w:customStyle="1" w:styleId="262">
    <w:name w:val="Char Char11"/>
    <w:qFormat/>
    <w:uiPriority w:val="0"/>
    <w:rPr>
      <w:rFonts w:ascii="Arial" w:hAnsi="Arial" w:eastAsia="黑体" w:cs="Arial"/>
      <w:kern w:val="2"/>
      <w:sz w:val="21"/>
      <w:szCs w:val="24"/>
      <w:lang w:val="en-US" w:eastAsia="zh-CN" w:bidi="ar-SA"/>
    </w:rPr>
  </w:style>
  <w:style w:type="character" w:customStyle="1" w:styleId="263">
    <w:name w:val="Char Char10"/>
    <w:qFormat/>
    <w:uiPriority w:val="0"/>
    <w:rPr>
      <w:rFonts w:eastAsia="宋体"/>
      <w:sz w:val="24"/>
      <w:lang w:val="en-US" w:eastAsia="zh-CN" w:bidi="ar-SA"/>
    </w:rPr>
  </w:style>
  <w:style w:type="character" w:customStyle="1" w:styleId="264">
    <w:name w:val="页角２ Char"/>
    <w:link w:val="265"/>
    <w:qFormat/>
    <w:uiPriority w:val="0"/>
    <w:rPr>
      <w:rFonts w:ascii="黑体" w:hAnsi="Times New Roman" w:eastAsia="黑体"/>
      <w:kern w:val="2"/>
      <w:sz w:val="21"/>
      <w:szCs w:val="21"/>
    </w:rPr>
  </w:style>
  <w:style w:type="paragraph" w:customStyle="1" w:styleId="265">
    <w:name w:val="页角２"/>
    <w:basedOn w:val="55"/>
    <w:link w:val="264"/>
    <w:qFormat/>
    <w:uiPriority w:val="0"/>
    <w:pPr>
      <w:pBdr>
        <w:top w:val="single" w:color="auto" w:sz="2" w:space="1"/>
      </w:pBdr>
      <w:adjustRightInd/>
      <w:spacing w:line="240" w:lineRule="auto"/>
      <w:ind w:firstLine="0"/>
      <w:textAlignment w:val="auto"/>
    </w:pPr>
    <w:rPr>
      <w:rFonts w:ascii="黑体" w:eastAsia="黑体"/>
      <w:kern w:val="2"/>
      <w:sz w:val="21"/>
      <w:szCs w:val="21"/>
    </w:rPr>
  </w:style>
  <w:style w:type="character" w:customStyle="1" w:styleId="266">
    <w:name w:val="headline-content2"/>
    <w:qFormat/>
    <w:uiPriority w:val="0"/>
    <w:rPr>
      <w:rFonts w:ascii="宋体" w:hAnsi="宋体" w:eastAsia="宋体" w:cs="宋体"/>
      <w:kern w:val="2"/>
      <w:sz w:val="24"/>
      <w:szCs w:val="24"/>
      <w:lang w:val="en-US" w:eastAsia="zh-CN" w:bidi="ar-SA"/>
    </w:rPr>
  </w:style>
  <w:style w:type="character" w:customStyle="1" w:styleId="267">
    <w:name w:val="款标题 Char Char"/>
    <w:qFormat/>
    <w:uiPriority w:val="0"/>
    <w:rPr>
      <w:rFonts w:ascii="Arial" w:hAnsi="Arial" w:eastAsia="黑体"/>
      <w:b/>
      <w:kern w:val="2"/>
      <w:sz w:val="28"/>
      <w:lang w:val="en-US" w:eastAsia="zh-CN" w:bidi="ar-SA"/>
    </w:rPr>
  </w:style>
  <w:style w:type="character" w:customStyle="1" w:styleId="268">
    <w:name w:val="Char Char5"/>
    <w:qFormat/>
    <w:uiPriority w:val="0"/>
    <w:rPr>
      <w:rFonts w:ascii="宋体" w:hAnsi="宋体" w:eastAsia="宋体" w:cs="宋体"/>
      <w:kern w:val="2"/>
      <w:sz w:val="18"/>
      <w:szCs w:val="18"/>
      <w:lang w:val="en-US" w:eastAsia="zh-CN" w:bidi="ar-SA"/>
    </w:rPr>
  </w:style>
  <w:style w:type="character" w:customStyle="1" w:styleId="269">
    <w:name w:val="Char Char9"/>
    <w:qFormat/>
    <w:uiPriority w:val="0"/>
    <w:rPr>
      <w:rFonts w:ascii="宋体" w:hAnsi="宋体" w:eastAsia="宋体" w:cs="宋体"/>
      <w:kern w:val="2"/>
      <w:sz w:val="18"/>
      <w:szCs w:val="24"/>
      <w:lang w:val="en-US" w:eastAsia="zh-CN" w:bidi="ar-SA"/>
    </w:rPr>
  </w:style>
  <w:style w:type="character" w:customStyle="1" w:styleId="270">
    <w:name w:val="newstxt"/>
    <w:qFormat/>
    <w:uiPriority w:val="0"/>
    <w:rPr>
      <w:rFonts w:ascii="宋体" w:hAnsi="宋体" w:eastAsia="宋体" w:cs="宋体"/>
      <w:kern w:val="2"/>
      <w:sz w:val="24"/>
      <w:szCs w:val="24"/>
      <w:lang w:val="en-US" w:eastAsia="zh-CN" w:bidi="ar-SA"/>
    </w:rPr>
  </w:style>
  <w:style w:type="character" w:customStyle="1" w:styleId="271">
    <w:name w:val="章标题 Char Char"/>
    <w:qFormat/>
    <w:uiPriority w:val="0"/>
    <w:rPr>
      <w:rFonts w:ascii="Calibri" w:hAnsi="Calibri" w:eastAsia="宋体" w:cs="Times New Roman"/>
      <w:b/>
      <w:bCs/>
      <w:kern w:val="44"/>
      <w:sz w:val="44"/>
      <w:szCs w:val="44"/>
    </w:rPr>
  </w:style>
  <w:style w:type="character" w:customStyle="1" w:styleId="272">
    <w:name w:val="title5"/>
    <w:qFormat/>
    <w:uiPriority w:val="0"/>
    <w:rPr>
      <w:rFonts w:ascii="宋体" w:hAnsi="宋体" w:eastAsia="宋体" w:cs="宋体"/>
      <w:kern w:val="2"/>
      <w:sz w:val="24"/>
      <w:szCs w:val="24"/>
      <w:lang w:val="en-US" w:eastAsia="zh-CN" w:bidi="ar-SA"/>
    </w:rPr>
  </w:style>
  <w:style w:type="character" w:customStyle="1" w:styleId="273">
    <w:name w:val="表中文字 Char Char1"/>
    <w:qFormat/>
    <w:uiPriority w:val="0"/>
    <w:rPr>
      <w:rFonts w:ascii="宋体" w:hAnsi="宋体" w:eastAsia="宋体" w:cs="宋体"/>
      <w:kern w:val="2"/>
      <w:sz w:val="24"/>
      <w:szCs w:val="24"/>
      <w:lang w:val="en-US" w:eastAsia="zh-CN" w:bidi="ar-SA"/>
    </w:rPr>
  </w:style>
  <w:style w:type="character" w:customStyle="1" w:styleId="274">
    <w:name w:val="表中文字 Char Char"/>
    <w:qFormat/>
    <w:uiPriority w:val="0"/>
    <w:rPr>
      <w:rFonts w:ascii="宋体" w:hAnsi="宋体" w:eastAsia="宋体" w:cs="宋体"/>
      <w:kern w:val="2"/>
      <w:sz w:val="24"/>
      <w:szCs w:val="24"/>
      <w:lang w:val="en-US" w:eastAsia="zh-CN" w:bidi="ar-SA"/>
    </w:rPr>
  </w:style>
  <w:style w:type="character" w:customStyle="1" w:styleId="275">
    <w:name w:val="Char Char14"/>
    <w:qFormat/>
    <w:uiPriority w:val="0"/>
    <w:rPr>
      <w:rFonts w:ascii="Calibri" w:hAnsi="Calibri" w:eastAsia="宋体" w:cs="Times New Roman"/>
      <w:b/>
      <w:bCs/>
      <w:sz w:val="24"/>
      <w:szCs w:val="24"/>
    </w:rPr>
  </w:style>
  <w:style w:type="character" w:customStyle="1" w:styleId="276">
    <w:name w:val="正文文本最新 Char Char Char Char1 Char Char"/>
    <w:link w:val="277"/>
    <w:qFormat/>
    <w:uiPriority w:val="0"/>
    <w:rPr>
      <w:rFonts w:ascii="Times New Roman" w:hAnsi="Times New Roman"/>
      <w:bCs/>
      <w:kern w:val="2"/>
      <w:sz w:val="28"/>
      <w:szCs w:val="24"/>
    </w:rPr>
  </w:style>
  <w:style w:type="paragraph" w:customStyle="1" w:styleId="277">
    <w:name w:val="正文文本最新 Char Char Char Char1 Char"/>
    <w:basedOn w:val="1"/>
    <w:link w:val="276"/>
    <w:qFormat/>
    <w:uiPriority w:val="0"/>
    <w:pPr>
      <w:ind w:firstLine="200"/>
    </w:pPr>
    <w:rPr>
      <w:bCs/>
      <w:sz w:val="28"/>
      <w:szCs w:val="24"/>
    </w:rPr>
  </w:style>
  <w:style w:type="character" w:customStyle="1" w:styleId="278">
    <w:name w:val="f141"/>
    <w:qFormat/>
    <w:uiPriority w:val="0"/>
    <w:rPr>
      <w:rFonts w:ascii="宋体" w:hAnsi="宋体" w:eastAsia="宋体" w:cs="宋体"/>
      <w:kern w:val="2"/>
      <w:sz w:val="22"/>
      <w:szCs w:val="22"/>
      <w:lang w:val="en-US" w:eastAsia="zh-CN" w:bidi="ar-SA"/>
    </w:rPr>
  </w:style>
  <w:style w:type="character" w:customStyle="1" w:styleId="279">
    <w:name w:val="页脚 Char Char Char"/>
    <w:qFormat/>
    <w:uiPriority w:val="0"/>
    <w:rPr>
      <w:rFonts w:ascii="宋体" w:hAnsi="宋体" w:eastAsia="宋体" w:cs="宋体"/>
      <w:kern w:val="2"/>
      <w:sz w:val="18"/>
      <w:szCs w:val="18"/>
      <w:lang w:val="en-US" w:eastAsia="zh-CN" w:bidi="ar-SA"/>
    </w:rPr>
  </w:style>
  <w:style w:type="character" w:customStyle="1" w:styleId="280">
    <w:name w:val="正文首行缩进 2 Char1"/>
    <w:link w:val="281"/>
    <w:qFormat/>
    <w:uiPriority w:val="0"/>
    <w:rPr>
      <w:rFonts w:ascii="Times New Roman" w:hAnsi="Times New Roman"/>
      <w:sz w:val="28"/>
      <w:szCs w:val="24"/>
    </w:rPr>
  </w:style>
  <w:style w:type="paragraph" w:customStyle="1" w:styleId="281">
    <w:name w:val="正文文本首行缩进 21"/>
    <w:basedOn w:val="282"/>
    <w:link w:val="280"/>
    <w:qFormat/>
    <w:uiPriority w:val="0"/>
    <w:pPr>
      <w:spacing w:after="120"/>
      <w:ind w:left="420" w:leftChars="200" w:firstLine="420" w:firstLineChars="200"/>
    </w:pPr>
    <w:rPr>
      <w:szCs w:val="24"/>
    </w:rPr>
  </w:style>
  <w:style w:type="paragraph" w:customStyle="1" w:styleId="282">
    <w:name w:val="正文文本缩进1"/>
    <w:basedOn w:val="1"/>
    <w:qFormat/>
    <w:uiPriority w:val="0"/>
    <w:pPr>
      <w:ind w:firstLine="257" w:firstLineChars="257"/>
    </w:pPr>
    <w:rPr>
      <w:kern w:val="0"/>
      <w:sz w:val="28"/>
      <w:szCs w:val="20"/>
    </w:rPr>
  </w:style>
  <w:style w:type="character" w:customStyle="1" w:styleId="283">
    <w:name w:val="alan正文 Char"/>
    <w:link w:val="284"/>
    <w:qFormat/>
    <w:uiPriority w:val="0"/>
    <w:rPr>
      <w:rFonts w:ascii="Times New Roman" w:hAnsi="Times New Roman"/>
      <w:kern w:val="2"/>
      <w:sz w:val="28"/>
      <w:szCs w:val="24"/>
    </w:rPr>
  </w:style>
  <w:style w:type="paragraph" w:customStyle="1" w:styleId="284">
    <w:name w:val="alan正文"/>
    <w:basedOn w:val="1"/>
    <w:link w:val="283"/>
    <w:qFormat/>
    <w:uiPriority w:val="0"/>
    <w:pPr>
      <w:spacing w:line="520" w:lineRule="exact"/>
      <w:ind w:firstLine="200"/>
    </w:pPr>
    <w:rPr>
      <w:sz w:val="28"/>
      <w:szCs w:val="24"/>
    </w:rPr>
  </w:style>
  <w:style w:type="character" w:customStyle="1" w:styleId="285">
    <w:name w:val="项标题(1) Char2"/>
    <w:qFormat/>
    <w:uiPriority w:val="0"/>
    <w:rPr>
      <w:rFonts w:ascii="宋体" w:hAnsi="宋体" w:eastAsia="宋体" w:cs="宋体"/>
      <w:b/>
      <w:bCs/>
      <w:kern w:val="2"/>
      <w:sz w:val="24"/>
      <w:szCs w:val="24"/>
      <w:lang w:val="en-US" w:eastAsia="zh-CN" w:bidi="ar-SA"/>
    </w:rPr>
  </w:style>
  <w:style w:type="character" w:customStyle="1" w:styleId="286">
    <w:name w:val="批注框文本 Char1"/>
    <w:qFormat/>
    <w:uiPriority w:val="0"/>
    <w:rPr>
      <w:rFonts w:ascii="Times New Roman" w:hAnsi="Times New Roman" w:eastAsia="宋体" w:cs="Times New Roman"/>
      <w:sz w:val="18"/>
      <w:szCs w:val="18"/>
    </w:rPr>
  </w:style>
  <w:style w:type="character" w:customStyle="1" w:styleId="287">
    <w:name w:val="奇数页眉 Char Char"/>
    <w:qFormat/>
    <w:uiPriority w:val="0"/>
    <w:rPr>
      <w:rFonts w:ascii="Times New Roman" w:hAnsi="Times New Roman"/>
    </w:rPr>
  </w:style>
  <w:style w:type="character" w:customStyle="1" w:styleId="288">
    <w:name w:val="正文文本缩进 3 Char1"/>
    <w:qFormat/>
    <w:uiPriority w:val="0"/>
    <w:rPr>
      <w:rFonts w:ascii="Times New Roman" w:hAnsi="Times New Roman" w:eastAsia="宋体" w:cs="Times New Roman"/>
      <w:sz w:val="16"/>
      <w:szCs w:val="16"/>
    </w:rPr>
  </w:style>
  <w:style w:type="character" w:customStyle="1" w:styleId="289">
    <w:name w:val="学位论文页眉 Char"/>
    <w:qFormat/>
    <w:uiPriority w:val="0"/>
    <w:rPr>
      <w:rFonts w:eastAsia="宋体"/>
      <w:lang w:val="en-US" w:eastAsia="zh-CN" w:bidi="ar-SA"/>
    </w:rPr>
  </w:style>
  <w:style w:type="character" w:customStyle="1" w:styleId="290">
    <w:name w:val="纯文本 Char1"/>
    <w:link w:val="291"/>
    <w:qFormat/>
    <w:uiPriority w:val="0"/>
    <w:rPr>
      <w:rFonts w:ascii="宋体" w:hAnsi="Times New Roman"/>
      <w:sz w:val="24"/>
    </w:rPr>
  </w:style>
  <w:style w:type="paragraph" w:customStyle="1" w:styleId="291">
    <w:name w:val="纯文本2"/>
    <w:basedOn w:val="1"/>
    <w:link w:val="290"/>
    <w:qFormat/>
    <w:uiPriority w:val="0"/>
    <w:pPr>
      <w:textAlignment w:val="baseline"/>
    </w:pPr>
    <w:rPr>
      <w:rFonts w:ascii="宋体"/>
      <w:kern w:val="0"/>
      <w:szCs w:val="20"/>
    </w:rPr>
  </w:style>
  <w:style w:type="character" w:customStyle="1" w:styleId="292">
    <w:name w:val="项标题(1) Char3"/>
    <w:qFormat/>
    <w:uiPriority w:val="0"/>
    <w:rPr>
      <w:rFonts w:ascii="Calibri" w:hAnsi="Calibri" w:eastAsia="宋体" w:cs="Times New Roman"/>
      <w:b/>
      <w:bCs/>
      <w:sz w:val="24"/>
      <w:szCs w:val="24"/>
    </w:rPr>
  </w:style>
  <w:style w:type="character" w:customStyle="1" w:styleId="293">
    <w:name w:val="表中文字 Char Char2"/>
    <w:qFormat/>
    <w:uiPriority w:val="0"/>
    <w:rPr>
      <w:rFonts w:ascii="Calibri" w:hAnsi="Calibri" w:eastAsia="宋体" w:cs="Times New Roman"/>
    </w:rPr>
  </w:style>
  <w:style w:type="character" w:customStyle="1" w:styleId="294">
    <w:name w:val="我的正文 Char"/>
    <w:link w:val="295"/>
    <w:qFormat/>
    <w:uiPriority w:val="0"/>
    <w:rPr>
      <w:rFonts w:ascii="Times New Roman" w:hAnsi="Times New Roman"/>
      <w:kern w:val="2"/>
      <w:sz w:val="24"/>
      <w:szCs w:val="24"/>
    </w:rPr>
  </w:style>
  <w:style w:type="paragraph" w:customStyle="1" w:styleId="295">
    <w:name w:val="我的正文"/>
    <w:basedOn w:val="1"/>
    <w:link w:val="294"/>
    <w:qFormat/>
    <w:uiPriority w:val="0"/>
    <w:pPr>
      <w:ind w:firstLine="200"/>
    </w:pPr>
    <w:rPr>
      <w:szCs w:val="24"/>
    </w:rPr>
  </w:style>
  <w:style w:type="character" w:customStyle="1" w:styleId="296">
    <w:name w:val="正文文本缩进 2 Char1"/>
    <w:qFormat/>
    <w:uiPriority w:val="0"/>
    <w:rPr>
      <w:rFonts w:ascii="Times New Roman" w:hAnsi="Times New Roman" w:eastAsia="宋体" w:cs="Times New Roman"/>
      <w:szCs w:val="24"/>
    </w:rPr>
  </w:style>
  <w:style w:type="character" w:customStyle="1" w:styleId="297">
    <w:name w:val="正文首行缩进 2 Char2"/>
    <w:semiHidden/>
    <w:qFormat/>
    <w:uiPriority w:val="99"/>
    <w:rPr>
      <w:rFonts w:ascii="Times New Roman" w:hAnsi="Times New Roman" w:eastAsia="宋体" w:cs="Times New Roman"/>
      <w:sz w:val="24"/>
      <w:szCs w:val="24"/>
    </w:rPr>
  </w:style>
  <w:style w:type="character" w:customStyle="1" w:styleId="298">
    <w:name w:val="Char Char2"/>
    <w:link w:val="299"/>
    <w:qFormat/>
    <w:uiPriority w:val="0"/>
    <w:rPr>
      <w:rFonts w:ascii="宋体" w:hAnsi="宋体" w:cs="宋体"/>
      <w:kern w:val="2"/>
      <w:sz w:val="24"/>
      <w:szCs w:val="24"/>
    </w:rPr>
  </w:style>
  <w:style w:type="paragraph" w:customStyle="1" w:styleId="299">
    <w:name w:val="Char"/>
    <w:basedOn w:val="1"/>
    <w:link w:val="298"/>
    <w:qFormat/>
    <w:uiPriority w:val="0"/>
    <w:rPr>
      <w:rFonts w:ascii="宋体" w:hAnsi="宋体"/>
      <w:szCs w:val="24"/>
    </w:rPr>
  </w:style>
  <w:style w:type="character" w:customStyle="1" w:styleId="300">
    <w:name w:val="正文文本 3 Char1"/>
    <w:qFormat/>
    <w:uiPriority w:val="0"/>
    <w:rPr>
      <w:rFonts w:ascii="Times New Roman" w:hAnsi="Times New Roman" w:eastAsia="宋体" w:cs="Times New Roman"/>
      <w:color w:val="0000FF"/>
      <w:sz w:val="28"/>
      <w:szCs w:val="20"/>
    </w:rPr>
  </w:style>
  <w:style w:type="character" w:customStyle="1" w:styleId="301">
    <w:name w:val="日期 Char2"/>
    <w:semiHidden/>
    <w:qFormat/>
    <w:uiPriority w:val="99"/>
    <w:rPr>
      <w:rFonts w:ascii="Times New Roman" w:hAnsi="Times New Roman" w:eastAsia="宋体" w:cs="Times New Roman"/>
      <w:szCs w:val="24"/>
    </w:rPr>
  </w:style>
  <w:style w:type="character" w:customStyle="1" w:styleId="302">
    <w:name w:val="headline-content"/>
    <w:basedOn w:val="93"/>
    <w:qFormat/>
    <w:uiPriority w:val="0"/>
  </w:style>
  <w:style w:type="character" w:customStyle="1" w:styleId="303">
    <w:name w:val="标题1"/>
    <w:basedOn w:val="93"/>
    <w:qFormat/>
    <w:uiPriority w:val="0"/>
  </w:style>
  <w:style w:type="character" w:customStyle="1" w:styleId="304">
    <w:name w:val="h31"/>
    <w:qFormat/>
    <w:uiPriority w:val="0"/>
    <w:rPr>
      <w:spacing w:val="330"/>
      <w:sz w:val="21"/>
      <w:szCs w:val="21"/>
    </w:rPr>
  </w:style>
  <w:style w:type="character" w:customStyle="1" w:styleId="305">
    <w:name w:val="新的表格文字 Char"/>
    <w:link w:val="306"/>
    <w:qFormat/>
    <w:uiPriority w:val="0"/>
    <w:rPr>
      <w:rFonts w:eastAsia="宋体"/>
      <w:kern w:val="2"/>
      <w:sz w:val="18"/>
      <w:szCs w:val="22"/>
      <w:lang w:val="en-US" w:eastAsia="zh-CN" w:bidi="ar-SA"/>
    </w:rPr>
  </w:style>
  <w:style w:type="paragraph" w:customStyle="1" w:styleId="306">
    <w:name w:val="新的表格文字"/>
    <w:basedOn w:val="1"/>
    <w:link w:val="305"/>
    <w:qFormat/>
    <w:uiPriority w:val="0"/>
    <w:pPr>
      <w:spacing w:line="280" w:lineRule="exact"/>
      <w:jc w:val="center"/>
    </w:pPr>
    <w:rPr>
      <w:sz w:val="18"/>
    </w:rPr>
  </w:style>
  <w:style w:type="paragraph" w:customStyle="1" w:styleId="307">
    <w:name w:val="xl88"/>
    <w:basedOn w:val="1"/>
    <w:qFormat/>
    <w:uiPriority w:val="0"/>
    <w:pPr>
      <w:pBdr>
        <w:bottom w:val="single" w:color="auto" w:sz="8" w:space="0"/>
        <w:right w:val="single" w:color="auto" w:sz="8" w:space="0"/>
      </w:pBdr>
      <w:spacing w:before="100" w:beforeAutospacing="1" w:after="100" w:afterAutospacing="1"/>
      <w:textAlignment w:val="top"/>
    </w:pPr>
    <w:rPr>
      <w:rFonts w:ascii="宋体" w:hAnsi="宋体" w:cs="宋体"/>
      <w:b/>
      <w:bCs/>
      <w:color w:val="993366"/>
      <w:kern w:val="0"/>
      <w:sz w:val="18"/>
      <w:szCs w:val="18"/>
    </w:rPr>
  </w:style>
  <w:style w:type="paragraph" w:customStyle="1" w:styleId="308">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309">
    <w:name w:val="样式 标题 2节标题 1.11.1标题2b2节标题h2l22nd levelTitre22Header 2...1"/>
    <w:basedOn w:val="4"/>
    <w:qFormat/>
    <w:uiPriority w:val="0"/>
    <w:pPr>
      <w:tabs>
        <w:tab w:val="left" w:pos="578"/>
      </w:tabs>
      <w:spacing w:before="76" w:beforeLines="20" w:after="76" w:line="240" w:lineRule="auto"/>
    </w:pPr>
    <w:rPr>
      <w:rFonts w:ascii="宋体" w:hAnsi="宋体" w:cs="宋体"/>
      <w:kern w:val="0"/>
      <w:sz w:val="28"/>
      <w:szCs w:val="20"/>
    </w:rPr>
  </w:style>
  <w:style w:type="paragraph" w:customStyle="1" w:styleId="310">
    <w:name w:val="Char Char Char Char Char Char Char Char Char1 Char Char Char Char"/>
    <w:basedOn w:val="1"/>
    <w:qFormat/>
    <w:uiPriority w:val="0"/>
    <w:pPr>
      <w:ind w:firstLine="200"/>
    </w:pPr>
    <w:rPr>
      <w:rFonts w:ascii="宋体" w:hAnsi="宋体"/>
      <w:szCs w:val="20"/>
    </w:rPr>
  </w:style>
  <w:style w:type="paragraph" w:customStyle="1" w:styleId="311">
    <w:name w:val="Char1 Char Char Char"/>
    <w:basedOn w:val="1"/>
    <w:qFormat/>
    <w:uiPriority w:val="0"/>
    <w:pPr>
      <w:spacing w:before="50" w:beforeLines="50"/>
      <w:ind w:firstLine="200"/>
    </w:pPr>
    <w:rPr>
      <w:rFonts w:eastAsia="黑体" w:cs="宋体"/>
      <w:szCs w:val="24"/>
    </w:rPr>
  </w:style>
  <w:style w:type="paragraph" w:styleId="312">
    <w:name w:val="List Paragraph"/>
    <w:basedOn w:val="1"/>
    <w:qFormat/>
    <w:uiPriority w:val="34"/>
    <w:pPr>
      <w:ind w:firstLine="420"/>
    </w:pPr>
  </w:style>
  <w:style w:type="paragraph" w:customStyle="1" w:styleId="313">
    <w:name w:val="样式 首行缩进:  2 字符 行距: 固定值 24.5 磅"/>
    <w:basedOn w:val="1"/>
    <w:qFormat/>
    <w:uiPriority w:val="0"/>
    <w:pPr>
      <w:ind w:firstLine="200"/>
    </w:pPr>
    <w:rPr>
      <w:rFonts w:cs="宋体"/>
      <w:kern w:val="0"/>
      <w:szCs w:val="24"/>
    </w:rPr>
  </w:style>
  <w:style w:type="paragraph" w:customStyle="1" w:styleId="314">
    <w:name w:val="样式 左 左侧:  0.98 厘米"/>
    <w:basedOn w:val="1"/>
    <w:qFormat/>
    <w:uiPriority w:val="0"/>
    <w:pPr>
      <w:ind w:firstLine="200"/>
    </w:pPr>
    <w:rPr>
      <w:rFonts w:eastAsia="仿宋_GB2312"/>
      <w:sz w:val="28"/>
      <w:szCs w:val="20"/>
    </w:rPr>
  </w:style>
  <w:style w:type="paragraph" w:customStyle="1" w:styleId="315">
    <w:name w:val="font12"/>
    <w:basedOn w:val="1"/>
    <w:qFormat/>
    <w:uiPriority w:val="0"/>
    <w:pPr>
      <w:spacing w:before="100" w:beforeAutospacing="1" w:after="100" w:afterAutospacing="1"/>
    </w:pPr>
    <w:rPr>
      <w:rFonts w:ascii="宋体" w:hAnsi="宋体" w:cs="宋体"/>
      <w:color w:val="000000"/>
      <w:kern w:val="0"/>
      <w:sz w:val="18"/>
      <w:szCs w:val="18"/>
    </w:rPr>
  </w:style>
  <w:style w:type="paragraph" w:customStyle="1" w:styleId="316">
    <w:name w:val="样式 样式 正文缩进s4正文缩进 Chars4 Char标题4表正文正文非缩进图标题文本正文不缩进 + 行距: 1.... + ..."/>
    <w:basedOn w:val="317"/>
    <w:qFormat/>
    <w:uiPriority w:val="0"/>
    <w:pPr>
      <w:ind w:firstLine="0"/>
    </w:pPr>
    <w:rPr>
      <w:bCs/>
    </w:rPr>
  </w:style>
  <w:style w:type="paragraph" w:customStyle="1" w:styleId="317">
    <w:name w:val="样式 正文缩进s4正文缩进 Chars4 Char标题4表正文正文非缩进图标题文本正文不缩进 + 行距: 1...."/>
    <w:basedOn w:val="19"/>
    <w:qFormat/>
    <w:uiPriority w:val="0"/>
    <w:pPr>
      <w:ind w:firstLine="851" w:firstLineChars="0"/>
      <w:outlineLvl w:val="3"/>
    </w:pPr>
    <w:rPr>
      <w:rFonts w:hAnsi="宋体" w:cs="宋体"/>
      <w:b/>
      <w:color w:val="FF0000"/>
      <w:szCs w:val="24"/>
    </w:rPr>
  </w:style>
  <w:style w:type="paragraph" w:customStyle="1" w:styleId="318">
    <w:name w:val="Char Char3 Char Char Char Char"/>
    <w:basedOn w:val="1"/>
    <w:qFormat/>
    <w:uiPriority w:val="0"/>
    <w:pPr>
      <w:ind w:firstLine="200"/>
    </w:pPr>
    <w:rPr>
      <w:kern w:val="0"/>
      <w:szCs w:val="24"/>
    </w:rPr>
  </w:style>
  <w:style w:type="paragraph" w:customStyle="1" w:styleId="319">
    <w:name w:val="Char6 Char Char1 Char Char Char Char"/>
    <w:basedOn w:val="1"/>
    <w:qFormat/>
    <w:uiPriority w:val="0"/>
    <w:pPr>
      <w:ind w:firstLine="200"/>
    </w:pPr>
    <w:rPr>
      <w:rFonts w:ascii="宋体" w:hAnsi="宋体" w:cs="宋体"/>
      <w:szCs w:val="24"/>
    </w:rPr>
  </w:style>
  <w:style w:type="paragraph" w:customStyle="1" w:styleId="320">
    <w:name w:val="样式 标题 3条标题1.1.13h33rd levelH3l3CT1.1.1段物探标题3 Char Char...2"/>
    <w:basedOn w:val="5"/>
    <w:qFormat/>
    <w:uiPriority w:val="0"/>
    <w:pPr>
      <w:keepNext w:val="0"/>
      <w:keepLines w:val="0"/>
      <w:spacing w:after="0"/>
    </w:pPr>
    <w:rPr>
      <w:rFonts w:ascii="宋体" w:hAnsi="宋体" w:cs="宋体"/>
      <w:bCs w:val="0"/>
      <w:szCs w:val="20"/>
    </w:rPr>
  </w:style>
  <w:style w:type="paragraph" w:customStyle="1" w:styleId="321">
    <w:name w:val="标准"/>
    <w:basedOn w:val="1"/>
    <w:qFormat/>
    <w:uiPriority w:val="0"/>
    <w:rPr>
      <w:sz w:val="28"/>
      <w:szCs w:val="20"/>
    </w:rPr>
  </w:style>
  <w:style w:type="paragraph" w:customStyle="1" w:styleId="322">
    <w:name w:val="6 Char Char Char Char Char Char1 Char Char Char Char Char Char Char Char Char Char"/>
    <w:basedOn w:val="1"/>
    <w:qFormat/>
    <w:uiPriority w:val="0"/>
    <w:rPr>
      <w:szCs w:val="24"/>
    </w:rPr>
  </w:style>
  <w:style w:type="paragraph" w:customStyle="1" w:styleId="323">
    <w:name w:val="Char Char Char1 Char Char1 Char Char Char"/>
    <w:basedOn w:val="1"/>
    <w:qFormat/>
    <w:uiPriority w:val="0"/>
    <w:pPr>
      <w:ind w:firstLine="200"/>
    </w:pPr>
    <w:rPr>
      <w:rFonts w:ascii="宋体" w:hAnsi="宋体" w:cs="宋体"/>
      <w:szCs w:val="24"/>
    </w:rPr>
  </w:style>
  <w:style w:type="paragraph" w:customStyle="1" w:styleId="324">
    <w:name w:val="Char2 Char Char Char"/>
    <w:basedOn w:val="1"/>
    <w:qFormat/>
    <w:uiPriority w:val="0"/>
    <w:pPr>
      <w:ind w:firstLine="200"/>
    </w:pPr>
    <w:rPr>
      <w:rFonts w:cs="宋体"/>
      <w:szCs w:val="24"/>
    </w:rPr>
  </w:style>
  <w:style w:type="paragraph" w:customStyle="1" w:styleId="325">
    <w:name w:val="正文1"/>
    <w:basedOn w:val="1"/>
    <w:qFormat/>
    <w:uiPriority w:val="0"/>
    <w:pPr>
      <w:spacing w:line="500" w:lineRule="atLeast"/>
    </w:pPr>
    <w:rPr>
      <w:rFonts w:hint="eastAsia" w:ascii="宋体"/>
      <w:kern w:val="0"/>
      <w:sz w:val="28"/>
      <w:szCs w:val="20"/>
    </w:rPr>
  </w:style>
  <w:style w:type="paragraph" w:customStyle="1" w:styleId="326">
    <w:name w:val="样式 首行缩进:  2 字符"/>
    <w:basedOn w:val="1"/>
    <w:qFormat/>
    <w:uiPriority w:val="0"/>
    <w:pPr>
      <w:ind w:firstLine="200"/>
    </w:pPr>
    <w:rPr>
      <w:rFonts w:cs="宋体"/>
      <w:szCs w:val="20"/>
    </w:rPr>
  </w:style>
  <w:style w:type="paragraph" w:customStyle="1" w:styleId="327">
    <w:name w:val="xl72"/>
    <w:basedOn w:val="1"/>
    <w:qFormat/>
    <w:uiPriority w:val="0"/>
    <w:pPr>
      <w:pBdr>
        <w:bottom w:val="single" w:color="auto" w:sz="8" w:space="0"/>
        <w:right w:val="single" w:color="auto" w:sz="12" w:space="0"/>
      </w:pBdr>
      <w:spacing w:before="100" w:beforeAutospacing="1" w:after="100" w:afterAutospacing="1"/>
      <w:jc w:val="center"/>
    </w:pPr>
    <w:rPr>
      <w:color w:val="800000"/>
      <w:kern w:val="0"/>
      <w:szCs w:val="21"/>
    </w:rPr>
  </w:style>
  <w:style w:type="paragraph" w:customStyle="1" w:styleId="328">
    <w:name w:val="Char Char2 Char"/>
    <w:basedOn w:val="1"/>
    <w:qFormat/>
    <w:uiPriority w:val="0"/>
    <w:pPr>
      <w:tabs>
        <w:tab w:val="left" w:pos="625"/>
      </w:tabs>
      <w:ind w:left="625" w:hanging="425"/>
    </w:pPr>
    <w:rPr>
      <w:rFonts w:ascii="宋体" w:hAnsi="宋体" w:cs="宋体"/>
      <w:szCs w:val="24"/>
    </w:rPr>
  </w:style>
  <w:style w:type="paragraph" w:customStyle="1" w:styleId="329">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30">
    <w:name w:val="hxq正文"/>
    <w:basedOn w:val="1"/>
    <w:qFormat/>
    <w:uiPriority w:val="0"/>
    <w:pPr>
      <w:ind w:firstLine="200"/>
    </w:pPr>
    <w:rPr>
      <w:szCs w:val="20"/>
    </w:rPr>
  </w:style>
  <w:style w:type="paragraph" w:customStyle="1" w:styleId="331">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32">
    <w:name w:val="Char Char Char1 Char Char1 Char Char Char Char"/>
    <w:basedOn w:val="1"/>
    <w:qFormat/>
    <w:uiPriority w:val="0"/>
    <w:pPr>
      <w:ind w:firstLine="200"/>
    </w:pPr>
    <w:rPr>
      <w:rFonts w:ascii="宋体" w:hAnsi="宋体" w:cs="宋体"/>
      <w:szCs w:val="24"/>
    </w:rPr>
  </w:style>
  <w:style w:type="paragraph" w:customStyle="1" w:styleId="333">
    <w:name w:val="样式 表格 + 两端对齐"/>
    <w:basedOn w:val="177"/>
    <w:qFormat/>
    <w:uiPriority w:val="0"/>
    <w:pPr>
      <w:spacing w:before="100" w:beforeAutospacing="1" w:after="100" w:afterAutospacing="1" w:line="300" w:lineRule="exact"/>
      <w:ind w:left="560" w:leftChars="200" w:right="-120" w:rightChars="-50"/>
    </w:pPr>
    <w:rPr>
      <w:rFonts w:ascii="Arial" w:hAnsi="Arial"/>
      <w:color w:val="000000"/>
      <w:lang w:val="en-GB"/>
    </w:rPr>
  </w:style>
  <w:style w:type="paragraph" w:customStyle="1" w:styleId="334">
    <w:name w:val="Char2 Char Char Char1 Char Char Char Char Char Char"/>
    <w:basedOn w:val="1"/>
    <w:qFormat/>
    <w:uiPriority w:val="0"/>
    <w:rPr>
      <w:szCs w:val="24"/>
    </w:rPr>
  </w:style>
  <w:style w:type="paragraph" w:customStyle="1" w:styleId="335">
    <w:name w:val="font1"/>
    <w:basedOn w:val="1"/>
    <w:qFormat/>
    <w:uiPriority w:val="0"/>
    <w:pPr>
      <w:spacing w:before="100" w:beforeAutospacing="1" w:after="100" w:afterAutospacing="1"/>
    </w:pPr>
    <w:rPr>
      <w:rFonts w:hint="eastAsia" w:ascii="宋体" w:hAnsi="宋体"/>
      <w:kern w:val="0"/>
      <w:szCs w:val="24"/>
    </w:rPr>
  </w:style>
  <w:style w:type="paragraph" w:customStyle="1" w:styleId="336">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337">
    <w:name w:val="样式 左侧:  0.98 厘米 首行缩进:  2.25 字符"/>
    <w:basedOn w:val="1"/>
    <w:qFormat/>
    <w:uiPriority w:val="0"/>
    <w:pPr>
      <w:ind w:firstLine="200"/>
    </w:pPr>
    <w:rPr>
      <w:rFonts w:eastAsia="仿宋_GB2312"/>
      <w:sz w:val="28"/>
      <w:szCs w:val="20"/>
    </w:rPr>
  </w:style>
  <w:style w:type="paragraph" w:customStyle="1" w:styleId="338">
    <w:name w:val="e"/>
    <w:basedOn w:val="1"/>
    <w:qFormat/>
    <w:uiPriority w:val="0"/>
    <w:rPr>
      <w:szCs w:val="24"/>
    </w:rPr>
  </w:style>
  <w:style w:type="paragraph" w:customStyle="1" w:styleId="339">
    <w:name w:val="1"/>
    <w:basedOn w:val="1"/>
    <w:next w:val="1"/>
    <w:qFormat/>
    <w:uiPriority w:val="0"/>
    <w:pPr>
      <w:spacing w:line="460" w:lineRule="exact"/>
      <w:ind w:firstLine="420"/>
      <w:textAlignment w:val="baseline"/>
    </w:pPr>
    <w:rPr>
      <w:kern w:val="0"/>
      <w:szCs w:val="20"/>
    </w:rPr>
  </w:style>
  <w:style w:type="paragraph" w:customStyle="1" w:styleId="340">
    <w:name w:val="样式 四号 行距: 固定值 26 磅"/>
    <w:basedOn w:val="1"/>
    <w:qFormat/>
    <w:uiPriority w:val="0"/>
    <w:pPr>
      <w:spacing w:before="60" w:line="520" w:lineRule="exact"/>
      <w:ind w:firstLine="594"/>
    </w:pPr>
    <w:rPr>
      <w:rFonts w:ascii="仿宋_GB2312" w:hAnsi="宋体" w:eastAsia="仿宋_GB2312"/>
      <w:kern w:val="0"/>
      <w:sz w:val="28"/>
      <w:szCs w:val="28"/>
    </w:rPr>
  </w:style>
  <w:style w:type="paragraph" w:customStyle="1" w:styleId="341">
    <w:name w:val="xl60"/>
    <w:basedOn w:val="1"/>
    <w:qFormat/>
    <w:uiPriority w:val="0"/>
    <w:pPr>
      <w:spacing w:before="100" w:beforeAutospacing="1" w:after="100" w:afterAutospacing="1"/>
      <w:jc w:val="center"/>
    </w:pPr>
    <w:rPr>
      <w:rFonts w:ascii="宋体" w:hAnsi="宋体" w:cs="宋体"/>
      <w:kern w:val="0"/>
      <w:szCs w:val="21"/>
    </w:rPr>
  </w:style>
  <w:style w:type="paragraph" w:customStyle="1" w:styleId="342">
    <w:name w:val="6 Char Char Char Char Char Char1 Char Char Char Char Char Char Char"/>
    <w:basedOn w:val="1"/>
    <w:qFormat/>
    <w:uiPriority w:val="0"/>
    <w:rPr>
      <w:szCs w:val="24"/>
    </w:rPr>
  </w:style>
  <w:style w:type="paragraph" w:customStyle="1" w:styleId="343">
    <w:name w:val="样式 标题 1章标题 1-*+h11st levelSection Headl1b1预评价章标题标题 1 预..."/>
    <w:basedOn w:val="3"/>
    <w:qFormat/>
    <w:uiPriority w:val="0"/>
    <w:pPr>
      <w:keepNext w:val="0"/>
      <w:keepLines w:val="0"/>
      <w:spacing w:before="0" w:after="0" w:line="520" w:lineRule="exact"/>
    </w:pPr>
    <w:rPr>
      <w:rFonts w:ascii="宋体" w:hAnsi="宋体" w:cs="宋体"/>
      <w:b/>
      <w:kern w:val="2"/>
      <w:szCs w:val="32"/>
    </w:rPr>
  </w:style>
  <w:style w:type="paragraph" w:customStyle="1" w:styleId="344">
    <w:name w:val="表格（六号）"/>
    <w:basedOn w:val="1"/>
    <w:next w:val="19"/>
    <w:qFormat/>
    <w:uiPriority w:val="0"/>
    <w:pPr>
      <w:spacing w:line="315" w:lineRule="exact"/>
      <w:jc w:val="center"/>
    </w:pPr>
    <w:rPr>
      <w:rFonts w:ascii="宋体" w:hAnsi="宋体"/>
      <w:kern w:val="0"/>
      <w:sz w:val="15"/>
      <w:szCs w:val="20"/>
    </w:rPr>
  </w:style>
  <w:style w:type="paragraph" w:customStyle="1" w:styleId="345">
    <w:name w:val="font15"/>
    <w:basedOn w:val="1"/>
    <w:qFormat/>
    <w:uiPriority w:val="0"/>
    <w:pPr>
      <w:spacing w:before="100" w:beforeAutospacing="1" w:after="100" w:afterAutospacing="1"/>
    </w:pPr>
    <w:rPr>
      <w:rFonts w:ascii="Arial" w:hAnsi="Arial" w:cs="Arial"/>
      <w:color w:val="000000"/>
      <w:kern w:val="0"/>
      <w:sz w:val="20"/>
      <w:szCs w:val="20"/>
    </w:rPr>
  </w:style>
  <w:style w:type="paragraph" w:customStyle="1" w:styleId="346">
    <w:name w:val="6 Char Char Char Char Char Char"/>
    <w:basedOn w:val="1"/>
    <w:qFormat/>
    <w:uiPriority w:val="0"/>
    <w:rPr>
      <w:szCs w:val="24"/>
    </w:rPr>
  </w:style>
  <w:style w:type="paragraph" w:customStyle="1" w:styleId="347">
    <w:name w:val="xl23"/>
    <w:basedOn w:val="1"/>
    <w:qFormat/>
    <w:uiPriority w:val="0"/>
    <w:pPr>
      <w:spacing w:before="100" w:beforeLines="15" w:beforeAutospacing="1" w:after="100" w:afterLines="15" w:afterAutospacing="1" w:line="500" w:lineRule="atLeast"/>
      <w:jc w:val="center"/>
      <w:textAlignment w:val="center"/>
    </w:pPr>
    <w:rPr>
      <w:rFonts w:ascii="宋体" w:hAnsi="宋体"/>
      <w:kern w:val="0"/>
      <w:sz w:val="28"/>
      <w:szCs w:val="24"/>
    </w:rPr>
  </w:style>
  <w:style w:type="paragraph" w:customStyle="1" w:styleId="348">
    <w:name w:val="样式 宋体 四号 段前: 7.8 磅 段后: 7.8 磅 行距: 1.5 倍行距"/>
    <w:basedOn w:val="1"/>
    <w:qFormat/>
    <w:uiPriority w:val="0"/>
    <w:pPr>
      <w:spacing w:before="60" w:after="60" w:line="500" w:lineRule="exact"/>
    </w:pPr>
    <w:rPr>
      <w:rFonts w:ascii="宋体" w:hAnsi="宋体" w:cs="宋体"/>
      <w:sz w:val="28"/>
      <w:szCs w:val="20"/>
    </w:rPr>
  </w:style>
  <w:style w:type="paragraph" w:customStyle="1" w:styleId="349">
    <w:name w:val="title2"/>
    <w:basedOn w:val="1"/>
    <w:qFormat/>
    <w:uiPriority w:val="0"/>
    <w:pPr>
      <w:spacing w:before="120" w:beforeLines="50" w:after="120"/>
    </w:pPr>
    <w:rPr>
      <w:rFonts w:eastAsia="黑体"/>
      <w:sz w:val="30"/>
      <w:szCs w:val="24"/>
    </w:rPr>
  </w:style>
  <w:style w:type="paragraph" w:customStyle="1" w:styleId="350">
    <w:name w:val="xl87"/>
    <w:basedOn w:val="1"/>
    <w:qFormat/>
    <w:uiPriority w:val="0"/>
    <w:pPr>
      <w:pBdr>
        <w:bottom w:val="single" w:color="auto" w:sz="8" w:space="0"/>
        <w:right w:val="single" w:color="auto" w:sz="8" w:space="0"/>
      </w:pBdr>
      <w:spacing w:before="100" w:beforeAutospacing="1" w:after="100" w:afterAutospacing="1"/>
      <w:jc w:val="center"/>
      <w:textAlignment w:val="top"/>
    </w:pPr>
    <w:rPr>
      <w:rFonts w:ascii="宋体" w:hAnsi="宋体" w:cs="宋体"/>
      <w:b/>
      <w:bCs/>
      <w:color w:val="993366"/>
      <w:kern w:val="0"/>
      <w:sz w:val="18"/>
      <w:szCs w:val="18"/>
    </w:rPr>
  </w:style>
  <w:style w:type="paragraph" w:customStyle="1" w:styleId="351">
    <w:name w:val="样式 样式 四号 行距: 固定值 26 磅 + 首行缩进:  2 字符"/>
    <w:basedOn w:val="1"/>
    <w:qFormat/>
    <w:uiPriority w:val="0"/>
    <w:pPr>
      <w:spacing w:before="60" w:line="530" w:lineRule="atLeast"/>
      <w:ind w:firstLine="594"/>
    </w:pPr>
    <w:rPr>
      <w:rFonts w:ascii="仿宋_GB2312" w:hAnsi="宋体" w:eastAsia="仿宋_GB2312"/>
      <w:kern w:val="0"/>
      <w:sz w:val="28"/>
      <w:szCs w:val="28"/>
    </w:rPr>
  </w:style>
  <w:style w:type="paragraph" w:customStyle="1" w:styleId="352">
    <w:name w:val="xl25"/>
    <w:basedOn w:val="1"/>
    <w:qFormat/>
    <w:uiPriority w:val="0"/>
    <w:pPr>
      <w:pBdr>
        <w:bottom w:val="single" w:color="auto" w:sz="4" w:space="0"/>
        <w:right w:val="single" w:color="auto" w:sz="4" w:space="0"/>
      </w:pBdr>
      <w:spacing w:before="100" w:beforeAutospacing="1" w:after="100" w:afterAutospacing="1"/>
      <w:jc w:val="center"/>
      <w:textAlignment w:val="top"/>
    </w:pPr>
    <w:rPr>
      <w:rFonts w:ascii="Arial" w:hAnsi="Arial" w:cs="Arial"/>
      <w:b/>
      <w:bCs/>
      <w:kern w:val="0"/>
      <w:szCs w:val="21"/>
    </w:rPr>
  </w:style>
  <w:style w:type="paragraph" w:customStyle="1" w:styleId="353">
    <w:name w:val="haydonli"/>
    <w:basedOn w:val="1"/>
    <w:qFormat/>
    <w:uiPriority w:val="0"/>
    <w:pPr>
      <w:ind w:firstLine="480"/>
    </w:pPr>
    <w:rPr>
      <w:rFonts w:ascii="宋体" w:hAnsi="宋体"/>
      <w:bCs/>
      <w:szCs w:val="24"/>
    </w:rPr>
  </w:style>
  <w:style w:type="paragraph" w:customStyle="1" w:styleId="354">
    <w:name w:val="xl78"/>
    <w:basedOn w:val="1"/>
    <w:qFormat/>
    <w:uiPriority w:val="0"/>
    <w:pPr>
      <w:pBdr>
        <w:top w:val="single" w:color="auto" w:sz="8" w:space="0"/>
        <w:left w:val="single" w:color="auto" w:sz="8" w:space="0"/>
        <w:bottom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355">
    <w:name w:val="样式 标题 3 + 段前: 0 磅 段后: 0 磅 行距: 1.5 倍行距"/>
    <w:basedOn w:val="5"/>
    <w:qFormat/>
    <w:uiPriority w:val="0"/>
    <w:pPr>
      <w:spacing w:before="0" w:after="0"/>
    </w:pPr>
    <w:rPr>
      <w:rFonts w:cs="宋体"/>
      <w:color w:val="000000"/>
      <w:szCs w:val="20"/>
    </w:rPr>
  </w:style>
  <w:style w:type="paragraph" w:customStyle="1" w:styleId="356">
    <w:name w:val="pic-info"/>
    <w:basedOn w:val="1"/>
    <w:qFormat/>
    <w:uiPriority w:val="0"/>
    <w:pPr>
      <w:spacing w:before="100" w:beforeAutospacing="1" w:after="100" w:afterAutospacing="1"/>
    </w:pPr>
    <w:rPr>
      <w:rFonts w:ascii="宋体" w:hAnsi="宋体" w:cs="宋体"/>
      <w:kern w:val="0"/>
      <w:szCs w:val="24"/>
    </w:rPr>
  </w:style>
  <w:style w:type="paragraph" w:customStyle="1" w:styleId="357">
    <w:name w:val="Char1"/>
    <w:basedOn w:val="1"/>
    <w:qFormat/>
    <w:uiPriority w:val="0"/>
    <w:pPr>
      <w:tabs>
        <w:tab w:val="right" w:pos="8494"/>
      </w:tabs>
      <w:spacing w:after="160" w:line="240" w:lineRule="exact"/>
    </w:pPr>
    <w:rPr>
      <w:rFonts w:ascii="宋体" w:hAnsi="宋体" w:cs="宋体"/>
      <w:szCs w:val="24"/>
    </w:rPr>
  </w:style>
  <w:style w:type="paragraph" w:customStyle="1" w:styleId="358">
    <w:name w:val="样式 宋体 四号 加粗 行距: 1.5 倍行距"/>
    <w:basedOn w:val="1"/>
    <w:qFormat/>
    <w:uiPriority w:val="0"/>
    <w:pPr>
      <w:ind w:firstLine="200"/>
    </w:pPr>
    <w:rPr>
      <w:rFonts w:ascii="仿宋_GB2312" w:hAnsi="宋体" w:eastAsia="仿宋_GB2312" w:cs="宋体"/>
      <w:bCs/>
      <w:sz w:val="28"/>
      <w:szCs w:val="20"/>
    </w:rPr>
  </w:style>
  <w:style w:type="paragraph" w:customStyle="1" w:styleId="359">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60">
    <w:name w:val="xl40"/>
    <w:basedOn w:val="1"/>
    <w:qFormat/>
    <w:uiPriority w:val="0"/>
    <w:pPr>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Cs w:val="24"/>
    </w:rPr>
  </w:style>
  <w:style w:type="paragraph" w:customStyle="1" w:styleId="361">
    <w:name w:val="Char4"/>
    <w:basedOn w:val="1"/>
    <w:qFormat/>
    <w:uiPriority w:val="0"/>
    <w:rPr>
      <w:rFonts w:ascii="宋体" w:hAnsi="宋体" w:cs="宋体"/>
      <w:szCs w:val="24"/>
    </w:rPr>
  </w:style>
  <w:style w:type="paragraph" w:customStyle="1" w:styleId="362">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3366FF"/>
      <w:kern w:val="0"/>
      <w:sz w:val="18"/>
      <w:szCs w:val="18"/>
    </w:rPr>
  </w:style>
  <w:style w:type="paragraph" w:customStyle="1" w:styleId="363">
    <w:name w:val="Char Char Char Char Char Char Char Char Char Char"/>
    <w:basedOn w:val="1"/>
    <w:qFormat/>
    <w:uiPriority w:val="0"/>
    <w:pPr>
      <w:ind w:firstLine="200"/>
    </w:pPr>
    <w:rPr>
      <w:rFonts w:ascii="宋体" w:hAnsi="宋体" w:cs="宋体"/>
      <w:kern w:val="0"/>
      <w:szCs w:val="24"/>
    </w:rPr>
  </w:style>
  <w:style w:type="paragraph" w:customStyle="1" w:styleId="364">
    <w:name w:val="样式 表格 + 左侧:  0.98 厘米 行距: 固定值 12 磅"/>
    <w:basedOn w:val="177"/>
    <w:qFormat/>
    <w:uiPriority w:val="0"/>
    <w:pPr>
      <w:spacing w:before="100" w:beforeAutospacing="1" w:after="100" w:afterAutospacing="1" w:line="240" w:lineRule="exact"/>
      <w:ind w:left="560" w:leftChars="200" w:right="-120" w:rightChars="-50"/>
    </w:pPr>
    <w:rPr>
      <w:rFonts w:ascii="Arial" w:hAnsi="Arial"/>
      <w:color w:val="000000"/>
      <w:lang w:val="en-GB"/>
    </w:rPr>
  </w:style>
  <w:style w:type="paragraph" w:customStyle="1" w:styleId="365">
    <w:name w:val="Char7"/>
    <w:basedOn w:val="1"/>
    <w:qFormat/>
    <w:uiPriority w:val="0"/>
    <w:pPr>
      <w:ind w:firstLine="200"/>
    </w:pPr>
    <w:rPr>
      <w:rFonts w:ascii="宋体" w:hAnsi="宋体" w:cs="宋体"/>
      <w:szCs w:val="24"/>
    </w:rPr>
  </w:style>
  <w:style w:type="paragraph" w:customStyle="1" w:styleId="366">
    <w:name w:val="Char2"/>
    <w:basedOn w:val="1"/>
    <w:qFormat/>
    <w:uiPriority w:val="0"/>
    <w:pPr>
      <w:ind w:firstLine="200"/>
    </w:pPr>
    <w:rPr>
      <w:rFonts w:ascii="宋体" w:hAnsi="宋体" w:cs="宋体"/>
      <w:szCs w:val="24"/>
    </w:rPr>
  </w:style>
  <w:style w:type="paragraph" w:customStyle="1" w:styleId="367">
    <w:name w:val="样式 样式 表格 + 左侧:  0.98 厘米 + 居中"/>
    <w:basedOn w:val="1"/>
    <w:qFormat/>
    <w:uiPriority w:val="0"/>
    <w:pPr>
      <w:spacing w:before="100" w:beforeAutospacing="1" w:after="100" w:afterAutospacing="1" w:line="300" w:lineRule="auto"/>
      <w:jc w:val="center"/>
    </w:pPr>
    <w:rPr>
      <w:rFonts w:ascii="Arial" w:hAnsi="Arial"/>
      <w:snapToGrid w:val="0"/>
      <w:kern w:val="0"/>
      <w:szCs w:val="20"/>
    </w:rPr>
  </w:style>
  <w:style w:type="paragraph" w:customStyle="1" w:styleId="368">
    <w:name w:val="xl43"/>
    <w:basedOn w:val="1"/>
    <w:qFormat/>
    <w:uiPriority w:val="0"/>
    <w:pPr>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69">
    <w:name w:val="xl89"/>
    <w:basedOn w:val="1"/>
    <w:qFormat/>
    <w:uiPriority w:val="0"/>
    <w:pPr>
      <w:pBdr>
        <w:top w:val="single" w:color="auto" w:sz="8" w:space="0"/>
        <w:left w:val="single" w:color="auto" w:sz="8" w:space="0"/>
      </w:pBdr>
      <w:spacing w:before="100" w:beforeAutospacing="1" w:after="100" w:afterAutospacing="1"/>
    </w:pPr>
    <w:rPr>
      <w:rFonts w:ascii="宋体" w:hAnsi="宋体" w:cs="宋体"/>
      <w:color w:val="0000FF"/>
      <w:kern w:val="0"/>
      <w:sz w:val="18"/>
      <w:szCs w:val="18"/>
    </w:rPr>
  </w:style>
  <w:style w:type="paragraph" w:customStyle="1" w:styleId="370">
    <w:name w:val="样式 左侧:  0.98 厘米1"/>
    <w:basedOn w:val="1"/>
    <w:qFormat/>
    <w:uiPriority w:val="0"/>
    <w:pPr>
      <w:ind w:firstLine="200"/>
    </w:pPr>
    <w:rPr>
      <w:rFonts w:eastAsia="仿宋_GB2312"/>
      <w:kern w:val="0"/>
      <w:sz w:val="28"/>
      <w:szCs w:val="20"/>
    </w:rPr>
  </w:style>
  <w:style w:type="paragraph" w:customStyle="1" w:styleId="371">
    <w:name w:val="图沣西新城"/>
    <w:basedOn w:val="1"/>
    <w:qFormat/>
    <w:uiPriority w:val="0"/>
    <w:pPr>
      <w:jc w:val="center"/>
      <w:textAlignment w:val="baseline"/>
    </w:pPr>
    <w:rPr>
      <w:rFonts w:eastAsia="黑体"/>
      <w:b/>
      <w:spacing w:val="20"/>
      <w:kern w:val="0"/>
      <w:szCs w:val="20"/>
    </w:rPr>
  </w:style>
  <w:style w:type="paragraph" w:customStyle="1" w:styleId="372">
    <w:name w:val="xl75"/>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color w:val="FF0000"/>
      <w:kern w:val="0"/>
      <w:sz w:val="18"/>
      <w:szCs w:val="18"/>
    </w:rPr>
  </w:style>
  <w:style w:type="paragraph" w:customStyle="1" w:styleId="373">
    <w:name w:val="xl63"/>
    <w:basedOn w:val="1"/>
    <w:qFormat/>
    <w:uiPriority w:val="0"/>
    <w:pPr>
      <w:pBdr>
        <w:left w:val="single" w:color="auto" w:sz="4" w:space="0"/>
        <w:bottom w:val="single" w:color="auto" w:sz="4" w:space="0"/>
        <w:right w:val="single" w:color="auto" w:sz="4" w:space="0"/>
      </w:pBdr>
      <w:spacing w:before="100" w:after="100"/>
    </w:pPr>
    <w:rPr>
      <w:rFonts w:ascii="宋体" w:hAnsi="宋体"/>
      <w:b/>
      <w:kern w:val="0"/>
      <w:szCs w:val="20"/>
    </w:rPr>
  </w:style>
  <w:style w:type="paragraph" w:customStyle="1" w:styleId="374">
    <w:name w:val="c"/>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375">
    <w:name w:val="Char1 Char Char Char Char Char Char Char Char Char"/>
    <w:basedOn w:val="1"/>
    <w:qFormat/>
    <w:uiPriority w:val="0"/>
    <w:rPr>
      <w:rFonts w:ascii="宋体" w:hAnsi="宋体" w:eastAsia="华文仿宋" w:cs="宋体"/>
      <w:szCs w:val="24"/>
    </w:rPr>
  </w:style>
  <w:style w:type="paragraph" w:customStyle="1" w:styleId="376">
    <w:name w:val="样式 表格 + 左侧:  0.98 厘米 字距调整8 磅"/>
    <w:basedOn w:val="177"/>
    <w:qFormat/>
    <w:uiPriority w:val="0"/>
    <w:pPr>
      <w:spacing w:before="100" w:beforeAutospacing="1" w:after="100" w:afterAutospacing="1" w:line="300" w:lineRule="exact"/>
      <w:ind w:left="560" w:leftChars="200" w:right="-120" w:rightChars="-50"/>
    </w:pPr>
    <w:rPr>
      <w:rFonts w:ascii="Arial" w:hAnsi="Arial"/>
      <w:color w:val="000000"/>
      <w:kern w:val="16"/>
      <w:lang w:val="en-GB"/>
    </w:rPr>
  </w:style>
  <w:style w:type="paragraph" w:customStyle="1" w:styleId="377">
    <w:name w:val="xl85"/>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b/>
      <w:bCs/>
      <w:color w:val="993366"/>
      <w:kern w:val="0"/>
      <w:sz w:val="18"/>
      <w:szCs w:val="18"/>
    </w:rPr>
  </w:style>
  <w:style w:type="paragraph" w:customStyle="1" w:styleId="378">
    <w:name w:val="xl82"/>
    <w:basedOn w:val="1"/>
    <w:qFormat/>
    <w:uiPriority w:val="0"/>
    <w:pPr>
      <w:pBdr>
        <w:top w:val="single" w:color="auto" w:sz="8" w:space="0"/>
        <w:bottom w:val="single" w:color="auto" w:sz="8" w:space="0"/>
        <w:right w:val="single" w:color="auto" w:sz="8" w:space="0"/>
      </w:pBdr>
      <w:spacing w:before="100" w:beforeAutospacing="1" w:after="100" w:afterAutospacing="1"/>
      <w:jc w:val="center"/>
    </w:pPr>
    <w:rPr>
      <w:rFonts w:ascii="Arial" w:hAnsi="Arial" w:cs="Arial"/>
      <w:b/>
      <w:bCs/>
      <w:color w:val="993366"/>
      <w:kern w:val="0"/>
      <w:sz w:val="18"/>
      <w:szCs w:val="18"/>
    </w:rPr>
  </w:style>
  <w:style w:type="paragraph" w:customStyle="1" w:styleId="379">
    <w:name w:val="样式 表格 + 居中 左侧:  0.98 厘米"/>
    <w:basedOn w:val="177"/>
    <w:qFormat/>
    <w:uiPriority w:val="0"/>
    <w:pPr>
      <w:spacing w:before="100" w:beforeAutospacing="1" w:after="100" w:afterAutospacing="1" w:line="300" w:lineRule="exact"/>
      <w:ind w:left="560" w:leftChars="200" w:right="-120" w:rightChars="-50"/>
    </w:pPr>
    <w:rPr>
      <w:rFonts w:ascii="Arial" w:hAnsi="Arial"/>
      <w:color w:val="000000"/>
      <w:lang w:val="en-GB"/>
    </w:rPr>
  </w:style>
  <w:style w:type="paragraph" w:customStyle="1" w:styleId="380">
    <w:name w:val="font6"/>
    <w:basedOn w:val="1"/>
    <w:qFormat/>
    <w:uiPriority w:val="0"/>
    <w:pPr>
      <w:spacing w:before="100" w:beforeAutospacing="1" w:after="100" w:afterAutospacing="1"/>
    </w:pPr>
    <w:rPr>
      <w:rFonts w:hint="eastAsia" w:ascii="宋体" w:hAnsi="宋体"/>
      <w:color w:val="339966"/>
      <w:kern w:val="0"/>
      <w:sz w:val="18"/>
      <w:szCs w:val="18"/>
    </w:rPr>
  </w:style>
  <w:style w:type="paragraph" w:customStyle="1" w:styleId="381">
    <w:name w:val="样式 左侧:  0.49 厘米 首行缩进:  2 字符 右侧:  0.49 厘米"/>
    <w:basedOn w:val="1"/>
    <w:qFormat/>
    <w:uiPriority w:val="0"/>
    <w:pPr>
      <w:spacing w:line="490" w:lineRule="exact"/>
      <w:ind w:firstLine="480"/>
    </w:pPr>
    <w:rPr>
      <w:rFonts w:ascii="宋体" w:hAnsi="宋体"/>
      <w:szCs w:val="20"/>
    </w:rPr>
  </w:style>
  <w:style w:type="paragraph" w:customStyle="1" w:styleId="382">
    <w:name w:val="Char11"/>
    <w:basedOn w:val="1"/>
    <w:qFormat/>
    <w:uiPriority w:val="0"/>
    <w:pPr>
      <w:ind w:firstLine="200"/>
    </w:pPr>
    <w:rPr>
      <w:szCs w:val="20"/>
    </w:rPr>
  </w:style>
  <w:style w:type="paragraph" w:customStyle="1" w:styleId="383">
    <w:name w:val="样式 (西文) 宋体 左侧:  0.98 厘米"/>
    <w:basedOn w:val="1"/>
    <w:qFormat/>
    <w:uiPriority w:val="0"/>
    <w:pPr>
      <w:ind w:firstLine="200"/>
    </w:pPr>
    <w:rPr>
      <w:rFonts w:ascii="宋体" w:eastAsia="仿宋_GB2312"/>
      <w:sz w:val="28"/>
      <w:szCs w:val="20"/>
    </w:rPr>
  </w:style>
  <w:style w:type="paragraph" w:customStyle="1" w:styleId="384">
    <w:name w:val="xl92"/>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385">
    <w:name w:val="Char Char Char Char1 Char Char Char Char Char Char Char Char Char Char Char Char"/>
    <w:basedOn w:val="1"/>
    <w:qFormat/>
    <w:uiPriority w:val="0"/>
    <w:pPr>
      <w:ind w:firstLine="200"/>
    </w:pPr>
    <w:rPr>
      <w:rFonts w:ascii="宋体" w:hAnsi="宋体" w:cs="宋体"/>
      <w:szCs w:val="24"/>
    </w:rPr>
  </w:style>
  <w:style w:type="paragraph" w:customStyle="1" w:styleId="386">
    <w:name w:val="日期1"/>
    <w:basedOn w:val="1"/>
    <w:next w:val="1"/>
    <w:qFormat/>
    <w:uiPriority w:val="0"/>
    <w:rPr>
      <w:sz w:val="28"/>
      <w:szCs w:val="20"/>
    </w:rPr>
  </w:style>
  <w:style w:type="paragraph" w:customStyle="1" w:styleId="387">
    <w:name w:val="xl76"/>
    <w:basedOn w:val="1"/>
    <w:qFormat/>
    <w:uiPriority w:val="0"/>
    <w:pPr>
      <w:pBdr>
        <w:top w:val="single" w:color="auto" w:sz="8" w:space="0"/>
        <w:left w:val="single" w:color="auto" w:sz="8" w:space="0"/>
        <w:right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388">
    <w:name w:val="段落样式"/>
    <w:basedOn w:val="1"/>
    <w:qFormat/>
    <w:uiPriority w:val="0"/>
    <w:pPr>
      <w:keepNext/>
      <w:suppressLineNumbers/>
      <w:suppressAutoHyphens/>
      <w:spacing w:line="480" w:lineRule="atLeast"/>
      <w:ind w:firstLine="482"/>
      <w:textAlignment w:val="baseline"/>
    </w:pPr>
    <w:rPr>
      <w:w w:val="90"/>
      <w:kern w:val="0"/>
      <w:sz w:val="28"/>
      <w:szCs w:val="28"/>
    </w:rPr>
  </w:style>
  <w:style w:type="paragraph" w:customStyle="1" w:styleId="389">
    <w:name w:val="样式 小表 + 两端对齐"/>
    <w:basedOn w:val="390"/>
    <w:qFormat/>
    <w:uiPriority w:val="0"/>
    <w:pPr>
      <w:jc w:val="both"/>
    </w:pPr>
    <w:rPr>
      <w:sz w:val="18"/>
    </w:rPr>
  </w:style>
  <w:style w:type="paragraph" w:customStyle="1" w:styleId="390">
    <w:name w:val="小表"/>
    <w:basedOn w:val="1"/>
    <w:qFormat/>
    <w:uiPriority w:val="0"/>
    <w:pPr>
      <w:spacing w:line="331" w:lineRule="auto"/>
      <w:jc w:val="center"/>
    </w:pPr>
    <w:rPr>
      <w:rFonts w:ascii="宋体" w:hAnsi="宋体"/>
      <w:snapToGrid w:val="0"/>
      <w:sz w:val="15"/>
      <w:szCs w:val="20"/>
    </w:rPr>
  </w:style>
  <w:style w:type="paragraph" w:customStyle="1" w:styleId="391">
    <w:name w:val="xl45"/>
    <w:basedOn w:val="1"/>
    <w:qFormat/>
    <w:uiPriority w:val="0"/>
    <w:pPr>
      <w:pBdr>
        <w:top w:val="single" w:color="auto" w:sz="8" w:space="0"/>
        <w:left w:val="single" w:color="auto" w:sz="8" w:space="0"/>
        <w:bottom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92">
    <w:name w:val="xl61"/>
    <w:basedOn w:val="1"/>
    <w:qFormat/>
    <w:uiPriority w:val="0"/>
    <w:pPr>
      <w:spacing w:before="100" w:beforeAutospacing="1" w:after="100" w:afterAutospacing="1"/>
      <w:jc w:val="center"/>
    </w:pPr>
    <w:rPr>
      <w:kern w:val="0"/>
      <w:szCs w:val="21"/>
    </w:rPr>
  </w:style>
  <w:style w:type="paragraph" w:customStyle="1" w:styleId="393">
    <w:name w:val="样式 表中 + 首行缩进:  2 字符 段前: 0.5 行 段后: 0.5 行"/>
    <w:basedOn w:val="394"/>
    <w:qFormat/>
    <w:uiPriority w:val="0"/>
    <w:pPr>
      <w:tabs>
        <w:tab w:val="left" w:pos="1060"/>
      </w:tabs>
      <w:adjustRightInd/>
    </w:pPr>
    <w:rPr>
      <w:rFonts w:ascii="仿宋_GB2312" w:hAnsi="宋体" w:eastAsia="仿宋_GB2312" w:cs="宋体"/>
      <w:b/>
      <w:bCs/>
      <w:color w:val="auto"/>
      <w:szCs w:val="20"/>
    </w:rPr>
  </w:style>
  <w:style w:type="paragraph" w:customStyle="1" w:styleId="394">
    <w:name w:val="表中"/>
    <w:basedOn w:val="19"/>
    <w:qFormat/>
    <w:uiPriority w:val="0"/>
    <w:pPr>
      <w:spacing w:before="46" w:beforeLines="15" w:after="46" w:afterLines="15"/>
      <w:ind w:firstLine="0" w:firstLineChars="0"/>
      <w:jc w:val="center"/>
    </w:pPr>
    <w:rPr>
      <w:color w:val="000000"/>
      <w:szCs w:val="24"/>
    </w:rPr>
  </w:style>
  <w:style w:type="paragraph" w:customStyle="1" w:styleId="395">
    <w:name w:val="支标题 a)"/>
    <w:basedOn w:val="1"/>
    <w:next w:val="1"/>
    <w:qFormat/>
    <w:uiPriority w:val="0"/>
    <w:pPr>
      <w:tabs>
        <w:tab w:val="left" w:pos="510"/>
        <w:tab w:val="left" w:pos="1097"/>
      </w:tabs>
      <w:spacing w:before="120" w:after="120" w:line="460" w:lineRule="exact"/>
      <w:ind w:left="284" w:firstLine="453"/>
      <w:textAlignment w:val="baseline"/>
    </w:pPr>
    <w:rPr>
      <w:kern w:val="0"/>
      <w:szCs w:val="20"/>
    </w:rPr>
  </w:style>
  <w:style w:type="paragraph" w:customStyle="1" w:styleId="396">
    <w:name w:val="xl80"/>
    <w:basedOn w:val="1"/>
    <w:qFormat/>
    <w:uiPriority w:val="0"/>
    <w:pPr>
      <w:pBdr>
        <w:top w:val="single" w:color="auto" w:sz="8" w:space="0"/>
        <w:bottom w:val="single" w:color="auto" w:sz="8" w:space="0"/>
        <w:right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397">
    <w:name w:val="PA"/>
    <w:basedOn w:val="1"/>
    <w:qFormat/>
    <w:uiPriority w:val="0"/>
    <w:pPr>
      <w:spacing w:after="120"/>
      <w:ind w:left="1134"/>
    </w:pPr>
    <w:rPr>
      <w:rFonts w:ascii="Arial" w:hAnsi="Arial"/>
      <w:kern w:val="0"/>
      <w:sz w:val="22"/>
      <w:szCs w:val="20"/>
      <w:lang w:val="en-GB"/>
    </w:rPr>
  </w:style>
  <w:style w:type="paragraph" w:customStyle="1" w:styleId="398">
    <w:name w:val="xl30"/>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hAnsi="宋体"/>
      <w:kern w:val="0"/>
      <w:sz w:val="18"/>
      <w:szCs w:val="18"/>
    </w:rPr>
  </w:style>
  <w:style w:type="paragraph" w:customStyle="1" w:styleId="399">
    <w:name w:val="段落4"/>
    <w:basedOn w:val="1"/>
    <w:qFormat/>
    <w:uiPriority w:val="0"/>
    <w:pPr>
      <w:ind w:firstLine="200"/>
    </w:pPr>
    <w:rPr>
      <w:rFonts w:ascii="宋体" w:hAnsi="宋体" w:cs="宋体"/>
      <w:szCs w:val="24"/>
    </w:rPr>
  </w:style>
  <w:style w:type="paragraph" w:customStyle="1" w:styleId="400">
    <w:name w:val="样式 正文文本缩进 3 + 黑色"/>
    <w:basedOn w:val="1"/>
    <w:qFormat/>
    <w:uiPriority w:val="0"/>
    <w:pPr>
      <w:ind w:firstLine="570"/>
    </w:pPr>
    <w:rPr>
      <w:rFonts w:ascii="宋体" w:hAnsi="宋体" w:cs="宋体"/>
      <w:color w:val="000000"/>
      <w:sz w:val="28"/>
      <w:szCs w:val="20"/>
    </w:rPr>
  </w:style>
  <w:style w:type="paragraph" w:customStyle="1" w:styleId="401">
    <w:name w:val="样式 Times New Roman 行距: 1.5 倍行距"/>
    <w:basedOn w:val="1"/>
    <w:qFormat/>
    <w:uiPriority w:val="0"/>
    <w:pPr>
      <w:ind w:firstLine="480"/>
    </w:pPr>
    <w:rPr>
      <w:rFonts w:cs="宋体"/>
      <w:kern w:val="24"/>
      <w:sz w:val="28"/>
      <w:szCs w:val="28"/>
    </w:rPr>
  </w:style>
  <w:style w:type="paragraph" w:customStyle="1" w:styleId="402">
    <w:name w:val="xl29"/>
    <w:basedOn w:val="1"/>
    <w:qFormat/>
    <w:uiPriority w:val="0"/>
    <w:pPr>
      <w:pBdr>
        <w:bottom w:val="single" w:color="auto" w:sz="8" w:space="0"/>
        <w:right w:val="single" w:color="auto" w:sz="8" w:space="0"/>
      </w:pBdr>
      <w:spacing w:before="100" w:beforeAutospacing="1" w:after="100" w:afterAutospacing="1"/>
      <w:jc w:val="center"/>
    </w:pPr>
    <w:rPr>
      <w:kern w:val="0"/>
      <w:sz w:val="18"/>
      <w:szCs w:val="18"/>
    </w:rPr>
  </w:style>
  <w:style w:type="paragraph" w:customStyle="1" w:styleId="403">
    <w:name w:val="样式 四号 首行缩进:  1 厘米 行距: 1.5 倍行距"/>
    <w:basedOn w:val="1"/>
    <w:qFormat/>
    <w:uiPriority w:val="0"/>
    <w:pPr>
      <w:ind w:firstLine="200"/>
    </w:pPr>
    <w:rPr>
      <w:rFonts w:ascii="宋体" w:cs="宋体"/>
      <w:sz w:val="28"/>
      <w:szCs w:val="20"/>
    </w:rPr>
  </w:style>
  <w:style w:type="paragraph" w:customStyle="1" w:styleId="404">
    <w:name w:val="默认段落字体 Para Char Char Char Char Char"/>
    <w:basedOn w:val="1"/>
    <w:qFormat/>
    <w:uiPriority w:val="0"/>
    <w:rPr>
      <w:szCs w:val="20"/>
    </w:rPr>
  </w:style>
  <w:style w:type="paragraph" w:customStyle="1" w:styleId="405">
    <w:name w:val="样式 行距: 1.5 倍行距"/>
    <w:basedOn w:val="1"/>
    <w:qFormat/>
    <w:uiPriority w:val="0"/>
    <w:pPr>
      <w:ind w:firstLine="420"/>
    </w:pPr>
    <w:rPr>
      <w:rFonts w:ascii="Arial" w:hAnsi="Arial" w:eastAsia="Arial"/>
      <w:szCs w:val="20"/>
    </w:rPr>
  </w:style>
  <w:style w:type="paragraph" w:customStyle="1" w:styleId="406">
    <w:name w:val="样式 小四 行距: 固定值 26 磅"/>
    <w:basedOn w:val="1"/>
    <w:qFormat/>
    <w:uiPriority w:val="0"/>
    <w:rPr>
      <w:color w:val="000000"/>
      <w:sz w:val="28"/>
      <w:szCs w:val="28"/>
    </w:rPr>
  </w:style>
  <w:style w:type="paragraph" w:customStyle="1" w:styleId="407">
    <w:name w:val="样式 haydonli + 首行缩进:  2 字符"/>
    <w:basedOn w:val="353"/>
    <w:qFormat/>
    <w:uiPriority w:val="0"/>
    <w:pPr>
      <w:ind w:firstLine="420" w:firstLineChars="175"/>
    </w:pPr>
    <w:rPr>
      <w:rFonts w:ascii="Times New Roman" w:hAnsi="Times New Roman"/>
      <w:bCs w:val="0"/>
    </w:rPr>
  </w:style>
  <w:style w:type="paragraph" w:customStyle="1" w:styleId="408">
    <w:name w:val="样式 样式 正文 +1 + 首行缩进:  2 字符"/>
    <w:basedOn w:val="1"/>
    <w:qFormat/>
    <w:uiPriority w:val="0"/>
    <w:pPr>
      <w:ind w:firstLine="560"/>
    </w:pPr>
    <w:rPr>
      <w:rFonts w:cs="宋体"/>
      <w:kern w:val="0"/>
      <w:sz w:val="28"/>
      <w:szCs w:val="20"/>
    </w:rPr>
  </w:style>
  <w:style w:type="paragraph" w:customStyle="1" w:styleId="409">
    <w:name w:val="Char8 Char Char Char"/>
    <w:basedOn w:val="1"/>
    <w:qFormat/>
    <w:uiPriority w:val="0"/>
    <w:pPr>
      <w:ind w:firstLine="200"/>
    </w:pPr>
    <w:rPr>
      <w:rFonts w:ascii="宋体" w:hAnsi="宋体" w:cs="宋体"/>
      <w:szCs w:val="24"/>
    </w:rPr>
  </w:style>
  <w:style w:type="paragraph" w:customStyle="1" w:styleId="410">
    <w:name w:val="样式 标题 4L4款标题款标题1.1.1.1 + (西文) Times New Roman (中文) 宋体 加粗 段...1"/>
    <w:basedOn w:val="6"/>
    <w:qFormat/>
    <w:uiPriority w:val="0"/>
    <w:pPr>
      <w:tabs>
        <w:tab w:val="left" w:pos="578"/>
      </w:tabs>
      <w:spacing w:before="60" w:after="60" w:line="500" w:lineRule="atLeast"/>
    </w:pPr>
    <w:rPr>
      <w:rFonts w:cs="宋体"/>
      <w:snapToGrid w:val="0"/>
      <w:szCs w:val="20"/>
    </w:rPr>
  </w:style>
  <w:style w:type="paragraph" w:customStyle="1" w:styleId="411">
    <w:name w:val="Char Char Char1 Char Char Char Char Char Char Char Char Char"/>
    <w:basedOn w:val="1"/>
    <w:qFormat/>
    <w:uiPriority w:val="0"/>
    <w:rPr>
      <w:rFonts w:ascii="宋体" w:hAnsi="宋体" w:cs="宋体"/>
      <w:szCs w:val="24"/>
    </w:rPr>
  </w:style>
  <w:style w:type="paragraph" w:customStyle="1" w:styleId="412">
    <w:name w:val="xl57"/>
    <w:basedOn w:val="1"/>
    <w:qFormat/>
    <w:uiPriority w:val="0"/>
    <w:pPr>
      <w:pBdr>
        <w:bottom w:val="single" w:color="auto" w:sz="8" w:space="0"/>
        <w:right w:val="single" w:color="auto" w:sz="12" w:space="0"/>
      </w:pBdr>
      <w:spacing w:before="100" w:beforeAutospacing="1" w:after="100" w:afterAutospacing="1"/>
      <w:jc w:val="center"/>
    </w:pPr>
    <w:rPr>
      <w:color w:val="333399"/>
      <w:kern w:val="0"/>
      <w:szCs w:val="21"/>
    </w:rPr>
  </w:style>
  <w:style w:type="paragraph" w:customStyle="1" w:styleId="413">
    <w:name w:val="表格样式1"/>
    <w:basedOn w:val="1"/>
    <w:next w:val="1"/>
    <w:qFormat/>
    <w:uiPriority w:val="0"/>
    <w:pPr>
      <w:spacing w:line="40" w:lineRule="atLeast"/>
      <w:jc w:val="center"/>
      <w:textAlignment w:val="baseline"/>
    </w:pPr>
    <w:rPr>
      <w:kern w:val="0"/>
      <w:szCs w:val="20"/>
    </w:rPr>
  </w:style>
  <w:style w:type="paragraph" w:customStyle="1" w:styleId="414">
    <w:name w:val="样式6"/>
    <w:basedOn w:val="8"/>
    <w:qFormat/>
    <w:uiPriority w:val="0"/>
    <w:pPr>
      <w:tabs>
        <w:tab w:val="left" w:pos="1247"/>
        <w:tab w:val="left" w:pos="1400"/>
      </w:tabs>
      <w:ind w:left="851" w:hanging="171"/>
    </w:pPr>
    <w:rPr>
      <w:rFonts w:ascii="Arial" w:hAnsi="Arial"/>
      <w:bCs w:val="0"/>
      <w:snapToGrid w:val="0"/>
      <w:kern w:val="0"/>
      <w:szCs w:val="20"/>
    </w:rPr>
  </w:style>
  <w:style w:type="paragraph" w:customStyle="1" w:styleId="415">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ind w:firstLine="200"/>
    </w:pPr>
    <w:rPr>
      <w:rFonts w:ascii="宋体" w:hAnsi="宋体" w:cs="宋体"/>
      <w:szCs w:val="24"/>
    </w:rPr>
  </w:style>
  <w:style w:type="paragraph" w:customStyle="1" w:styleId="416">
    <w:name w:val="表内文字沣西新城"/>
    <w:basedOn w:val="1"/>
    <w:qFormat/>
    <w:uiPriority w:val="0"/>
    <w:pPr>
      <w:jc w:val="center"/>
    </w:pPr>
    <w:rPr>
      <w:szCs w:val="24"/>
    </w:rPr>
  </w:style>
  <w:style w:type="paragraph" w:customStyle="1" w:styleId="417">
    <w:name w:val="样式 表格 + 左侧:  0.98 厘米 字符缩放: 90%"/>
    <w:basedOn w:val="177"/>
    <w:qFormat/>
    <w:uiPriority w:val="0"/>
    <w:pPr>
      <w:spacing w:before="100" w:beforeAutospacing="1" w:after="100" w:afterAutospacing="1" w:line="300" w:lineRule="exact"/>
      <w:ind w:left="560" w:leftChars="200" w:right="-120" w:rightChars="-50"/>
    </w:pPr>
    <w:rPr>
      <w:rFonts w:ascii="Arial" w:hAnsi="Arial"/>
      <w:color w:val="000000"/>
      <w:w w:val="90"/>
      <w:lang w:val="en-GB"/>
    </w:rPr>
  </w:style>
  <w:style w:type="paragraph" w:customStyle="1" w:styleId="418">
    <w:name w:val="默认段落字体 Char Char Char"/>
    <w:basedOn w:val="1"/>
    <w:qFormat/>
    <w:uiPriority w:val="0"/>
    <w:rPr>
      <w:szCs w:val="24"/>
    </w:rPr>
  </w:style>
  <w:style w:type="paragraph" w:customStyle="1" w:styleId="419">
    <w:name w:val="xl39"/>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kern w:val="0"/>
      <w:sz w:val="18"/>
      <w:szCs w:val="18"/>
    </w:rPr>
  </w:style>
  <w:style w:type="paragraph" w:customStyle="1" w:styleId="420">
    <w:name w:val="font5"/>
    <w:basedOn w:val="1"/>
    <w:qFormat/>
    <w:uiPriority w:val="0"/>
    <w:pPr>
      <w:spacing w:before="100" w:beforeAutospacing="1" w:after="100" w:afterAutospacing="1"/>
    </w:pPr>
    <w:rPr>
      <w:rFonts w:hint="eastAsia" w:ascii="宋体" w:hAnsi="宋体"/>
      <w:kern w:val="0"/>
      <w:sz w:val="18"/>
      <w:szCs w:val="18"/>
    </w:rPr>
  </w:style>
  <w:style w:type="paragraph" w:customStyle="1" w:styleId="421">
    <w:name w:val="样式 题注 + 首行缩进:  2 字符"/>
    <w:basedOn w:val="20"/>
    <w:qFormat/>
    <w:uiPriority w:val="0"/>
    <w:pPr>
      <w:widowControl/>
      <w:spacing w:line="240" w:lineRule="auto"/>
      <w:ind w:firstLine="0" w:firstLineChars="0"/>
    </w:pPr>
    <w:rPr>
      <w:rFonts w:ascii="宋体" w:hAnsi="宋体" w:cs="宋体"/>
      <w:b w:val="0"/>
      <w:color w:val="000000"/>
      <w:sz w:val="21"/>
      <w:szCs w:val="21"/>
    </w:rPr>
  </w:style>
  <w:style w:type="paragraph" w:customStyle="1" w:styleId="422">
    <w:name w:val="标题 4.tx"/>
    <w:basedOn w:val="1"/>
    <w:qFormat/>
    <w:uiPriority w:val="0"/>
    <w:pPr>
      <w:keepNext/>
      <w:keepLines/>
      <w:spacing w:before="120" w:after="120" w:line="520" w:lineRule="exact"/>
      <w:outlineLvl w:val="3"/>
    </w:pPr>
    <w:rPr>
      <w:rFonts w:cs="宋体"/>
      <w:spacing w:val="8"/>
      <w:sz w:val="28"/>
      <w:szCs w:val="20"/>
    </w:rPr>
  </w:style>
  <w:style w:type="paragraph" w:customStyle="1" w:styleId="423">
    <w:name w:val="Normal I"/>
    <w:basedOn w:val="1"/>
    <w:qFormat/>
    <w:uiPriority w:val="0"/>
    <w:pPr>
      <w:ind w:firstLine="420"/>
    </w:pPr>
    <w:rPr>
      <w:szCs w:val="21"/>
    </w:rPr>
  </w:style>
  <w:style w:type="paragraph" w:customStyle="1" w:styleId="424">
    <w:name w:val="样式 题注 + 段前: 0.5 行"/>
    <w:basedOn w:val="20"/>
    <w:qFormat/>
    <w:uiPriority w:val="0"/>
    <w:pPr>
      <w:keepNext/>
      <w:spacing w:before="120"/>
      <w:ind w:left="560" w:leftChars="200" w:firstLine="0" w:firstLineChars="0"/>
      <w:jc w:val="left"/>
    </w:pPr>
    <w:rPr>
      <w:rFonts w:ascii="Arial" w:hAnsi="Arial"/>
      <w:snapToGrid w:val="0"/>
      <w:sz w:val="21"/>
      <w:szCs w:val="20"/>
    </w:rPr>
  </w:style>
  <w:style w:type="paragraph" w:customStyle="1" w:styleId="425">
    <w:name w:val="样式 正文缩进正文（首行缩进两字） Char正文（首行缩进两字） Char Chars4正文缩进 Chars4 Cha...1"/>
    <w:basedOn w:val="19"/>
    <w:qFormat/>
    <w:uiPriority w:val="0"/>
    <w:pPr>
      <w:ind w:firstLine="200"/>
    </w:pPr>
    <w:rPr>
      <w:rFonts w:cs="宋体"/>
      <w:szCs w:val="20"/>
    </w:rPr>
  </w:style>
  <w:style w:type="paragraph" w:customStyle="1" w:styleId="426">
    <w:name w:val="表文字"/>
    <w:basedOn w:val="1"/>
    <w:link w:val="427"/>
    <w:qFormat/>
    <w:uiPriority w:val="0"/>
    <w:pPr>
      <w:spacing w:line="360" w:lineRule="exact"/>
      <w:jc w:val="center"/>
    </w:pPr>
    <w:rPr>
      <w:rFonts w:ascii="Arial" w:hAnsi="Arial"/>
      <w:szCs w:val="24"/>
    </w:rPr>
  </w:style>
  <w:style w:type="character" w:customStyle="1" w:styleId="427">
    <w:name w:val="表文字 Char1"/>
    <w:link w:val="426"/>
    <w:qFormat/>
    <w:uiPriority w:val="0"/>
    <w:rPr>
      <w:rFonts w:ascii="Arial" w:hAnsi="Arial"/>
      <w:kern w:val="2"/>
      <w:sz w:val="21"/>
      <w:szCs w:val="24"/>
    </w:rPr>
  </w:style>
  <w:style w:type="paragraph" w:customStyle="1" w:styleId="428">
    <w:name w:val="Char Char Char1 Char"/>
    <w:basedOn w:val="1"/>
    <w:qFormat/>
    <w:uiPriority w:val="0"/>
    <w:rPr>
      <w:szCs w:val="20"/>
    </w:rPr>
  </w:style>
  <w:style w:type="paragraph" w:customStyle="1" w:styleId="429">
    <w:name w:val="样式 标题 3 + 首行缩进:  2 字符"/>
    <w:basedOn w:val="5"/>
    <w:qFormat/>
    <w:uiPriority w:val="0"/>
    <w:pPr>
      <w:keepNext w:val="0"/>
      <w:keepLines w:val="0"/>
      <w:spacing w:before="156" w:beforeLines="50" w:after="0"/>
    </w:pPr>
    <w:rPr>
      <w:rFonts w:ascii="黑体" w:hAnsi="宋体" w:cs="宋体"/>
      <w:b w:val="0"/>
      <w:kern w:val="0"/>
    </w:rPr>
  </w:style>
  <w:style w:type="paragraph" w:customStyle="1" w:styleId="430">
    <w:name w:val="Char4 Char Char Char Char Char Char1"/>
    <w:basedOn w:val="1"/>
    <w:qFormat/>
    <w:uiPriority w:val="0"/>
    <w:pPr>
      <w:keepNext/>
      <w:spacing w:before="312" w:beforeLines="100"/>
      <w:ind w:firstLine="420"/>
      <w:outlineLvl w:val="1"/>
    </w:pPr>
    <w:rPr>
      <w:rFonts w:eastAsia="黑体" w:cs="宋体"/>
      <w:sz w:val="32"/>
      <w:szCs w:val="32"/>
    </w:rPr>
  </w:style>
  <w:style w:type="paragraph" w:customStyle="1" w:styleId="431">
    <w:name w:val="unnamed1"/>
    <w:basedOn w:val="1"/>
    <w:qFormat/>
    <w:uiPriority w:val="0"/>
    <w:pPr>
      <w:spacing w:before="100" w:beforeAutospacing="1" w:after="100" w:afterAutospacing="1" w:line="285" w:lineRule="atLeast"/>
    </w:pPr>
    <w:rPr>
      <w:rFonts w:ascii="宋体" w:hAnsi="宋体" w:cs="宋体"/>
      <w:color w:val="CC6633"/>
      <w:kern w:val="0"/>
      <w:sz w:val="18"/>
      <w:szCs w:val="18"/>
    </w:rPr>
  </w:style>
  <w:style w:type="paragraph" w:customStyle="1" w:styleId="432">
    <w:name w:val="标题 3.tx"/>
    <w:basedOn w:val="5"/>
    <w:qFormat/>
    <w:uiPriority w:val="0"/>
    <w:pPr>
      <w:spacing w:before="120" w:after="120" w:line="520" w:lineRule="exact"/>
    </w:pPr>
    <w:rPr>
      <w:rFonts w:cs="宋体"/>
      <w:spacing w:val="8"/>
      <w:szCs w:val="20"/>
    </w:rPr>
  </w:style>
  <w:style w:type="paragraph" w:customStyle="1" w:styleId="433">
    <w:name w:val="样式 标题 3条标题1.1.1条标题BSH-3W3 + 非加粗 段前: 0.5 行 段后: 0.5 行 行距: 单..."/>
    <w:basedOn w:val="5"/>
    <w:qFormat/>
    <w:uiPriority w:val="0"/>
    <w:pPr>
      <w:keepNext w:val="0"/>
      <w:keepLines w:val="0"/>
      <w:spacing w:before="156" w:after="156"/>
    </w:pPr>
    <w:rPr>
      <w:rFonts w:ascii="宋体" w:hAnsi="宋体" w:cs="宋体"/>
      <w:bCs w:val="0"/>
      <w:snapToGrid w:val="0"/>
      <w:color w:val="000000"/>
      <w:kern w:val="0"/>
      <w:sz w:val="24"/>
      <w:szCs w:val="24"/>
    </w:rPr>
  </w:style>
  <w:style w:type="paragraph" w:customStyle="1" w:styleId="434">
    <w:name w:val="样式 表格 + 左侧:  0.98 厘米"/>
    <w:basedOn w:val="1"/>
    <w:qFormat/>
    <w:uiPriority w:val="0"/>
    <w:pPr>
      <w:spacing w:before="100" w:beforeAutospacing="1" w:after="100" w:afterAutospacing="1" w:line="300" w:lineRule="auto"/>
    </w:pPr>
    <w:rPr>
      <w:rFonts w:ascii="Arial" w:hAnsi="Arial"/>
      <w:snapToGrid w:val="0"/>
      <w:kern w:val="0"/>
      <w:szCs w:val="20"/>
    </w:rPr>
  </w:style>
  <w:style w:type="paragraph" w:customStyle="1" w:styleId="435">
    <w:name w:val="font7"/>
    <w:basedOn w:val="1"/>
    <w:qFormat/>
    <w:uiPriority w:val="0"/>
    <w:pPr>
      <w:spacing w:before="100" w:beforeAutospacing="1" w:after="100" w:afterAutospacing="1"/>
    </w:pPr>
    <w:rPr>
      <w:kern w:val="0"/>
      <w:sz w:val="18"/>
      <w:szCs w:val="18"/>
    </w:rPr>
  </w:style>
  <w:style w:type="paragraph" w:customStyle="1" w:styleId="43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37">
    <w:name w:val="样式 样式 标题 3 + 首行缩进:  2 字符 + 首行缩进:  0.85 厘米"/>
    <w:basedOn w:val="429"/>
    <w:qFormat/>
    <w:uiPriority w:val="0"/>
  </w:style>
  <w:style w:type="paragraph" w:customStyle="1" w:styleId="438">
    <w:name w:val="表格文字2"/>
    <w:basedOn w:val="1"/>
    <w:qFormat/>
    <w:uiPriority w:val="0"/>
    <w:pPr>
      <w:spacing w:before="60"/>
      <w:ind w:firstLine="480"/>
      <w:textAlignment w:val="baseline"/>
    </w:pPr>
    <w:rPr>
      <w:szCs w:val="20"/>
    </w:rPr>
  </w:style>
  <w:style w:type="paragraph" w:customStyle="1" w:styleId="439">
    <w:name w:val="Char Char1 Char Char Char Char Char Char"/>
    <w:basedOn w:val="1"/>
    <w:qFormat/>
    <w:uiPriority w:val="0"/>
    <w:pPr>
      <w:spacing w:beforeLines="25" w:afterLines="25" w:line="240" w:lineRule="exact"/>
      <w:ind w:firstLine="560" w:firstLineChars="192"/>
    </w:pPr>
    <w:rPr>
      <w:rFonts w:ascii="宋体" w:hAnsi="宋体"/>
      <w:kern w:val="0"/>
      <w:sz w:val="28"/>
      <w:szCs w:val="28"/>
      <w:lang w:eastAsia="en-US"/>
    </w:rPr>
  </w:style>
  <w:style w:type="paragraph" w:customStyle="1" w:styleId="440">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339966"/>
      <w:kern w:val="0"/>
      <w:sz w:val="18"/>
      <w:szCs w:val="18"/>
    </w:rPr>
  </w:style>
  <w:style w:type="paragraph" w:customStyle="1" w:styleId="441">
    <w:name w:val="xl41"/>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color w:val="000080"/>
      <w:kern w:val="0"/>
      <w:sz w:val="18"/>
      <w:szCs w:val="18"/>
    </w:rPr>
  </w:style>
  <w:style w:type="paragraph" w:customStyle="1" w:styleId="442">
    <w:name w:val="样式 样式1 + 段前: 0.5 行"/>
    <w:basedOn w:val="3"/>
    <w:qFormat/>
    <w:uiPriority w:val="0"/>
    <w:pPr>
      <w:tabs>
        <w:tab w:val="left" w:pos="425"/>
      </w:tabs>
      <w:spacing w:before="100" w:beforeAutospacing="1" w:after="0" w:line="240" w:lineRule="auto"/>
      <w:ind w:left="425" w:hanging="425"/>
    </w:pPr>
    <w:rPr>
      <w:rFonts w:cs="宋体"/>
      <w:sz w:val="24"/>
      <w:szCs w:val="20"/>
    </w:rPr>
  </w:style>
  <w:style w:type="paragraph" w:customStyle="1" w:styleId="443">
    <w:name w:val="Char Char Char Char Char Char Char Char Char Char Char Char Char"/>
    <w:basedOn w:val="1"/>
    <w:qFormat/>
    <w:uiPriority w:val="0"/>
    <w:pPr>
      <w:ind w:firstLine="200"/>
    </w:pPr>
    <w:rPr>
      <w:rFonts w:ascii="宋体" w:hAnsi="宋体" w:eastAsia="仿宋_GB2312" w:cs="宋体"/>
      <w:kern w:val="0"/>
      <w:szCs w:val="24"/>
    </w:rPr>
  </w:style>
  <w:style w:type="paragraph" w:customStyle="1" w:styleId="444">
    <w:name w:val="样式 样式 段前: 0.5 行 段后: 0.5 行 + 首行缩进:  2 字符 段前: 0.5 行 段后: 0.5 行"/>
    <w:basedOn w:val="1"/>
    <w:next w:val="1"/>
    <w:qFormat/>
    <w:uiPriority w:val="0"/>
    <w:pPr>
      <w:tabs>
        <w:tab w:val="left" w:pos="1060"/>
      </w:tabs>
      <w:ind w:firstLine="560"/>
    </w:pPr>
    <w:rPr>
      <w:rFonts w:ascii="仿宋_GB2312" w:hAnsi="宋体" w:eastAsia="仿宋_GB2312"/>
      <w:bCs/>
      <w:sz w:val="28"/>
      <w:szCs w:val="28"/>
    </w:rPr>
  </w:style>
  <w:style w:type="paragraph" w:customStyle="1" w:styleId="445">
    <w:name w:val="xl58"/>
    <w:basedOn w:val="1"/>
    <w:qFormat/>
    <w:uiPriority w:val="0"/>
    <w:pPr>
      <w:pBdr>
        <w:bottom w:val="single" w:color="auto" w:sz="12" w:space="0"/>
        <w:right w:val="double" w:color="auto" w:sz="6" w:space="0"/>
      </w:pBdr>
      <w:spacing w:before="100" w:beforeAutospacing="1" w:after="100" w:afterAutospacing="1"/>
      <w:jc w:val="center"/>
    </w:pPr>
    <w:rPr>
      <w:kern w:val="0"/>
      <w:szCs w:val="21"/>
    </w:rPr>
  </w:style>
  <w:style w:type="paragraph" w:customStyle="1" w:styleId="446">
    <w:name w:val="Char Char Char Char"/>
    <w:basedOn w:val="1"/>
    <w:qFormat/>
    <w:uiPriority w:val="0"/>
    <w:pPr>
      <w:numPr>
        <w:ilvl w:val="3"/>
        <w:numId w:val="3"/>
      </w:numPr>
    </w:pPr>
    <w:rPr>
      <w:szCs w:val="24"/>
    </w:rPr>
  </w:style>
  <w:style w:type="paragraph" w:customStyle="1" w:styleId="447">
    <w:name w:val="样式7"/>
    <w:basedOn w:val="9"/>
    <w:qFormat/>
    <w:uiPriority w:val="0"/>
    <w:pPr>
      <w:tabs>
        <w:tab w:val="left" w:pos="1040"/>
      </w:tabs>
      <w:spacing w:before="0" w:after="0" w:line="360" w:lineRule="auto"/>
      <w:ind w:left="851" w:hanging="171"/>
    </w:pPr>
    <w:rPr>
      <w:rFonts w:ascii="宋体"/>
      <w:bCs w:val="0"/>
      <w:snapToGrid w:val="0"/>
      <w:kern w:val="0"/>
      <w:szCs w:val="20"/>
    </w:rPr>
  </w:style>
  <w:style w:type="paragraph" w:customStyle="1" w:styleId="448">
    <w:name w:val="5"/>
    <w:basedOn w:val="1"/>
    <w:next w:val="1"/>
    <w:qFormat/>
    <w:uiPriority w:val="0"/>
    <w:pPr>
      <w:spacing w:line="360" w:lineRule="atLeast"/>
      <w:ind w:firstLine="420"/>
      <w:textAlignment w:val="baseline"/>
    </w:pPr>
    <w:rPr>
      <w:kern w:val="0"/>
      <w:szCs w:val="20"/>
    </w:rPr>
  </w:style>
  <w:style w:type="paragraph" w:customStyle="1" w:styleId="449">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18"/>
      <w:szCs w:val="18"/>
    </w:rPr>
  </w:style>
  <w:style w:type="paragraph" w:customStyle="1" w:styleId="450">
    <w:name w:val="temp"/>
    <w:basedOn w:val="1"/>
    <w:qFormat/>
    <w:uiPriority w:val="0"/>
    <w:pPr>
      <w:spacing w:line="460" w:lineRule="exact"/>
      <w:textAlignment w:val="baseline"/>
    </w:pPr>
    <w:rPr>
      <w:kern w:val="0"/>
      <w:szCs w:val="20"/>
    </w:rPr>
  </w:style>
  <w:style w:type="paragraph" w:customStyle="1" w:styleId="451">
    <w:name w:val="附录章标题"/>
    <w:next w:val="5"/>
    <w:qFormat/>
    <w:uiPriority w:val="0"/>
    <w:p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452">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339966"/>
      <w:kern w:val="0"/>
      <w:sz w:val="18"/>
      <w:szCs w:val="18"/>
    </w:rPr>
  </w:style>
  <w:style w:type="paragraph" w:customStyle="1" w:styleId="453">
    <w:name w:val="样式 样式 正文缩进 + 行距: 1.5 倍行距 + 首行缩进:  2 字符"/>
    <w:basedOn w:val="1"/>
    <w:qFormat/>
    <w:uiPriority w:val="0"/>
    <w:pPr>
      <w:ind w:firstLine="200"/>
    </w:pPr>
    <w:rPr>
      <w:kern w:val="0"/>
      <w:sz w:val="28"/>
      <w:szCs w:val="20"/>
    </w:rPr>
  </w:style>
  <w:style w:type="paragraph" w:customStyle="1" w:styleId="454">
    <w:name w:val="样式 正文缩进s4 + 首行缩进:  2 字符"/>
    <w:basedOn w:val="19"/>
    <w:qFormat/>
    <w:uiPriority w:val="0"/>
    <w:pPr>
      <w:ind w:firstLine="560"/>
    </w:pPr>
    <w:rPr>
      <w:szCs w:val="20"/>
    </w:rPr>
  </w:style>
  <w:style w:type="paragraph" w:customStyle="1" w:styleId="455">
    <w:name w:val="样式9"/>
    <w:basedOn w:val="5"/>
    <w:qFormat/>
    <w:uiPriority w:val="0"/>
    <w:pPr>
      <w:keepNext w:val="0"/>
      <w:keepLines w:val="0"/>
      <w:spacing w:before="0" w:after="0"/>
    </w:pPr>
    <w:rPr>
      <w:rFonts w:ascii="宋体" w:hAnsi="宋体"/>
      <w:bCs w:val="0"/>
      <w:snapToGrid w:val="0"/>
      <w:color w:val="000000"/>
      <w:kern w:val="0"/>
      <w:sz w:val="24"/>
      <w:szCs w:val="24"/>
    </w:rPr>
  </w:style>
  <w:style w:type="paragraph" w:customStyle="1" w:styleId="456">
    <w:name w:val="xl59"/>
    <w:basedOn w:val="1"/>
    <w:qFormat/>
    <w:uiPriority w:val="0"/>
    <w:pPr>
      <w:pBdr>
        <w:bottom w:val="single" w:color="auto" w:sz="8" w:space="0"/>
        <w:right w:val="double" w:color="auto" w:sz="6" w:space="0"/>
      </w:pBdr>
      <w:spacing w:before="100" w:beforeAutospacing="1" w:after="100" w:afterAutospacing="1"/>
      <w:jc w:val="center"/>
    </w:pPr>
    <w:rPr>
      <w:kern w:val="0"/>
      <w:szCs w:val="21"/>
    </w:rPr>
  </w:style>
  <w:style w:type="paragraph" w:customStyle="1" w:styleId="457">
    <w:name w:val="Char8"/>
    <w:basedOn w:val="1"/>
    <w:qFormat/>
    <w:uiPriority w:val="0"/>
    <w:pPr>
      <w:ind w:firstLine="200"/>
    </w:pPr>
    <w:rPr>
      <w:rFonts w:ascii="宋体" w:hAnsi="宋体" w:cs="宋体"/>
      <w:szCs w:val="24"/>
    </w:rPr>
  </w:style>
  <w:style w:type="paragraph" w:customStyle="1" w:styleId="458">
    <w:name w:val="修订1"/>
    <w:qFormat/>
    <w:uiPriority w:val="99"/>
    <w:rPr>
      <w:rFonts w:ascii="Times New Roman" w:hAnsi="Times New Roman" w:eastAsia="宋体" w:cs="Times New Roman"/>
      <w:kern w:val="2"/>
      <w:sz w:val="21"/>
      <w:szCs w:val="24"/>
      <w:lang w:val="en-US" w:eastAsia="zh-CN" w:bidi="ar-SA"/>
    </w:rPr>
  </w:style>
  <w:style w:type="paragraph" w:customStyle="1" w:styleId="459">
    <w:name w:val="xl62"/>
    <w:basedOn w:val="1"/>
    <w:qFormat/>
    <w:uiPriority w:val="0"/>
    <w:pPr>
      <w:pBdr>
        <w:bottom w:val="single" w:color="auto" w:sz="8" w:space="0"/>
        <w:right w:val="single" w:color="auto" w:sz="12" w:space="0"/>
      </w:pBdr>
      <w:spacing w:before="100" w:beforeAutospacing="1" w:after="100" w:afterAutospacing="1"/>
      <w:jc w:val="center"/>
    </w:pPr>
    <w:rPr>
      <w:color w:val="333399"/>
      <w:kern w:val="0"/>
      <w:szCs w:val="21"/>
    </w:rPr>
  </w:style>
  <w:style w:type="paragraph" w:customStyle="1" w:styleId="460">
    <w:name w:val="表正文中对齐"/>
    <w:basedOn w:val="1"/>
    <w:qFormat/>
    <w:uiPriority w:val="0"/>
    <w:pPr>
      <w:jc w:val="center"/>
    </w:pPr>
    <w:rPr>
      <w:rFonts w:ascii="宋体" w:hAnsi="宋体"/>
      <w:bCs/>
      <w:sz w:val="28"/>
      <w:szCs w:val="28"/>
    </w:rPr>
  </w:style>
  <w:style w:type="paragraph" w:customStyle="1" w:styleId="461">
    <w:name w:val="样式 标题 2标题 1.1节标题节标题 1.1标题 yjm2第一章 标题 2Heading 2 HiddenHea..."/>
    <w:basedOn w:val="4"/>
    <w:qFormat/>
    <w:uiPriority w:val="0"/>
    <w:pPr>
      <w:keepNext w:val="0"/>
      <w:keepLines w:val="0"/>
      <w:spacing w:before="156" w:beforeLines="50"/>
    </w:pPr>
    <w:rPr>
      <w:rFonts w:ascii="宋体" w:hAnsi="宋体" w:cs="宋体"/>
      <w:bCs w:val="0"/>
      <w:szCs w:val="30"/>
    </w:rPr>
  </w:style>
  <w:style w:type="paragraph" w:customStyle="1" w:styleId="462">
    <w:name w:val="样式 标题 2节标题 1.11.1标题2b2标题2标题 1.1节标题W21.1标题 2h2l22nd le..."/>
    <w:basedOn w:val="4"/>
    <w:qFormat/>
    <w:uiPriority w:val="0"/>
    <w:pPr>
      <w:keepNext w:val="0"/>
      <w:tabs>
        <w:tab w:val="left" w:pos="576"/>
      </w:tabs>
    </w:pPr>
    <w:rPr>
      <w:rFonts w:ascii="黑体" w:hAnsi="宋体" w:cs="宋体"/>
      <w:b w:val="0"/>
      <w:kern w:val="0"/>
      <w:szCs w:val="30"/>
    </w:rPr>
  </w:style>
  <w:style w:type="paragraph" w:customStyle="1" w:styleId="463">
    <w:name w:val="样式 样式 样式 正文缩进s4 + 首行缩进:  2 字符 + 首行缩进:  2 字符 +"/>
    <w:basedOn w:val="464"/>
    <w:qFormat/>
    <w:uiPriority w:val="0"/>
    <w:pPr>
      <w:spacing w:line="490" w:lineRule="exact"/>
      <w:ind w:left="0" w:leftChars="0" w:firstLine="538" w:firstLineChars="192"/>
    </w:pPr>
    <w:rPr>
      <w:rFonts w:eastAsia="仿宋_GB2312"/>
      <w:kern w:val="0"/>
      <w:szCs w:val="28"/>
    </w:rPr>
  </w:style>
  <w:style w:type="paragraph" w:customStyle="1" w:styleId="464">
    <w:name w:val="样式 样式 正文缩进s4 + 首行缩进:  2 字符 + 首行缩进:  2 字符"/>
    <w:basedOn w:val="1"/>
    <w:qFormat/>
    <w:uiPriority w:val="0"/>
    <w:pPr>
      <w:ind w:left="-416" w:leftChars="-198" w:firstLine="1960" w:firstLineChars="700"/>
    </w:pPr>
    <w:rPr>
      <w:rFonts w:ascii="宋体" w:hAnsi="宋体"/>
      <w:color w:val="000000"/>
      <w:sz w:val="28"/>
      <w:szCs w:val="20"/>
    </w:rPr>
  </w:style>
  <w:style w:type="paragraph" w:customStyle="1" w:styleId="465">
    <w:name w:val="Char4 Char Char Char Char Char Char"/>
    <w:basedOn w:val="1"/>
    <w:qFormat/>
    <w:uiPriority w:val="0"/>
    <w:rPr>
      <w:rFonts w:ascii="宋体" w:hAnsi="宋体" w:cs="宋体"/>
      <w:szCs w:val="24"/>
    </w:rPr>
  </w:style>
  <w:style w:type="paragraph" w:customStyle="1" w:styleId="466">
    <w:name w:val="表中1"/>
    <w:basedOn w:val="394"/>
    <w:qFormat/>
    <w:uiPriority w:val="0"/>
    <w:pPr>
      <w:spacing w:line="360" w:lineRule="atLeast"/>
    </w:pPr>
    <w:rPr>
      <w:rFonts w:ascii="宋体" w:hAnsi="宋体" w:cs="宋体"/>
      <w:snapToGrid w:val="0"/>
      <w:color w:val="auto"/>
      <w:kern w:val="0"/>
      <w:szCs w:val="21"/>
    </w:rPr>
  </w:style>
  <w:style w:type="paragraph" w:customStyle="1" w:styleId="467">
    <w:name w:val="Char1 Char Char Char Char Char Char Char Char Char1"/>
    <w:basedOn w:val="1"/>
    <w:qFormat/>
    <w:uiPriority w:val="0"/>
    <w:rPr>
      <w:rFonts w:ascii="宋体" w:hAnsi="宋体" w:cs="宋体"/>
      <w:szCs w:val="24"/>
    </w:rPr>
  </w:style>
  <w:style w:type="paragraph" w:customStyle="1" w:styleId="468">
    <w:name w:val="Char6"/>
    <w:basedOn w:val="1"/>
    <w:qFormat/>
    <w:uiPriority w:val="0"/>
    <w:pPr>
      <w:ind w:firstLine="200"/>
    </w:pPr>
    <w:rPr>
      <w:rFonts w:ascii="宋体" w:hAnsi="宋体" w:cs="宋体"/>
      <w:szCs w:val="24"/>
    </w:rPr>
  </w:style>
  <w:style w:type="paragraph" w:customStyle="1" w:styleId="469">
    <w:name w:val="样式 标题 3条标题1.1.13h33rd levelH3l3CT1.1.1段物探标题3 Char Char..."/>
    <w:basedOn w:val="5"/>
    <w:qFormat/>
    <w:uiPriority w:val="0"/>
    <w:pPr>
      <w:keepNext w:val="0"/>
      <w:keepLines w:val="0"/>
      <w:numPr>
        <w:ilvl w:val="0"/>
        <w:numId w:val="0"/>
      </w:numPr>
      <w:spacing w:before="156" w:beforeLines="50" w:after="0"/>
    </w:pPr>
    <w:rPr>
      <w:rFonts w:ascii="Arial" w:hAnsi="Arial"/>
      <w:bCs w:val="0"/>
      <w:color w:val="FF6600"/>
      <w:sz w:val="30"/>
      <w:szCs w:val="30"/>
    </w:rPr>
  </w:style>
  <w:style w:type="paragraph" w:customStyle="1" w:styleId="470">
    <w:name w:val="Char Char Char Char Char Char"/>
    <w:basedOn w:val="1"/>
    <w:qFormat/>
    <w:uiPriority w:val="0"/>
    <w:pPr>
      <w:spacing w:after="160" w:line="240" w:lineRule="exact"/>
    </w:pPr>
    <w:rPr>
      <w:rFonts w:ascii="Verdana" w:hAnsi="Verdana" w:eastAsia="仿宋_GB2312"/>
      <w:b/>
      <w:kern w:val="0"/>
      <w:sz w:val="28"/>
      <w:szCs w:val="30"/>
      <w:lang w:eastAsia="en-US"/>
    </w:rPr>
  </w:style>
  <w:style w:type="paragraph" w:customStyle="1" w:styleId="471">
    <w:name w:val="font11"/>
    <w:basedOn w:val="1"/>
    <w:qFormat/>
    <w:uiPriority w:val="0"/>
    <w:pPr>
      <w:spacing w:before="100" w:beforeAutospacing="1" w:after="100" w:afterAutospacing="1"/>
    </w:pPr>
    <w:rPr>
      <w:color w:val="800000"/>
      <w:kern w:val="0"/>
      <w:szCs w:val="21"/>
    </w:rPr>
  </w:style>
  <w:style w:type="paragraph" w:customStyle="1" w:styleId="472">
    <w:name w:val="xl83"/>
    <w:basedOn w:val="1"/>
    <w:qFormat/>
    <w:uiPriority w:val="0"/>
    <w:pPr>
      <w:pBdr>
        <w:top w:val="single" w:color="auto" w:sz="8" w:space="0"/>
        <w:bottom w:val="single" w:color="auto" w:sz="8" w:space="0"/>
        <w:right w:val="single" w:color="auto" w:sz="8" w:space="0"/>
      </w:pBdr>
      <w:spacing w:before="100" w:beforeAutospacing="1" w:after="100" w:afterAutospacing="1"/>
      <w:jc w:val="center"/>
    </w:pPr>
    <w:rPr>
      <w:rFonts w:ascii="Arial" w:hAnsi="Arial" w:cs="Arial"/>
      <w:b/>
      <w:bCs/>
      <w:color w:val="993366"/>
      <w:kern w:val="0"/>
      <w:sz w:val="18"/>
      <w:szCs w:val="18"/>
    </w:rPr>
  </w:style>
  <w:style w:type="paragraph" w:customStyle="1" w:styleId="473">
    <w:name w:val="默认段落字体 Para Char"/>
    <w:basedOn w:val="1"/>
    <w:qFormat/>
    <w:uiPriority w:val="0"/>
    <w:rPr>
      <w:rFonts w:ascii="Tahoma" w:hAnsi="Tahoma"/>
      <w:szCs w:val="20"/>
    </w:rPr>
  </w:style>
  <w:style w:type="paragraph" w:customStyle="1" w:styleId="474">
    <w:name w:val="Char Char Char Char1 Char Char"/>
    <w:basedOn w:val="1"/>
    <w:qFormat/>
    <w:uiPriority w:val="0"/>
    <w:pPr>
      <w:ind w:firstLine="200"/>
    </w:pPr>
    <w:rPr>
      <w:rFonts w:ascii="宋体" w:hAnsi="宋体" w:cs="宋体"/>
      <w:szCs w:val="24"/>
    </w:rPr>
  </w:style>
  <w:style w:type="paragraph" w:customStyle="1" w:styleId="475">
    <w:name w:val="表小四中"/>
    <w:basedOn w:val="1"/>
    <w:qFormat/>
    <w:uiPriority w:val="0"/>
    <w:pPr>
      <w:tabs>
        <w:tab w:val="left" w:pos="580"/>
      </w:tabs>
      <w:jc w:val="center"/>
    </w:pPr>
    <w:rPr>
      <w:bCs/>
      <w:szCs w:val="24"/>
    </w:rPr>
  </w:style>
  <w:style w:type="paragraph" w:customStyle="1" w:styleId="476">
    <w:name w:val="样式 标题 1 + 宋体 20 磅 非加粗 居中 段前: 35 磅 段后: 18 磅 行距: 固定值 26.5 磅"/>
    <w:basedOn w:val="3"/>
    <w:qFormat/>
    <w:uiPriority w:val="0"/>
    <w:pPr>
      <w:pageBreakBefore/>
      <w:tabs>
        <w:tab w:val="left" w:pos="435"/>
        <w:tab w:val="left" w:pos="600"/>
        <w:tab w:val="left" w:pos="1060"/>
      </w:tabs>
      <w:overflowPunct w:val="0"/>
      <w:topLinePunct/>
      <w:spacing w:before="360" w:beforeLines="50" w:after="360" w:afterLines="50" w:line="520" w:lineRule="exact"/>
      <w:ind w:left="435" w:hanging="435"/>
      <w:textAlignment w:val="center"/>
    </w:pPr>
    <w:rPr>
      <w:rFonts w:ascii="黑体" w:hAnsi="Arial" w:cs="宋体"/>
      <w:color w:val="000000"/>
      <w:kern w:val="0"/>
      <w:szCs w:val="32"/>
    </w:rPr>
  </w:style>
  <w:style w:type="paragraph" w:customStyle="1" w:styleId="477">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478">
    <w:name w:val="样式 题注 + (西文) Times New Roman (中文) 宋体 五号 段前: 0 磅 段后: 0 磅 行距:...1"/>
    <w:basedOn w:val="20"/>
    <w:qFormat/>
    <w:uiPriority w:val="0"/>
    <w:pPr>
      <w:widowControl/>
      <w:spacing w:line="490" w:lineRule="exact"/>
      <w:ind w:firstLine="0" w:firstLineChars="0"/>
    </w:pPr>
    <w:rPr>
      <w:rFonts w:cs="宋体"/>
      <w:b w:val="0"/>
      <w:color w:val="000000"/>
      <w:sz w:val="21"/>
      <w:szCs w:val="21"/>
    </w:rPr>
  </w:style>
  <w:style w:type="paragraph" w:customStyle="1" w:styleId="479">
    <w:name w:val="p0"/>
    <w:basedOn w:val="1"/>
    <w:qFormat/>
    <w:uiPriority w:val="0"/>
    <w:pPr>
      <w:spacing w:line="240" w:lineRule="atLeast"/>
    </w:pPr>
    <w:rPr>
      <w:rFonts w:eastAsia="仿宋_GB2312"/>
      <w:kern w:val="0"/>
      <w:sz w:val="32"/>
      <w:szCs w:val="20"/>
    </w:rPr>
  </w:style>
  <w:style w:type="paragraph" w:customStyle="1" w:styleId="480">
    <w:name w:val="Char Char Char Char Char Char Char"/>
    <w:basedOn w:val="1"/>
    <w:qFormat/>
    <w:uiPriority w:val="0"/>
    <w:rPr>
      <w:szCs w:val="24"/>
    </w:rPr>
  </w:style>
  <w:style w:type="paragraph" w:customStyle="1" w:styleId="481">
    <w:name w:val="样式 标题 2标题 1.1节标题节标题 1.1标题 yjm2第一章 标题 2Heading 2 HiddenHea...1"/>
    <w:basedOn w:val="4"/>
    <w:qFormat/>
    <w:uiPriority w:val="0"/>
    <w:pPr>
      <w:keepLines w:val="0"/>
      <w:numPr>
        <w:ilvl w:val="0"/>
        <w:numId w:val="0"/>
      </w:numPr>
      <w:spacing w:before="156" w:beforeLines="50"/>
    </w:pPr>
    <w:rPr>
      <w:rFonts w:ascii="Arial" w:hAnsi="Arial" w:eastAsia="黑体" w:cs="宋体"/>
      <w:b w:val="0"/>
      <w:bCs w:val="0"/>
      <w:szCs w:val="20"/>
    </w:rPr>
  </w:style>
  <w:style w:type="paragraph" w:customStyle="1" w:styleId="482">
    <w:name w:val="Char Char Char Char Char Char Char Char Char Char Char Char Char Char Char Char Char Char"/>
    <w:basedOn w:val="1"/>
    <w:qFormat/>
    <w:uiPriority w:val="0"/>
    <w:rPr>
      <w:szCs w:val="24"/>
    </w:rPr>
  </w:style>
  <w:style w:type="paragraph" w:customStyle="1" w:styleId="483">
    <w:name w:val="xl73"/>
    <w:basedOn w:val="1"/>
    <w:qFormat/>
    <w:uiPriority w:val="0"/>
    <w:pPr>
      <w:pBdr>
        <w:bottom w:val="single" w:color="auto" w:sz="8" w:space="0"/>
        <w:right w:val="single" w:color="auto" w:sz="8" w:space="0"/>
      </w:pBdr>
      <w:shd w:val="clear" w:color="000000" w:fill="00FFFF"/>
      <w:spacing w:before="100" w:beforeAutospacing="1" w:after="100" w:afterAutospacing="1"/>
      <w:jc w:val="center"/>
    </w:pPr>
    <w:rPr>
      <w:color w:val="000000"/>
      <w:kern w:val="0"/>
      <w:sz w:val="18"/>
      <w:szCs w:val="18"/>
    </w:rPr>
  </w:style>
  <w:style w:type="paragraph" w:customStyle="1" w:styleId="484">
    <w:name w:val="bg正文"/>
    <w:basedOn w:val="1"/>
    <w:qFormat/>
    <w:uiPriority w:val="0"/>
    <w:pPr>
      <w:ind w:firstLine="200"/>
    </w:pPr>
    <w:rPr>
      <w:rFonts w:ascii="宋体" w:hAnsi="宋体"/>
      <w:szCs w:val="20"/>
    </w:rPr>
  </w:style>
  <w:style w:type="paragraph" w:customStyle="1" w:styleId="485">
    <w:name w:val="样式 正文文本 + 左侧:  0.98 厘米"/>
    <w:basedOn w:val="31"/>
    <w:qFormat/>
    <w:uiPriority w:val="0"/>
    <w:pPr>
      <w:tabs>
        <w:tab w:val="left" w:pos="3720"/>
      </w:tabs>
      <w:autoSpaceDE w:val="0"/>
      <w:autoSpaceDN w:val="0"/>
      <w:spacing w:after="0"/>
      <w:ind w:firstLine="200"/>
      <w:textAlignment w:val="bottom"/>
    </w:pPr>
    <w:rPr>
      <w:rFonts w:ascii="仿宋_GB2312" w:eastAsia="仿宋_GB2312"/>
      <w:kern w:val="0"/>
      <w:sz w:val="28"/>
      <w:szCs w:val="20"/>
    </w:rPr>
  </w:style>
  <w:style w:type="paragraph" w:customStyle="1" w:styleId="486">
    <w:name w:val="xl55"/>
    <w:basedOn w:val="1"/>
    <w:qFormat/>
    <w:uiPriority w:val="0"/>
    <w:pPr>
      <w:spacing w:before="100" w:beforeAutospacing="1" w:after="100" w:afterAutospacing="1"/>
      <w:jc w:val="center"/>
    </w:pPr>
    <w:rPr>
      <w:kern w:val="0"/>
      <w:szCs w:val="21"/>
    </w:rPr>
  </w:style>
  <w:style w:type="paragraph" w:customStyle="1" w:styleId="487">
    <w:name w:val="表文"/>
    <w:basedOn w:val="1"/>
    <w:qFormat/>
    <w:uiPriority w:val="0"/>
    <w:pPr>
      <w:overflowPunct w:val="0"/>
      <w:jc w:val="center"/>
      <w:textAlignment w:val="baseline"/>
    </w:pPr>
    <w:rPr>
      <w:szCs w:val="20"/>
    </w:rPr>
  </w:style>
  <w:style w:type="paragraph" w:customStyle="1" w:styleId="488">
    <w:name w:val="样式 正文缩进s4标题4 + 左侧:  0.98 厘米 首行缩进:  2 字符1"/>
    <w:basedOn w:val="19"/>
    <w:qFormat/>
    <w:uiPriority w:val="0"/>
    <w:pPr>
      <w:ind w:firstLine="560"/>
    </w:pPr>
    <w:rPr>
      <w:rFonts w:eastAsia="仿宋_GB2312"/>
      <w:kern w:val="0"/>
      <w:sz w:val="28"/>
      <w:szCs w:val="20"/>
    </w:rPr>
  </w:style>
  <w:style w:type="paragraph" w:customStyle="1" w:styleId="489">
    <w:name w:val="正文1 小四"/>
    <w:basedOn w:val="1"/>
    <w:qFormat/>
    <w:uiPriority w:val="0"/>
    <w:pPr>
      <w:spacing w:line="420" w:lineRule="exact"/>
      <w:ind w:firstLine="200"/>
    </w:pPr>
    <w:rPr>
      <w:szCs w:val="20"/>
    </w:rPr>
  </w:style>
  <w:style w:type="paragraph" w:customStyle="1" w:styleId="490">
    <w:name w:val="xl51"/>
    <w:basedOn w:val="1"/>
    <w:qFormat/>
    <w:uiPriority w:val="0"/>
    <w:pPr>
      <w:pBdr>
        <w:bottom w:val="single" w:color="auto" w:sz="8" w:space="0"/>
        <w:right w:val="single" w:color="auto" w:sz="8" w:space="0"/>
      </w:pBdr>
      <w:spacing w:before="100" w:beforeAutospacing="1" w:after="100" w:afterAutospacing="1"/>
    </w:pPr>
    <w:rPr>
      <w:rFonts w:ascii="宋体" w:hAnsi="宋体" w:cs="宋体"/>
      <w:kern w:val="0"/>
      <w:szCs w:val="21"/>
    </w:rPr>
  </w:style>
  <w:style w:type="paragraph" w:customStyle="1" w:styleId="491">
    <w:name w:val="样式 标题 1 + 宋体 四号 非倾斜 行距: 最小值 28 磅"/>
    <w:basedOn w:val="3"/>
    <w:qFormat/>
    <w:uiPriority w:val="0"/>
    <w:pPr>
      <w:keepNext w:val="0"/>
      <w:keepLines w:val="0"/>
      <w:spacing w:before="0" w:after="0" w:line="560" w:lineRule="atLeast"/>
    </w:pPr>
    <w:rPr>
      <w:rFonts w:ascii="黑体" w:hAnsi="宋体" w:cs="宋体"/>
      <w:bCs w:val="0"/>
      <w:kern w:val="0"/>
      <w:sz w:val="28"/>
      <w:szCs w:val="28"/>
    </w:rPr>
  </w:style>
  <w:style w:type="paragraph" w:customStyle="1" w:styleId="492">
    <w:name w:val="Char Char2 Char Char Char Char"/>
    <w:basedOn w:val="1"/>
    <w:qFormat/>
    <w:uiPriority w:val="0"/>
    <w:rPr>
      <w:rFonts w:ascii="宋体" w:hAnsi="宋体" w:cs="宋体"/>
      <w:szCs w:val="24"/>
    </w:rPr>
  </w:style>
  <w:style w:type="paragraph" w:customStyle="1" w:styleId="493">
    <w:name w:val="仿宋体"/>
    <w:basedOn w:val="1"/>
    <w:qFormat/>
    <w:uiPriority w:val="0"/>
    <w:pPr>
      <w:spacing w:line="844" w:lineRule="atLeast"/>
      <w:ind w:firstLine="419"/>
      <w:textAlignment w:val="baseline"/>
    </w:pPr>
    <w:rPr>
      <w:rFonts w:ascii="宋体" w:hAnsi="宋体" w:eastAsia="仿宋_GB2312" w:cs="宋体"/>
      <w:color w:val="000000"/>
      <w:kern w:val="0"/>
      <w:sz w:val="31"/>
      <w:szCs w:val="20"/>
    </w:rPr>
  </w:style>
  <w:style w:type="paragraph" w:customStyle="1" w:styleId="494">
    <w:name w:val="xl70"/>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color w:val="800000"/>
      <w:kern w:val="0"/>
      <w:szCs w:val="21"/>
    </w:rPr>
  </w:style>
  <w:style w:type="paragraph" w:customStyle="1" w:styleId="495">
    <w:name w:val="表中文字"/>
    <w:basedOn w:val="1"/>
    <w:qFormat/>
    <w:uiPriority w:val="0"/>
    <w:pPr>
      <w:spacing w:line="340" w:lineRule="exact"/>
      <w:jc w:val="center"/>
    </w:pPr>
    <w:rPr>
      <w:rFonts w:ascii="Arial" w:hAnsi="Arial"/>
      <w:kern w:val="0"/>
      <w:szCs w:val="24"/>
      <w:lang w:eastAsia="zh-TW"/>
    </w:rPr>
  </w:style>
  <w:style w:type="paragraph" w:customStyle="1" w:styleId="496">
    <w:name w:val="样式 段落样式 + 小四 字符缩放: 100% 行距: 最小值 22 磅"/>
    <w:basedOn w:val="1"/>
    <w:qFormat/>
    <w:uiPriority w:val="0"/>
    <w:pPr>
      <w:keepNext/>
      <w:spacing w:line="440" w:lineRule="atLeast"/>
      <w:ind w:firstLine="482"/>
      <w:textAlignment w:val="baseline"/>
    </w:pPr>
    <w:rPr>
      <w:kern w:val="32"/>
      <w:sz w:val="28"/>
      <w:szCs w:val="20"/>
    </w:rPr>
  </w:style>
  <w:style w:type="paragraph" w:customStyle="1" w:styleId="497">
    <w:name w:val="正文缩进1"/>
    <w:basedOn w:val="1"/>
    <w:qFormat/>
    <w:uiPriority w:val="0"/>
    <w:pPr>
      <w:ind w:firstLine="420"/>
    </w:pPr>
    <w:rPr>
      <w:rFonts w:eastAsia="仿宋_GB2312"/>
      <w:kern w:val="0"/>
      <w:sz w:val="28"/>
      <w:szCs w:val="20"/>
    </w:rPr>
  </w:style>
  <w:style w:type="paragraph" w:customStyle="1" w:styleId="498">
    <w:name w:val="xl52"/>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color w:val="000000"/>
      <w:kern w:val="0"/>
      <w:szCs w:val="21"/>
    </w:rPr>
  </w:style>
  <w:style w:type="paragraph" w:customStyle="1" w:styleId="499">
    <w:name w:val="表小四左"/>
    <w:basedOn w:val="1"/>
    <w:qFormat/>
    <w:uiPriority w:val="0"/>
    <w:pPr>
      <w:tabs>
        <w:tab w:val="left" w:pos="0"/>
      </w:tabs>
      <w:overflowPunct w:val="0"/>
      <w:topLinePunct/>
      <w:spacing w:after="60" w:line="400" w:lineRule="exact"/>
      <w:textAlignment w:val="center"/>
    </w:pPr>
    <w:rPr>
      <w:rFonts w:ascii="楷体_GB2312" w:hAnsi="Arial" w:eastAsia="仿宋_GB2312"/>
      <w:szCs w:val="21"/>
    </w:rPr>
  </w:style>
  <w:style w:type="paragraph" w:customStyle="1" w:styleId="500">
    <w:name w:val="样式 正文文本缩进 2 + 左侧:  0.98 厘米 首行缩进:  2 字符"/>
    <w:basedOn w:val="51"/>
    <w:qFormat/>
    <w:uiPriority w:val="0"/>
    <w:pPr>
      <w:spacing w:after="0" w:line="360" w:lineRule="auto"/>
      <w:ind w:left="0" w:leftChars="0" w:firstLine="560"/>
    </w:pPr>
    <w:rPr>
      <w:rFonts w:eastAsia="仿宋_GB2312"/>
      <w:sz w:val="28"/>
      <w:szCs w:val="20"/>
    </w:rPr>
  </w:style>
  <w:style w:type="paragraph" w:customStyle="1" w:styleId="501">
    <w:name w:val="Char4 Char Char Char Char Char Char11"/>
    <w:basedOn w:val="1"/>
    <w:qFormat/>
    <w:uiPriority w:val="0"/>
    <w:pPr>
      <w:ind w:firstLine="200"/>
    </w:pPr>
    <w:rPr>
      <w:rFonts w:ascii="宋体" w:hAnsi="宋体" w:cs="宋体"/>
      <w:szCs w:val="24"/>
    </w:rPr>
  </w:style>
  <w:style w:type="paragraph" w:customStyle="1" w:styleId="502">
    <w:name w:val="样式 左侧:  0.98 厘米 字距调整小四"/>
    <w:basedOn w:val="1"/>
    <w:qFormat/>
    <w:uiPriority w:val="0"/>
    <w:pPr>
      <w:ind w:firstLine="200"/>
    </w:pPr>
    <w:rPr>
      <w:rFonts w:eastAsia="仿宋_GB2312"/>
      <w:kern w:val="24"/>
      <w:sz w:val="28"/>
      <w:szCs w:val="20"/>
    </w:rPr>
  </w:style>
  <w:style w:type="paragraph" w:customStyle="1" w:styleId="503">
    <w:name w:val="Char Char Char1 Char Char Char Char Char Char Char1 Char Char Char Char Char Char Char Char Char Char Char Char"/>
    <w:basedOn w:val="1"/>
    <w:qFormat/>
    <w:uiPriority w:val="0"/>
    <w:rPr>
      <w:szCs w:val="24"/>
    </w:rPr>
  </w:style>
  <w:style w:type="paragraph" w:customStyle="1" w:styleId="504">
    <w:name w:val="特性表注"/>
    <w:basedOn w:val="1"/>
    <w:qFormat/>
    <w:uiPriority w:val="0"/>
    <w:rPr>
      <w:rFonts w:ascii="黑体" w:hAnsi="宋体"/>
      <w:snapToGrid w:val="0"/>
      <w:kern w:val="0"/>
      <w:szCs w:val="24"/>
    </w:rPr>
  </w:style>
  <w:style w:type="paragraph" w:customStyle="1" w:styleId="505">
    <w:name w:val="font8"/>
    <w:basedOn w:val="1"/>
    <w:qFormat/>
    <w:uiPriority w:val="0"/>
    <w:pPr>
      <w:spacing w:before="100" w:beforeAutospacing="1" w:after="100" w:afterAutospacing="1"/>
    </w:pPr>
    <w:rPr>
      <w:color w:val="339966"/>
      <w:kern w:val="0"/>
      <w:sz w:val="18"/>
      <w:szCs w:val="18"/>
    </w:rPr>
  </w:style>
  <w:style w:type="paragraph" w:customStyle="1" w:styleId="506">
    <w:name w:val="Char Char Char"/>
    <w:basedOn w:val="1"/>
    <w:qFormat/>
    <w:uiPriority w:val="0"/>
    <w:pPr>
      <w:ind w:firstLine="200"/>
    </w:pPr>
    <w:rPr>
      <w:rFonts w:ascii="宋体" w:hAnsi="宋体" w:cs="宋体"/>
      <w:szCs w:val="24"/>
    </w:rPr>
  </w:style>
  <w:style w:type="paragraph" w:customStyle="1" w:styleId="507">
    <w:name w:val="xl84"/>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hAnsi="宋体" w:cs="宋体"/>
      <w:b/>
      <w:bCs/>
      <w:color w:val="993366"/>
      <w:kern w:val="0"/>
      <w:sz w:val="18"/>
      <w:szCs w:val="18"/>
    </w:rPr>
  </w:style>
  <w:style w:type="paragraph" w:customStyle="1" w:styleId="508">
    <w:name w:val="Char Char Char Char Char Char Char Char Char1 Char Char Char Char Char Char Char Char Char Char"/>
    <w:basedOn w:val="1"/>
    <w:qFormat/>
    <w:uiPriority w:val="0"/>
    <w:pPr>
      <w:spacing w:after="160" w:line="240" w:lineRule="exact"/>
    </w:pPr>
    <w:rPr>
      <w:rFonts w:ascii="Verdana" w:hAnsi="Verdana" w:eastAsia="仿宋_GB2312"/>
      <w:kern w:val="0"/>
      <w:sz w:val="28"/>
      <w:szCs w:val="20"/>
      <w:lang w:eastAsia="en-US"/>
    </w:rPr>
  </w:style>
  <w:style w:type="paragraph" w:customStyle="1" w:styleId="509">
    <w:name w:val="Char Char Char Char1 Char Char Char Char Char Char"/>
    <w:basedOn w:val="1"/>
    <w:qFormat/>
    <w:uiPriority w:val="0"/>
    <w:pPr>
      <w:ind w:firstLine="200"/>
    </w:pPr>
    <w:rPr>
      <w:rFonts w:ascii="宋体" w:hAnsi="宋体" w:cs="宋体"/>
      <w:szCs w:val="24"/>
    </w:rPr>
  </w:style>
  <w:style w:type="paragraph" w:customStyle="1" w:styleId="510">
    <w:name w:val="标题1q"/>
    <w:basedOn w:val="3"/>
    <w:qFormat/>
    <w:uiPriority w:val="0"/>
    <w:pPr>
      <w:tabs>
        <w:tab w:val="left" w:pos="2322"/>
      </w:tabs>
      <w:ind w:left="431" w:firstLine="200"/>
      <w:jc w:val="center"/>
    </w:pPr>
    <w:rPr>
      <w:rFonts w:ascii="黑体" w:hAnsi="宋体" w:cs="宋体"/>
      <w:b/>
      <w:bCs w:val="0"/>
      <w:szCs w:val="32"/>
    </w:rPr>
  </w:style>
  <w:style w:type="paragraph" w:customStyle="1" w:styleId="511">
    <w:name w:val="Default"/>
    <w:basedOn w:val="512"/>
    <w:qFormat/>
    <w:uiPriority w:val="0"/>
    <w:pPr>
      <w:widowControl w:val="0"/>
    </w:pPr>
    <w:rPr>
      <w:rFonts w:hAnsi="Calibri" w:cs="宋体"/>
      <w:color w:val="000000"/>
      <w:szCs w:val="24"/>
    </w:rPr>
  </w:style>
  <w:style w:type="paragraph" w:customStyle="1" w:styleId="512">
    <w:name w:val="纯文本1"/>
    <w:basedOn w:val="1"/>
    <w:qFormat/>
    <w:uiPriority w:val="99"/>
    <w:pPr>
      <w:autoSpaceDE w:val="0"/>
      <w:autoSpaceDN w:val="0"/>
      <w:textAlignment w:val="baseline"/>
    </w:pPr>
    <w:rPr>
      <w:rFonts w:ascii="宋体"/>
      <w:szCs w:val="20"/>
    </w:rPr>
  </w:style>
  <w:style w:type="paragraph" w:customStyle="1" w:styleId="513">
    <w:name w:val="Char Char1 Char Char"/>
    <w:basedOn w:val="1"/>
    <w:qFormat/>
    <w:uiPriority w:val="0"/>
    <w:pPr>
      <w:spacing w:after="160" w:line="240" w:lineRule="exact"/>
    </w:pPr>
    <w:rPr>
      <w:rFonts w:ascii="Verdana" w:hAnsi="Verdana" w:eastAsia="仿宋_GB2312"/>
      <w:kern w:val="0"/>
      <w:sz w:val="28"/>
      <w:szCs w:val="20"/>
      <w:lang w:eastAsia="en-US"/>
    </w:rPr>
  </w:style>
  <w:style w:type="paragraph" w:styleId="514">
    <w:name w:val="No Spacing"/>
    <w:qFormat/>
    <w:uiPriority w:val="0"/>
    <w:pPr>
      <w:widowControl w:val="0"/>
      <w:jc w:val="center"/>
    </w:pPr>
    <w:rPr>
      <w:rFonts w:ascii="Times New Roman" w:hAnsi="Times New Roman" w:eastAsia="宋体" w:cs="Times New Roman"/>
      <w:kern w:val="2"/>
      <w:sz w:val="24"/>
      <w:szCs w:val="22"/>
      <w:lang w:val="en-US" w:eastAsia="zh-CN" w:bidi="ar-SA"/>
    </w:rPr>
  </w:style>
  <w:style w:type="paragraph" w:customStyle="1" w:styleId="515">
    <w:name w:val="样式 四号 首行缩进:  0.85 厘米"/>
    <w:basedOn w:val="1"/>
    <w:qFormat/>
    <w:uiPriority w:val="0"/>
    <w:pPr>
      <w:ind w:firstLine="200"/>
    </w:pPr>
    <w:rPr>
      <w:rFonts w:cs="宋体"/>
      <w:sz w:val="28"/>
      <w:szCs w:val="28"/>
    </w:rPr>
  </w:style>
  <w:style w:type="paragraph" w:customStyle="1" w:styleId="516">
    <w:name w:val="传真正文"/>
    <w:basedOn w:val="31"/>
    <w:qFormat/>
    <w:uiPriority w:val="0"/>
    <w:pPr>
      <w:spacing w:after="0"/>
      <w:ind w:firstLine="480"/>
    </w:pPr>
    <w:rPr>
      <w:rFonts w:ascii="宋体" w:hAnsi="宋体" w:cs="宋体"/>
      <w:b/>
      <w:bCs/>
      <w:kern w:val="0"/>
      <w:szCs w:val="20"/>
    </w:rPr>
  </w:style>
  <w:style w:type="paragraph" w:customStyle="1" w:styleId="517">
    <w:name w:val="Bullet"/>
    <w:basedOn w:val="1"/>
    <w:next w:val="1"/>
    <w:qFormat/>
    <w:uiPriority w:val="0"/>
    <w:pPr>
      <w:suppressLineNumbers/>
      <w:tabs>
        <w:tab w:val="left" w:pos="360"/>
      </w:tabs>
      <w:suppressAutoHyphens/>
      <w:spacing w:after="240"/>
      <w:ind w:left="720" w:hanging="360"/>
    </w:pPr>
    <w:rPr>
      <w:kern w:val="0"/>
      <w:sz w:val="23"/>
      <w:szCs w:val="23"/>
      <w:lang w:eastAsia="en-US"/>
    </w:rPr>
  </w:style>
  <w:style w:type="paragraph" w:customStyle="1" w:styleId="518">
    <w:name w:val="Char71"/>
    <w:basedOn w:val="1"/>
    <w:semiHidden/>
    <w:qFormat/>
    <w:uiPriority w:val="0"/>
    <w:pPr>
      <w:ind w:firstLine="200"/>
    </w:pPr>
    <w:rPr>
      <w:rFonts w:ascii="宋体" w:hAnsi="宋体" w:cs="宋体"/>
      <w:szCs w:val="24"/>
    </w:rPr>
  </w:style>
  <w:style w:type="paragraph" w:customStyle="1" w:styleId="519">
    <w:name w:val="默认段落字体 Para Char Char Char Char"/>
    <w:basedOn w:val="1"/>
    <w:qFormat/>
    <w:uiPriority w:val="0"/>
    <w:rPr>
      <w:szCs w:val="24"/>
    </w:rPr>
  </w:style>
  <w:style w:type="paragraph" w:customStyle="1" w:styleId="520">
    <w:name w:val="正文(首行缩进)"/>
    <w:basedOn w:val="1"/>
    <w:qFormat/>
    <w:uiPriority w:val="0"/>
    <w:pPr>
      <w:ind w:left="118" w:leftChars="49" w:firstLine="360"/>
    </w:pPr>
    <w:rPr>
      <w:rFonts w:ascii="宋体" w:hAnsi="宋体"/>
      <w:sz w:val="18"/>
      <w:szCs w:val="20"/>
    </w:rPr>
  </w:style>
  <w:style w:type="paragraph" w:customStyle="1" w:styleId="521">
    <w:name w:val="样式 表头 + 华文楷体"/>
    <w:basedOn w:val="1"/>
    <w:qFormat/>
    <w:uiPriority w:val="0"/>
    <w:pPr>
      <w:topLinePunct/>
      <w:spacing w:before="120" w:line="520" w:lineRule="atLeast"/>
    </w:pPr>
    <w:rPr>
      <w:rFonts w:ascii="华文楷体" w:hAnsi="华文楷体" w:eastAsia="黑体"/>
      <w:b/>
      <w:bCs/>
      <w:snapToGrid w:val="0"/>
      <w:kern w:val="0"/>
      <w:szCs w:val="24"/>
    </w:rPr>
  </w:style>
  <w:style w:type="paragraph" w:customStyle="1" w:styleId="522">
    <w:name w:val="xl49"/>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color w:val="000000"/>
      <w:kern w:val="0"/>
      <w:szCs w:val="21"/>
    </w:rPr>
  </w:style>
  <w:style w:type="paragraph" w:customStyle="1" w:styleId="523">
    <w:name w:val="font13"/>
    <w:basedOn w:val="1"/>
    <w:qFormat/>
    <w:uiPriority w:val="0"/>
    <w:pPr>
      <w:spacing w:before="100" w:beforeAutospacing="1" w:after="100" w:afterAutospacing="1"/>
    </w:pPr>
    <w:rPr>
      <w:rFonts w:cs="宋体"/>
      <w:color w:val="FF0000"/>
      <w:kern w:val="0"/>
      <w:szCs w:val="21"/>
    </w:rPr>
  </w:style>
  <w:style w:type="paragraph" w:customStyle="1" w:styleId="524">
    <w:name w:val="样式 标题 22 + 橙色"/>
    <w:basedOn w:val="1"/>
    <w:qFormat/>
    <w:uiPriority w:val="0"/>
    <w:pPr>
      <w:keepNext/>
      <w:keepLines/>
      <w:tabs>
        <w:tab w:val="left" w:pos="786"/>
      </w:tabs>
      <w:spacing w:before="120"/>
      <w:ind w:left="786" w:hanging="576"/>
      <w:outlineLvl w:val="1"/>
    </w:pPr>
    <w:rPr>
      <w:rFonts w:ascii="Arial" w:hAnsi="Arial" w:eastAsia="黑体"/>
      <w:color w:val="FF6600"/>
      <w:sz w:val="32"/>
      <w:szCs w:val="32"/>
    </w:rPr>
  </w:style>
  <w:style w:type="paragraph" w:customStyle="1" w:styleId="525">
    <w:name w:val="段落 Char"/>
    <w:basedOn w:val="1"/>
    <w:qFormat/>
    <w:uiPriority w:val="0"/>
    <w:pPr>
      <w:ind w:firstLine="480"/>
      <w:textAlignment w:val="baseline"/>
    </w:pPr>
    <w:rPr>
      <w:szCs w:val="24"/>
    </w:rPr>
  </w:style>
  <w:style w:type="paragraph" w:customStyle="1" w:styleId="526">
    <w:name w:val="xl93"/>
    <w:basedOn w:val="1"/>
    <w:qFormat/>
    <w:uiPriority w:val="0"/>
    <w:pPr>
      <w:pBdr>
        <w:bottom w:val="single" w:color="auto" w:sz="8" w:space="0"/>
        <w:right w:val="single" w:color="auto" w:sz="8" w:space="0"/>
      </w:pBdr>
      <w:spacing w:before="100" w:beforeAutospacing="1" w:after="100" w:afterAutospacing="1"/>
      <w:jc w:val="center"/>
      <w:textAlignment w:val="bottom"/>
    </w:pPr>
    <w:rPr>
      <w:rFonts w:ascii="宋体" w:hAnsi="宋体" w:cs="宋体"/>
      <w:color w:val="000000"/>
      <w:kern w:val="0"/>
      <w:sz w:val="20"/>
      <w:szCs w:val="20"/>
    </w:rPr>
  </w:style>
  <w:style w:type="paragraph" w:customStyle="1" w:styleId="527">
    <w:name w:val="xl56"/>
    <w:basedOn w:val="1"/>
    <w:qFormat/>
    <w:uiPriority w:val="0"/>
    <w:pPr>
      <w:spacing w:before="100" w:beforeAutospacing="1" w:after="100" w:afterAutospacing="1"/>
      <w:jc w:val="center"/>
    </w:pPr>
    <w:rPr>
      <w:rFonts w:ascii="宋体" w:hAnsi="宋体" w:cs="宋体"/>
      <w:kern w:val="0"/>
      <w:szCs w:val="21"/>
    </w:rPr>
  </w:style>
  <w:style w:type="paragraph" w:customStyle="1" w:styleId="528">
    <w:name w:val="正文00"/>
    <w:basedOn w:val="1"/>
    <w:qFormat/>
    <w:uiPriority w:val="0"/>
    <w:pPr>
      <w:spacing w:before="120" w:line="300" w:lineRule="auto"/>
      <w:ind w:firstLine="480"/>
    </w:pPr>
    <w:rPr>
      <w:rFonts w:hAnsi="宋体"/>
      <w:snapToGrid w:val="0"/>
      <w:color w:val="000000"/>
      <w:szCs w:val="24"/>
    </w:rPr>
  </w:style>
  <w:style w:type="paragraph" w:customStyle="1" w:styleId="529">
    <w:name w:val="缩进正文"/>
    <w:basedOn w:val="1"/>
    <w:qFormat/>
    <w:uiPriority w:val="0"/>
    <w:pPr>
      <w:ind w:firstLine="200"/>
    </w:pPr>
    <w:rPr>
      <w:szCs w:val="24"/>
    </w:rPr>
  </w:style>
  <w:style w:type="paragraph" w:customStyle="1" w:styleId="530">
    <w:name w:val="xl65"/>
    <w:basedOn w:val="1"/>
    <w:qFormat/>
    <w:uiPriority w:val="0"/>
    <w:pPr>
      <w:spacing w:before="100" w:beforeAutospacing="1" w:after="100" w:afterAutospacing="1"/>
      <w:jc w:val="center"/>
    </w:pPr>
    <w:rPr>
      <w:kern w:val="0"/>
      <w:szCs w:val="21"/>
    </w:rPr>
  </w:style>
  <w:style w:type="paragraph" w:customStyle="1" w:styleId="531">
    <w:name w:val="xl64"/>
    <w:basedOn w:val="1"/>
    <w:qFormat/>
    <w:uiPriority w:val="0"/>
    <w:pPr>
      <w:pBdr>
        <w:bottom w:val="single" w:color="auto" w:sz="8" w:space="0"/>
        <w:right w:val="double" w:color="auto" w:sz="6" w:space="0"/>
      </w:pBdr>
      <w:spacing w:before="100" w:beforeAutospacing="1" w:after="100" w:afterAutospacing="1"/>
      <w:jc w:val="center"/>
    </w:pPr>
    <w:rPr>
      <w:kern w:val="0"/>
      <w:szCs w:val="21"/>
    </w:rPr>
  </w:style>
  <w:style w:type="paragraph" w:customStyle="1" w:styleId="532">
    <w:name w:val="样式 表 + 首行缩进:  2 字符"/>
    <w:basedOn w:val="211"/>
    <w:qFormat/>
    <w:uiPriority w:val="0"/>
  </w:style>
  <w:style w:type="paragraph" w:customStyle="1" w:styleId="533">
    <w:name w:val="样式 样式 标题 2标题 1.1节标题节标题 1.1标题 yjm2第一章 标题 2Heading 2 HiddenHea...1..."/>
    <w:basedOn w:val="481"/>
    <w:qFormat/>
    <w:uiPriority w:val="0"/>
  </w:style>
  <w:style w:type="paragraph" w:customStyle="1" w:styleId="534">
    <w:name w:val="样式8"/>
    <w:basedOn w:val="1"/>
    <w:qFormat/>
    <w:uiPriority w:val="0"/>
    <w:pPr>
      <w:spacing w:line="440" w:lineRule="atLeast"/>
      <w:ind w:firstLine="499"/>
    </w:pPr>
    <w:rPr>
      <w:rFonts w:ascii="宋体"/>
      <w:snapToGrid w:val="0"/>
      <w:kern w:val="0"/>
      <w:sz w:val="28"/>
      <w:szCs w:val="20"/>
    </w:rPr>
  </w:style>
  <w:style w:type="paragraph" w:customStyle="1" w:styleId="535">
    <w:name w:val="默认段落字体 Para Char Char Char Char Char Char Char Char Char Char Char Char Char1 Char"/>
    <w:basedOn w:val="23"/>
    <w:qFormat/>
    <w:uiPriority w:val="0"/>
    <w:pPr>
      <w:shd w:val="clear" w:color="auto" w:fill="000080"/>
    </w:pPr>
    <w:rPr>
      <w:rFonts w:ascii="Tahoma" w:hAnsi="Tahoma" w:eastAsia="仿宋_GB2312"/>
      <w:sz w:val="28"/>
      <w:szCs w:val="20"/>
    </w:rPr>
  </w:style>
  <w:style w:type="paragraph" w:customStyle="1" w:styleId="536">
    <w:name w:val="发文正文"/>
    <w:basedOn w:val="1"/>
    <w:qFormat/>
    <w:uiPriority w:val="0"/>
    <w:pPr>
      <w:spacing w:line="336" w:lineRule="auto"/>
      <w:ind w:firstLine="640"/>
    </w:pPr>
    <w:rPr>
      <w:rFonts w:ascii="仿宋_GB2312" w:eastAsia="仿宋_GB2312"/>
      <w:sz w:val="32"/>
      <w:szCs w:val="32"/>
    </w:rPr>
  </w:style>
  <w:style w:type="paragraph" w:customStyle="1" w:styleId="537">
    <w:name w:val="Char8 Char Char Char1"/>
    <w:basedOn w:val="1"/>
    <w:qFormat/>
    <w:uiPriority w:val="0"/>
    <w:rPr>
      <w:rFonts w:ascii="宋体" w:hAnsi="宋体" w:cs="宋体"/>
      <w:szCs w:val="24"/>
    </w:rPr>
  </w:style>
  <w:style w:type="paragraph" w:customStyle="1" w:styleId="538">
    <w:name w:val="xl81"/>
    <w:basedOn w:val="1"/>
    <w:qFormat/>
    <w:uiPriority w:val="0"/>
    <w:pPr>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color w:val="993366"/>
      <w:kern w:val="0"/>
      <w:sz w:val="18"/>
      <w:szCs w:val="18"/>
    </w:rPr>
  </w:style>
  <w:style w:type="paragraph" w:customStyle="1" w:styleId="539">
    <w:name w:val="Char Char2 Char Char Char Char1"/>
    <w:basedOn w:val="1"/>
    <w:semiHidden/>
    <w:qFormat/>
    <w:uiPriority w:val="0"/>
    <w:pPr>
      <w:ind w:firstLine="200"/>
    </w:pPr>
    <w:rPr>
      <w:rFonts w:ascii="宋体" w:hAnsi="宋体" w:cs="宋体"/>
      <w:szCs w:val="20"/>
    </w:rPr>
  </w:style>
  <w:style w:type="paragraph" w:customStyle="1" w:styleId="540">
    <w:name w:val="xl53"/>
    <w:basedOn w:val="1"/>
    <w:qFormat/>
    <w:uiPriority w:val="0"/>
    <w:pPr>
      <w:pBdr>
        <w:left w:val="double" w:color="auto" w:sz="6" w:space="0"/>
        <w:bottom w:val="single" w:color="auto" w:sz="8" w:space="0"/>
        <w:right w:val="single" w:color="auto" w:sz="8" w:space="0"/>
      </w:pBdr>
      <w:spacing w:before="100" w:beforeAutospacing="1" w:after="100" w:afterAutospacing="1"/>
      <w:jc w:val="center"/>
    </w:pPr>
    <w:rPr>
      <w:kern w:val="0"/>
      <w:szCs w:val="21"/>
    </w:rPr>
  </w:style>
  <w:style w:type="paragraph" w:customStyle="1" w:styleId="541">
    <w:name w:val="xl66"/>
    <w:basedOn w:val="1"/>
    <w:qFormat/>
    <w:uiPriority w:val="0"/>
    <w:pPr>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80"/>
      <w:kern w:val="0"/>
      <w:szCs w:val="21"/>
    </w:rPr>
  </w:style>
  <w:style w:type="paragraph" w:customStyle="1" w:styleId="542">
    <w:name w:val="样式 表格 + 加粗 居中 左侧:  0.98 厘米"/>
    <w:basedOn w:val="177"/>
    <w:qFormat/>
    <w:uiPriority w:val="0"/>
    <w:pPr>
      <w:spacing w:before="100" w:beforeAutospacing="1" w:after="100" w:afterAutospacing="1" w:line="300" w:lineRule="exact"/>
      <w:ind w:left="560" w:leftChars="200" w:right="-120" w:rightChars="-50"/>
    </w:pPr>
    <w:rPr>
      <w:rFonts w:ascii="Arial" w:hAnsi="Arial"/>
      <w:b/>
      <w:bCs/>
      <w:color w:val="000000"/>
      <w:lang w:val="en-GB"/>
    </w:rPr>
  </w:style>
  <w:style w:type="paragraph" w:customStyle="1" w:styleId="543">
    <w:name w:val="0"/>
    <w:basedOn w:val="1"/>
    <w:qFormat/>
    <w:uiPriority w:val="0"/>
    <w:rPr>
      <w:kern w:val="0"/>
      <w:szCs w:val="20"/>
    </w:rPr>
  </w:style>
  <w:style w:type="paragraph" w:customStyle="1" w:styleId="544">
    <w:name w:val="样式4"/>
    <w:basedOn w:val="6"/>
    <w:qFormat/>
    <w:uiPriority w:val="0"/>
    <w:pPr>
      <w:tabs>
        <w:tab w:val="left" w:pos="360"/>
        <w:tab w:val="left" w:pos="990"/>
        <w:tab w:val="left" w:pos="1134"/>
        <w:tab w:val="left" w:pos="1440"/>
      </w:tabs>
    </w:pPr>
    <w:rPr>
      <w:rFonts w:ascii="Arial" w:hAnsi="Arial"/>
      <w:b w:val="0"/>
      <w:bCs w:val="0"/>
      <w:snapToGrid w:val="0"/>
      <w:kern w:val="0"/>
      <w:szCs w:val="20"/>
    </w:rPr>
  </w:style>
  <w:style w:type="paragraph" w:customStyle="1" w:styleId="545">
    <w:name w:val="样式 标题 3条标题1.1.1 + 段前: 0.5 行 段后: 0.5 行"/>
    <w:basedOn w:val="5"/>
    <w:qFormat/>
    <w:uiPriority w:val="0"/>
    <w:pPr>
      <w:keepNext w:val="0"/>
      <w:keepLines w:val="0"/>
      <w:numPr>
        <w:ilvl w:val="0"/>
        <w:numId w:val="0"/>
      </w:numPr>
      <w:tabs>
        <w:tab w:val="left" w:pos="1080"/>
      </w:tabs>
      <w:spacing w:before="50" w:beforeLines="50" w:after="50" w:afterLines="50" w:line="520" w:lineRule="exact"/>
      <w:textAlignment w:val="baseline"/>
    </w:pPr>
    <w:rPr>
      <w:rFonts w:ascii="宋体" w:hAnsi="宋体" w:cs="宋体"/>
      <w:kern w:val="0"/>
      <w:szCs w:val="20"/>
    </w:rPr>
  </w:style>
  <w:style w:type="paragraph" w:customStyle="1" w:styleId="546">
    <w:name w:val="标题 1.tx"/>
    <w:basedOn w:val="3"/>
    <w:qFormat/>
    <w:uiPriority w:val="0"/>
    <w:pPr>
      <w:pageBreakBefore/>
      <w:autoSpaceDN w:val="0"/>
      <w:spacing w:before="120" w:after="120" w:line="520" w:lineRule="exact"/>
    </w:pPr>
    <w:rPr>
      <w:rFonts w:cs="宋体"/>
      <w:spacing w:val="8"/>
      <w:szCs w:val="20"/>
    </w:rPr>
  </w:style>
  <w:style w:type="paragraph" w:customStyle="1" w:styleId="547">
    <w:name w:val="样式 标题 2 + Times New Roman"/>
    <w:basedOn w:val="4"/>
    <w:qFormat/>
    <w:uiPriority w:val="0"/>
    <w:pPr>
      <w:tabs>
        <w:tab w:val="left" w:pos="0"/>
        <w:tab w:val="left" w:pos="495"/>
      </w:tabs>
      <w:spacing w:before="240" w:beforeLines="50" w:after="240" w:line="240" w:lineRule="auto"/>
      <w:ind w:left="1062" w:hanging="747"/>
    </w:pPr>
    <w:rPr>
      <w:sz w:val="24"/>
    </w:rPr>
  </w:style>
  <w:style w:type="paragraph" w:customStyle="1" w:styleId="548">
    <w:name w:val="xl28"/>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hAnsi="宋体"/>
      <w:color w:val="339966"/>
      <w:kern w:val="0"/>
      <w:sz w:val="18"/>
      <w:szCs w:val="18"/>
    </w:rPr>
  </w:style>
  <w:style w:type="paragraph" w:customStyle="1" w:styleId="549">
    <w:name w:val="Char Char Char Char Char Char1"/>
    <w:basedOn w:val="1"/>
    <w:qFormat/>
    <w:uiPriority w:val="0"/>
    <w:rPr>
      <w:szCs w:val="24"/>
    </w:rPr>
  </w:style>
  <w:style w:type="paragraph" w:customStyle="1" w:styleId="550">
    <w:name w:val="02"/>
    <w:basedOn w:val="1"/>
    <w:qFormat/>
    <w:uiPriority w:val="0"/>
    <w:pPr>
      <w:keepNext/>
      <w:keepLines/>
      <w:spacing w:before="100"/>
      <w:outlineLvl w:val="0"/>
    </w:pPr>
    <w:rPr>
      <w:rFonts w:eastAsia="黑体"/>
      <w:color w:val="333333"/>
      <w:szCs w:val="20"/>
    </w:rPr>
  </w:style>
  <w:style w:type="paragraph" w:customStyle="1" w:styleId="551">
    <w:name w:val="Char Char Char Char2"/>
    <w:basedOn w:val="1"/>
    <w:qFormat/>
    <w:uiPriority w:val="0"/>
    <w:rPr>
      <w:szCs w:val="24"/>
    </w:rPr>
  </w:style>
  <w:style w:type="paragraph" w:customStyle="1" w:styleId="552">
    <w:name w:val="样式 正文缩进s4标题4 + 左侧:  0.98 厘米 首行缩进:  2 字符"/>
    <w:basedOn w:val="19"/>
    <w:qFormat/>
    <w:uiPriority w:val="0"/>
    <w:pPr>
      <w:ind w:firstLine="560"/>
    </w:pPr>
    <w:rPr>
      <w:rFonts w:eastAsia="仿宋_GB2312"/>
      <w:sz w:val="28"/>
      <w:szCs w:val="20"/>
    </w:rPr>
  </w:style>
  <w:style w:type="paragraph" w:customStyle="1" w:styleId="553">
    <w:name w:val="6 Char Char Char Char Char Char1 Char"/>
    <w:basedOn w:val="1"/>
    <w:qFormat/>
    <w:uiPriority w:val="0"/>
    <w:rPr>
      <w:szCs w:val="24"/>
    </w:rPr>
  </w:style>
  <w:style w:type="paragraph" w:customStyle="1" w:styleId="554">
    <w:name w:val="1.1"/>
    <w:basedOn w:val="1"/>
    <w:next w:val="6"/>
    <w:semiHidden/>
    <w:qFormat/>
    <w:uiPriority w:val="0"/>
    <w:pPr>
      <w:keepNext/>
      <w:keepLines/>
      <w:spacing w:line="300" w:lineRule="auto"/>
      <w:outlineLvl w:val="3"/>
    </w:pPr>
    <w:rPr>
      <w:rFonts w:ascii="宋体" w:hAnsi="宋体" w:eastAsia="黑体" w:cs="宋体"/>
      <w:sz w:val="30"/>
      <w:szCs w:val="20"/>
    </w:rPr>
  </w:style>
  <w:style w:type="paragraph" w:customStyle="1" w:styleId="555">
    <w:name w:val="xl50"/>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kern w:val="0"/>
      <w:szCs w:val="21"/>
    </w:rPr>
  </w:style>
  <w:style w:type="paragraph" w:customStyle="1" w:styleId="556">
    <w:name w:val="表中窄行"/>
    <w:qFormat/>
    <w:uiPriority w:val="0"/>
    <w:pPr>
      <w:widowControl w:val="0"/>
      <w:spacing w:before="120" w:beforeLines="50" w:after="120" w:afterLines="50" w:line="240" w:lineRule="exact"/>
      <w:jc w:val="center"/>
    </w:pPr>
    <w:rPr>
      <w:rFonts w:ascii="Arial" w:hAnsi="Arial" w:eastAsia="宋体" w:cs="Arial"/>
      <w:sz w:val="21"/>
      <w:szCs w:val="21"/>
      <w:lang w:val="en-US" w:eastAsia="zh-CN" w:bidi="ar-SA"/>
    </w:rPr>
  </w:style>
  <w:style w:type="paragraph" w:customStyle="1" w:styleId="557">
    <w:name w:val="样式 四号"/>
    <w:basedOn w:val="1"/>
    <w:qFormat/>
    <w:uiPriority w:val="0"/>
    <w:pPr>
      <w:spacing w:line="440" w:lineRule="atLeast"/>
    </w:pPr>
    <w:rPr>
      <w:rFonts w:ascii="宋体" w:hAnsi="宋体"/>
      <w:snapToGrid w:val="0"/>
      <w:color w:val="000080"/>
      <w:kern w:val="0"/>
      <w:szCs w:val="24"/>
    </w:rPr>
  </w:style>
  <w:style w:type="paragraph" w:customStyle="1" w:styleId="558">
    <w:name w:val="样式 标题 2节标题 1.1 + 非加粗"/>
    <w:basedOn w:val="5"/>
    <w:next w:val="5"/>
    <w:qFormat/>
    <w:uiPriority w:val="0"/>
    <w:pPr>
      <w:tabs>
        <w:tab w:val="left" w:pos="794"/>
      </w:tabs>
      <w:spacing w:before="120" w:after="0" w:line="520" w:lineRule="exact"/>
      <w:ind w:left="794" w:hanging="794"/>
    </w:pPr>
    <w:rPr>
      <w:rFonts w:eastAsia="仿宋_GB2312"/>
      <w:b w:val="0"/>
      <w:snapToGrid w:val="0"/>
      <w:kern w:val="0"/>
    </w:rPr>
  </w:style>
  <w:style w:type="paragraph" w:customStyle="1" w:styleId="559">
    <w:name w:val="xl79"/>
    <w:basedOn w:val="1"/>
    <w:qFormat/>
    <w:uiPriority w:val="0"/>
    <w:pPr>
      <w:pBdr>
        <w:top w:val="single" w:color="auto" w:sz="8" w:space="0"/>
        <w:bottom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560">
    <w:name w:val="xl86"/>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b/>
      <w:bCs/>
      <w:color w:val="993366"/>
      <w:kern w:val="0"/>
      <w:sz w:val="18"/>
      <w:szCs w:val="18"/>
    </w:rPr>
  </w:style>
  <w:style w:type="paragraph" w:customStyle="1" w:styleId="561">
    <w:name w:val="样式 标题 4L4款标题款标题1.1.1.1 + (西文) Times New Roman (中文) 宋体 加粗 段..."/>
    <w:basedOn w:val="6"/>
    <w:qFormat/>
    <w:uiPriority w:val="0"/>
    <w:pPr>
      <w:tabs>
        <w:tab w:val="left" w:pos="578"/>
      </w:tabs>
      <w:spacing w:before="60" w:after="60" w:line="500" w:lineRule="atLeast"/>
    </w:pPr>
    <w:rPr>
      <w:rFonts w:cs="宋体"/>
      <w:snapToGrid w:val="0"/>
      <w:kern w:val="0"/>
    </w:rPr>
  </w:style>
  <w:style w:type="paragraph" w:customStyle="1" w:styleId="562">
    <w:name w:val="6 Char Char Char Char Char Char Char Char Char Char"/>
    <w:basedOn w:val="1"/>
    <w:qFormat/>
    <w:uiPriority w:val="0"/>
    <w:pPr>
      <w:ind w:firstLine="200"/>
    </w:pPr>
    <w:rPr>
      <w:rFonts w:ascii="宋体" w:hAnsi="宋体" w:cs="宋体"/>
      <w:szCs w:val="24"/>
    </w:rPr>
  </w:style>
  <w:style w:type="paragraph" w:customStyle="1" w:styleId="563">
    <w:name w:val="xl74"/>
    <w:basedOn w:val="1"/>
    <w:qFormat/>
    <w:uiPriority w:val="0"/>
    <w:pPr>
      <w:pBdr>
        <w:bottom w:val="single" w:color="auto" w:sz="8" w:space="0"/>
        <w:right w:val="single" w:color="auto" w:sz="8" w:space="0"/>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564">
    <w:name w:val="xl69"/>
    <w:basedOn w:val="1"/>
    <w:qFormat/>
    <w:uiPriority w:val="0"/>
    <w:pPr>
      <w:pBdr>
        <w:left w:val="single" w:color="auto" w:sz="12" w:space="0"/>
        <w:bottom w:val="single" w:color="auto" w:sz="8" w:space="0"/>
        <w:right w:val="single" w:color="auto" w:sz="8" w:space="0"/>
      </w:pBdr>
      <w:spacing w:before="100" w:beforeAutospacing="1" w:after="100" w:afterAutospacing="1"/>
      <w:jc w:val="center"/>
    </w:pPr>
    <w:rPr>
      <w:color w:val="800000"/>
      <w:kern w:val="0"/>
      <w:szCs w:val="21"/>
    </w:rPr>
  </w:style>
  <w:style w:type="paragraph" w:customStyle="1" w:styleId="565">
    <w:name w:val="xl42"/>
    <w:basedOn w:val="1"/>
    <w:qFormat/>
    <w:uiPriority w:val="0"/>
    <w:pPr>
      <w:pBdr>
        <w:bottom w:val="single" w:color="auto" w:sz="8" w:space="0"/>
        <w:right w:val="single" w:color="auto" w:sz="8" w:space="0"/>
      </w:pBdr>
      <w:spacing w:before="100" w:beforeAutospacing="1" w:after="100" w:afterAutospacing="1"/>
      <w:jc w:val="center"/>
    </w:pPr>
    <w:rPr>
      <w:color w:val="000080"/>
      <w:kern w:val="0"/>
      <w:sz w:val="18"/>
      <w:szCs w:val="18"/>
    </w:rPr>
  </w:style>
  <w:style w:type="paragraph" w:customStyle="1" w:styleId="566">
    <w:name w:val="xl47"/>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b/>
      <w:bCs/>
      <w:kern w:val="0"/>
      <w:szCs w:val="21"/>
    </w:rPr>
  </w:style>
  <w:style w:type="paragraph" w:customStyle="1" w:styleId="567">
    <w:name w:val="xl44"/>
    <w:basedOn w:val="1"/>
    <w:qFormat/>
    <w:uiPriority w:val="0"/>
    <w:pPr>
      <w:pBdr>
        <w:top w:val="single" w:color="auto" w:sz="8" w:space="0"/>
        <w:bottom w:val="single" w:color="auto" w:sz="8" w:space="0"/>
      </w:pBdr>
      <w:spacing w:before="100" w:beforeAutospacing="1" w:after="100" w:afterAutospacing="1"/>
      <w:jc w:val="center"/>
    </w:pPr>
    <w:rPr>
      <w:rFonts w:ascii="宋体" w:hAnsi="宋体" w:cs="宋体"/>
      <w:color w:val="000000"/>
      <w:kern w:val="0"/>
      <w:szCs w:val="21"/>
    </w:rPr>
  </w:style>
  <w:style w:type="paragraph" w:customStyle="1" w:styleId="568">
    <w:name w:val="font9"/>
    <w:basedOn w:val="1"/>
    <w:qFormat/>
    <w:uiPriority w:val="0"/>
    <w:pPr>
      <w:spacing w:before="100" w:beforeAutospacing="1" w:after="100" w:afterAutospacing="1"/>
    </w:pPr>
    <w:rPr>
      <w:rFonts w:eastAsia="Arial Unicode MS"/>
      <w:color w:val="000000"/>
      <w:kern w:val="0"/>
      <w:szCs w:val="24"/>
    </w:rPr>
  </w:style>
  <w:style w:type="paragraph" w:customStyle="1" w:styleId="569">
    <w:name w:val="特性表"/>
    <w:basedOn w:val="1"/>
    <w:qFormat/>
    <w:uiPriority w:val="0"/>
    <w:pPr>
      <w:jc w:val="center"/>
    </w:pPr>
    <w:rPr>
      <w:rFonts w:ascii="黑体" w:hAnsi="宋体" w:eastAsia="黑体"/>
      <w:sz w:val="30"/>
      <w:szCs w:val="20"/>
    </w:rPr>
  </w:style>
  <w:style w:type="paragraph" w:customStyle="1" w:styleId="570">
    <w:name w:val="表格文字（小五）"/>
    <w:basedOn w:val="145"/>
    <w:next w:val="19"/>
    <w:qFormat/>
    <w:uiPriority w:val="0"/>
    <w:pPr>
      <w:jc w:val="both"/>
      <w:textAlignment w:val="bottom"/>
    </w:pPr>
    <w:rPr>
      <w:kern w:val="0"/>
      <w:sz w:val="18"/>
    </w:rPr>
  </w:style>
  <w:style w:type="paragraph" w:customStyle="1" w:styleId="571">
    <w:name w:val="表中内容"/>
    <w:basedOn w:val="31"/>
    <w:qFormat/>
    <w:uiPriority w:val="0"/>
    <w:pPr>
      <w:spacing w:after="0"/>
      <w:jc w:val="center"/>
      <w:textAlignment w:val="center"/>
    </w:pPr>
    <w:rPr>
      <w:spacing w:val="8"/>
      <w:sz w:val="22"/>
      <w:szCs w:val="21"/>
    </w:rPr>
  </w:style>
  <w:style w:type="paragraph" w:customStyle="1" w:styleId="572">
    <w:name w:val="样式 标题 3条标题1.1.1条标题BSH-3W3 + 仿宋_GB2312 非加粗"/>
    <w:basedOn w:val="5"/>
    <w:qFormat/>
    <w:uiPriority w:val="0"/>
    <w:pPr>
      <w:tabs>
        <w:tab w:val="left" w:pos="578"/>
      </w:tabs>
      <w:spacing w:before="0" w:after="0"/>
    </w:pPr>
    <w:rPr>
      <w:rFonts w:ascii="宋体" w:hAnsi="宋体" w:cs="Arial Unicode MS"/>
      <w:bCs w:val="0"/>
      <w:color w:val="000000"/>
      <w:kern w:val="0"/>
    </w:rPr>
  </w:style>
  <w:style w:type="paragraph" w:customStyle="1" w:styleId="573">
    <w:name w:val="标题 2.tx"/>
    <w:basedOn w:val="4"/>
    <w:qFormat/>
    <w:uiPriority w:val="0"/>
    <w:pPr>
      <w:spacing w:before="120" w:after="120" w:line="520" w:lineRule="exact"/>
    </w:pPr>
    <w:rPr>
      <w:rFonts w:cs="宋体"/>
      <w:spacing w:val="8"/>
      <w:szCs w:val="20"/>
    </w:rPr>
  </w:style>
  <w:style w:type="paragraph" w:customStyle="1" w:styleId="574">
    <w:name w:val="xl24"/>
    <w:basedOn w:val="1"/>
    <w:qFormat/>
    <w:uiPriority w:val="0"/>
    <w:pPr>
      <w:pBdr>
        <w:bottom w:val="single" w:color="auto" w:sz="4" w:space="0"/>
        <w:right w:val="single" w:color="auto" w:sz="4" w:space="0"/>
      </w:pBdr>
      <w:spacing w:before="100" w:after="100"/>
      <w:jc w:val="center"/>
      <w:textAlignment w:val="top"/>
    </w:pPr>
    <w:rPr>
      <w:kern w:val="0"/>
      <w:szCs w:val="20"/>
    </w:rPr>
  </w:style>
  <w:style w:type="paragraph" w:customStyle="1" w:styleId="575">
    <w:name w:val="xl77"/>
    <w:basedOn w:val="1"/>
    <w:qFormat/>
    <w:uiPriority w:val="0"/>
    <w:pPr>
      <w:pBdr>
        <w:left w:val="single" w:color="auto" w:sz="8" w:space="0"/>
        <w:bottom w:val="single" w:color="auto" w:sz="8" w:space="0"/>
        <w:right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576">
    <w:name w:val="xl54"/>
    <w:basedOn w:val="1"/>
    <w:qFormat/>
    <w:uiPriority w:val="0"/>
    <w:pPr>
      <w:pBdr>
        <w:left w:val="double" w:color="auto" w:sz="6" w:space="0"/>
        <w:bottom w:val="double" w:color="auto" w:sz="6" w:space="0"/>
        <w:right w:val="single" w:color="auto" w:sz="8" w:space="0"/>
      </w:pBdr>
      <w:spacing w:before="100" w:beforeAutospacing="1" w:after="100" w:afterAutospacing="1"/>
      <w:jc w:val="center"/>
    </w:pPr>
    <w:rPr>
      <w:kern w:val="0"/>
      <w:szCs w:val="21"/>
    </w:rPr>
  </w:style>
  <w:style w:type="paragraph" w:customStyle="1" w:styleId="577">
    <w:name w:val="xl90"/>
    <w:basedOn w:val="1"/>
    <w:qFormat/>
    <w:uiPriority w:val="0"/>
    <w:pPr>
      <w:pBdr>
        <w:top w:val="single" w:color="auto" w:sz="8" w:space="0"/>
      </w:pBdr>
      <w:spacing w:before="100" w:beforeAutospacing="1" w:after="100" w:afterAutospacing="1"/>
    </w:pPr>
    <w:rPr>
      <w:rFonts w:ascii="宋体" w:hAnsi="宋体" w:cs="宋体"/>
      <w:color w:val="0000FF"/>
      <w:kern w:val="0"/>
      <w:sz w:val="18"/>
      <w:szCs w:val="18"/>
    </w:rPr>
  </w:style>
  <w:style w:type="paragraph" w:customStyle="1" w:styleId="578">
    <w:name w:val="font10"/>
    <w:basedOn w:val="1"/>
    <w:qFormat/>
    <w:uiPriority w:val="0"/>
    <w:pPr>
      <w:spacing w:before="100" w:beforeAutospacing="1" w:after="100" w:afterAutospacing="1"/>
    </w:pPr>
    <w:rPr>
      <w:rFonts w:ascii="宋体" w:hAnsi="宋体" w:cs="宋体"/>
      <w:b/>
      <w:bCs/>
      <w:kern w:val="0"/>
      <w:szCs w:val="21"/>
    </w:rPr>
  </w:style>
  <w:style w:type="paragraph" w:customStyle="1" w:styleId="579">
    <w:name w:val="样式 题注 + 左侧:  0.98 厘米 首行缩进:  2 字符"/>
    <w:basedOn w:val="20"/>
    <w:qFormat/>
    <w:uiPriority w:val="0"/>
    <w:pPr>
      <w:wordWrap w:val="0"/>
      <w:spacing w:line="240" w:lineRule="auto"/>
      <w:ind w:firstLine="0" w:firstLineChars="0"/>
    </w:pPr>
    <w:rPr>
      <w:rFonts w:hAnsi="宋体"/>
      <w:color w:val="000000"/>
    </w:rPr>
  </w:style>
  <w:style w:type="paragraph" w:customStyle="1" w:styleId="580">
    <w:name w:val="4"/>
    <w:basedOn w:val="1"/>
    <w:semiHidden/>
    <w:qFormat/>
    <w:uiPriority w:val="0"/>
    <w:pPr>
      <w:ind w:firstLine="200"/>
    </w:pPr>
    <w:rPr>
      <w:rFonts w:ascii="宋体" w:hAnsi="宋体" w:eastAsia="黑体" w:cs="宋体"/>
      <w:b/>
      <w:sz w:val="44"/>
      <w:szCs w:val="24"/>
    </w:rPr>
  </w:style>
  <w:style w:type="paragraph" w:customStyle="1" w:styleId="581">
    <w:name w:val="CM45"/>
    <w:basedOn w:val="511"/>
    <w:next w:val="511"/>
    <w:qFormat/>
    <w:uiPriority w:val="0"/>
    <w:rPr>
      <w:rFonts w:ascii="Arial" w:hAnsi="Arial" w:cs="Times New Roman"/>
      <w:color w:val="auto"/>
    </w:rPr>
  </w:style>
  <w:style w:type="paragraph" w:customStyle="1" w:styleId="582">
    <w:name w:val="样式 (西文) 仿宋_GB2312 左侧:  0.98 厘米"/>
    <w:basedOn w:val="1"/>
    <w:qFormat/>
    <w:uiPriority w:val="0"/>
    <w:pPr>
      <w:ind w:firstLine="200"/>
    </w:pPr>
    <w:rPr>
      <w:rFonts w:ascii="仿宋_GB2312" w:eastAsia="仿宋_GB2312"/>
      <w:sz w:val="28"/>
      <w:szCs w:val="20"/>
    </w:rPr>
  </w:style>
  <w:style w:type="paragraph" w:customStyle="1" w:styleId="583">
    <w:name w:val="图片"/>
    <w:basedOn w:val="1"/>
    <w:qFormat/>
    <w:uiPriority w:val="0"/>
    <w:rPr>
      <w:sz w:val="28"/>
      <w:szCs w:val="20"/>
    </w:rPr>
  </w:style>
  <w:style w:type="paragraph" w:customStyle="1" w:styleId="584">
    <w:name w:val="xl48"/>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b/>
      <w:bCs/>
      <w:color w:val="000000"/>
      <w:kern w:val="0"/>
      <w:szCs w:val="21"/>
    </w:rPr>
  </w:style>
  <w:style w:type="paragraph" w:customStyle="1" w:styleId="585">
    <w:name w:val="xl67"/>
    <w:basedOn w:val="1"/>
    <w:qFormat/>
    <w:uiPriority w:val="0"/>
    <w:pPr>
      <w:pBdr>
        <w:left w:val="single" w:color="auto" w:sz="8" w:space="0"/>
        <w:right w:val="single" w:color="auto" w:sz="8" w:space="0"/>
      </w:pBdr>
      <w:spacing w:before="100" w:beforeAutospacing="1" w:after="100" w:afterAutospacing="1"/>
      <w:jc w:val="center"/>
    </w:pPr>
    <w:rPr>
      <w:rFonts w:ascii="宋体" w:hAnsi="宋体" w:cs="宋体"/>
      <w:color w:val="000080"/>
      <w:kern w:val="0"/>
      <w:szCs w:val="21"/>
    </w:rPr>
  </w:style>
  <w:style w:type="paragraph" w:customStyle="1" w:styleId="586">
    <w:name w:val="样式 标题 4款标题1.1.1.1 + 段前: 0.5 行 段后: 0.5 行"/>
    <w:basedOn w:val="6"/>
    <w:qFormat/>
    <w:uiPriority w:val="0"/>
    <w:pPr>
      <w:keepNext w:val="0"/>
      <w:keepLines w:val="0"/>
      <w:numPr>
        <w:ilvl w:val="0"/>
        <w:numId w:val="0"/>
      </w:numPr>
      <w:tabs>
        <w:tab w:val="left" w:pos="864"/>
      </w:tabs>
      <w:ind w:firstLine="560" w:firstLineChars="200"/>
      <w:textAlignment w:val="baseline"/>
    </w:pPr>
    <w:rPr>
      <w:rFonts w:ascii="仿宋_GB2312" w:eastAsia="仿宋_GB2312"/>
      <w:b w:val="0"/>
      <w:color w:val="FF0000"/>
    </w:rPr>
  </w:style>
  <w:style w:type="paragraph" w:customStyle="1" w:styleId="587">
    <w:name w:val="xl22"/>
    <w:basedOn w:val="1"/>
    <w:qFormat/>
    <w:uiPriority w:val="0"/>
    <w:pPr>
      <w:spacing w:before="100" w:beforeAutospacing="1" w:after="100" w:afterAutospacing="1"/>
      <w:jc w:val="center"/>
    </w:pPr>
    <w:rPr>
      <w:rFonts w:ascii="Arial Unicode MS" w:hAnsi="Arial Unicode MS" w:eastAsia="Arial Unicode MS" w:cs="Arial Unicode MS"/>
      <w:kern w:val="0"/>
      <w:szCs w:val="24"/>
    </w:rPr>
  </w:style>
  <w:style w:type="paragraph" w:customStyle="1" w:styleId="588">
    <w:name w:val="xl68"/>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80"/>
      <w:kern w:val="0"/>
      <w:szCs w:val="21"/>
    </w:rPr>
  </w:style>
  <w:style w:type="paragraph" w:customStyle="1" w:styleId="589">
    <w:name w:val="font14"/>
    <w:basedOn w:val="1"/>
    <w:qFormat/>
    <w:uiPriority w:val="0"/>
    <w:pPr>
      <w:spacing w:before="100" w:beforeAutospacing="1" w:after="100" w:afterAutospacing="1"/>
    </w:pPr>
    <w:rPr>
      <w:rFonts w:ascii="Arial" w:hAnsi="Arial" w:cs="Arial"/>
      <w:color w:val="000000"/>
      <w:kern w:val="0"/>
      <w:sz w:val="18"/>
      <w:szCs w:val="18"/>
    </w:rPr>
  </w:style>
  <w:style w:type="paragraph" w:customStyle="1" w:styleId="590">
    <w:name w:val="样式 正文文本缩进 + 左侧:  0.98 厘米 首行缩进:  2 字符"/>
    <w:basedOn w:val="32"/>
    <w:qFormat/>
    <w:uiPriority w:val="0"/>
    <w:pPr>
      <w:spacing w:after="0" w:line="360" w:lineRule="auto"/>
      <w:ind w:left="0" w:leftChars="0" w:firstLine="560"/>
      <w:textAlignment w:val="auto"/>
    </w:pPr>
    <w:rPr>
      <w:rFonts w:eastAsia="仿宋_GB2312"/>
      <w:kern w:val="2"/>
      <w:sz w:val="28"/>
    </w:rPr>
  </w:style>
  <w:style w:type="paragraph" w:customStyle="1" w:styleId="591">
    <w:name w:val="表左_小四"/>
    <w:basedOn w:val="394"/>
    <w:qFormat/>
    <w:uiPriority w:val="0"/>
    <w:pPr>
      <w:adjustRightInd/>
      <w:spacing w:line="160" w:lineRule="atLeast"/>
      <w:ind w:hanging="23"/>
      <w:jc w:val="left"/>
      <w:textAlignment w:val="top"/>
    </w:pPr>
    <w:rPr>
      <w:rFonts w:ascii="宋体" w:hAnsi="宋体" w:cs="宋体"/>
      <w:b/>
      <w:color w:val="auto"/>
      <w:spacing w:val="20"/>
      <w:position w:val="-12"/>
      <w:szCs w:val="20"/>
    </w:rPr>
  </w:style>
  <w:style w:type="paragraph" w:customStyle="1" w:styleId="592">
    <w:name w:val="正文21"/>
    <w:basedOn w:val="1"/>
    <w:link w:val="593"/>
    <w:qFormat/>
    <w:uiPriority w:val="0"/>
    <w:pPr>
      <w:ind w:firstLine="200"/>
    </w:pPr>
    <w:rPr>
      <w:kern w:val="0"/>
      <w:szCs w:val="20"/>
    </w:rPr>
  </w:style>
  <w:style w:type="character" w:customStyle="1" w:styleId="593">
    <w:name w:val="正文2 Char Char"/>
    <w:link w:val="592"/>
    <w:qFormat/>
    <w:uiPriority w:val="0"/>
    <w:rPr>
      <w:rFonts w:ascii="Times New Roman" w:hAnsi="Times New Roman"/>
      <w:sz w:val="24"/>
    </w:rPr>
  </w:style>
  <w:style w:type="paragraph" w:customStyle="1" w:styleId="594">
    <w:name w:val="样式 样式 正文缩进s4正文缩进 Chars4 Char标题4表正文正文非缩进图标题文本正文不缩进 + 行距: 1.... + ...1"/>
    <w:basedOn w:val="317"/>
    <w:qFormat/>
    <w:uiPriority w:val="0"/>
    <w:pPr>
      <w:ind w:firstLine="0"/>
    </w:pPr>
    <w:rPr>
      <w:bCs/>
    </w:rPr>
  </w:style>
  <w:style w:type="paragraph" w:customStyle="1" w:styleId="595">
    <w:name w:val="03"/>
    <w:basedOn w:val="4"/>
    <w:qFormat/>
    <w:uiPriority w:val="0"/>
    <w:pPr>
      <w:keepNext w:val="0"/>
      <w:tabs>
        <w:tab w:val="left" w:pos="576"/>
      </w:tabs>
      <w:spacing w:before="156" w:beforeLines="50" w:after="156" w:afterLines="50"/>
      <w:outlineLvl w:val="0"/>
    </w:pPr>
    <w:rPr>
      <w:rFonts w:ascii="宋体" w:hAnsi="宋体"/>
      <w:b w:val="0"/>
      <w:bCs w:val="0"/>
      <w:sz w:val="24"/>
      <w:szCs w:val="30"/>
    </w:rPr>
  </w:style>
  <w:style w:type="paragraph" w:customStyle="1" w:styleId="596">
    <w:name w:val="样式 宋体 小四 行距: 1.5 倍行距 首行缩进:  2 字符"/>
    <w:basedOn w:val="1"/>
    <w:qFormat/>
    <w:uiPriority w:val="0"/>
    <w:pPr>
      <w:ind w:firstLine="200"/>
    </w:pPr>
    <w:rPr>
      <w:rFonts w:ascii="宋体" w:cs="宋体"/>
      <w:szCs w:val="20"/>
    </w:rPr>
  </w:style>
  <w:style w:type="paragraph" w:customStyle="1" w:styleId="597">
    <w:name w:val="xl27"/>
    <w:basedOn w:val="1"/>
    <w:qFormat/>
    <w:uiPriority w:val="0"/>
    <w:pPr>
      <w:pBdr>
        <w:bottom w:val="single" w:color="auto" w:sz="4" w:space="0"/>
        <w:right w:val="single" w:color="auto" w:sz="4" w:space="0"/>
      </w:pBdr>
      <w:spacing w:before="100" w:beforeAutospacing="1" w:after="100" w:afterAutospacing="1"/>
      <w:jc w:val="center"/>
      <w:textAlignment w:val="top"/>
    </w:pPr>
    <w:rPr>
      <w:kern w:val="0"/>
      <w:szCs w:val="24"/>
    </w:rPr>
  </w:style>
  <w:style w:type="paragraph" w:customStyle="1" w:styleId="598">
    <w:name w:val="Char5"/>
    <w:basedOn w:val="1"/>
    <w:qFormat/>
    <w:uiPriority w:val="0"/>
    <w:pPr>
      <w:ind w:firstLine="200"/>
    </w:pPr>
    <w:rPr>
      <w:rFonts w:ascii="宋体" w:hAnsi="宋体" w:cs="宋体"/>
      <w:szCs w:val="24"/>
    </w:rPr>
  </w:style>
  <w:style w:type="paragraph" w:customStyle="1" w:styleId="599">
    <w:name w:val="xl46"/>
    <w:basedOn w:val="1"/>
    <w:qFormat/>
    <w:uiPriority w:val="0"/>
    <w:pPr>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600">
    <w:name w:val="font0"/>
    <w:basedOn w:val="1"/>
    <w:qFormat/>
    <w:uiPriority w:val="0"/>
    <w:pPr>
      <w:spacing w:before="100" w:beforeAutospacing="1" w:after="100" w:afterAutospacing="1"/>
    </w:pPr>
    <w:rPr>
      <w:rFonts w:hint="eastAsia" w:ascii="宋体" w:hAnsi="宋体" w:cs="Arial Unicode MS"/>
      <w:kern w:val="0"/>
      <w:szCs w:val="24"/>
    </w:rPr>
  </w:style>
  <w:style w:type="paragraph" w:customStyle="1" w:styleId="601">
    <w:name w:val="Char7 Char Char"/>
    <w:basedOn w:val="1"/>
    <w:semiHidden/>
    <w:qFormat/>
    <w:uiPriority w:val="0"/>
    <w:pPr>
      <w:ind w:firstLine="200"/>
    </w:pPr>
    <w:rPr>
      <w:rFonts w:ascii="宋体" w:hAnsi="宋体" w:cs="宋体"/>
      <w:szCs w:val="24"/>
    </w:rPr>
  </w:style>
  <w:style w:type="paragraph" w:customStyle="1" w:styleId="602">
    <w:name w:val="样式 样式 标题 2节标题 1.1h2l22nd levelTitre22Header 2 + 段前: 0 磅 段后:... +..."/>
    <w:basedOn w:val="1"/>
    <w:qFormat/>
    <w:uiPriority w:val="0"/>
    <w:pPr>
      <w:keepNext/>
      <w:keepLines/>
      <w:tabs>
        <w:tab w:val="left" w:pos="720"/>
        <w:tab w:val="left" w:pos="1060"/>
      </w:tabs>
      <w:spacing w:before="100" w:beforeLines="100" w:after="100" w:afterLines="100"/>
      <w:outlineLvl w:val="1"/>
    </w:pPr>
    <w:rPr>
      <w:rFonts w:ascii="Arial" w:hAnsi="Arial" w:cs="宋体"/>
      <w:b/>
      <w:bCs/>
      <w:sz w:val="28"/>
      <w:szCs w:val="20"/>
    </w:rPr>
  </w:style>
  <w:style w:type="paragraph" w:customStyle="1" w:styleId="603">
    <w:name w:val="样式1"/>
    <w:basedOn w:val="1"/>
    <w:qFormat/>
    <w:uiPriority w:val="0"/>
    <w:pPr>
      <w:overflowPunct w:val="0"/>
      <w:topLinePunct/>
      <w:autoSpaceDE w:val="0"/>
      <w:autoSpaceDN w:val="0"/>
      <w:spacing w:line="400" w:lineRule="atLeast"/>
      <w:textAlignment w:val="baseline"/>
    </w:pPr>
    <w:rPr>
      <w:rFonts w:ascii="宋体"/>
      <w:szCs w:val="20"/>
    </w:rPr>
  </w:style>
  <w:style w:type="paragraph" w:customStyle="1" w:styleId="604">
    <w:name w:val="6 Char Char Char Char"/>
    <w:basedOn w:val="1"/>
    <w:qFormat/>
    <w:uiPriority w:val="0"/>
    <w:rPr>
      <w:szCs w:val="24"/>
    </w:rPr>
  </w:style>
  <w:style w:type="paragraph" w:customStyle="1" w:styleId="605">
    <w:name w:val="样式 小四 黑色 行距: 固定值 26 磅"/>
    <w:basedOn w:val="1"/>
    <w:qFormat/>
    <w:uiPriority w:val="0"/>
    <w:pPr>
      <w:spacing w:line="480" w:lineRule="exact"/>
      <w:ind w:firstLine="200"/>
    </w:pPr>
    <w:rPr>
      <w:rFonts w:cs="宋体"/>
      <w:color w:val="000000"/>
      <w:szCs w:val="20"/>
    </w:rPr>
  </w:style>
  <w:style w:type="paragraph" w:customStyle="1" w:styleId="606">
    <w:name w:val="图目录"/>
    <w:basedOn w:val="69"/>
    <w:qFormat/>
    <w:uiPriority w:val="0"/>
    <w:pPr>
      <w:tabs>
        <w:tab w:val="clear" w:pos="510"/>
      </w:tabs>
      <w:adjustRightInd/>
      <w:snapToGrid/>
      <w:spacing w:line="240" w:lineRule="auto"/>
      <w:ind w:left="420" w:hanging="420"/>
      <w:textAlignment w:val="auto"/>
    </w:pPr>
    <w:rPr>
      <w:kern w:val="2"/>
    </w:rPr>
  </w:style>
  <w:style w:type="paragraph" w:customStyle="1" w:styleId="607">
    <w:name w:val="xl26"/>
    <w:basedOn w:val="1"/>
    <w:qFormat/>
    <w:uiPriority w:val="0"/>
    <w:pPr>
      <w:pBdr>
        <w:right w:val="single" w:color="auto" w:sz="4" w:space="0"/>
      </w:pBdr>
      <w:spacing w:before="100" w:after="100"/>
      <w:jc w:val="center"/>
      <w:textAlignment w:val="top"/>
    </w:pPr>
    <w:rPr>
      <w:rFonts w:ascii="宋体" w:hAnsi="宋体"/>
      <w:kern w:val="0"/>
      <w:szCs w:val="20"/>
    </w:rPr>
  </w:style>
  <w:style w:type="paragraph" w:customStyle="1" w:styleId="608">
    <w:name w:val="页眉3"/>
    <w:basedOn w:val="1"/>
    <w:qFormat/>
    <w:uiPriority w:val="0"/>
    <w:pPr>
      <w:pBdr>
        <w:bottom w:val="single" w:color="auto" w:sz="6" w:space="1"/>
      </w:pBdr>
      <w:tabs>
        <w:tab w:val="center" w:pos="4153"/>
        <w:tab w:val="right" w:pos="8306"/>
      </w:tabs>
      <w:jc w:val="center"/>
    </w:pPr>
    <w:rPr>
      <w:kern w:val="0"/>
      <w:sz w:val="18"/>
      <w:szCs w:val="18"/>
    </w:rPr>
  </w:style>
  <w:style w:type="paragraph" w:customStyle="1" w:styleId="609">
    <w:name w:val="xl71"/>
    <w:basedOn w:val="1"/>
    <w:qFormat/>
    <w:uiPriority w:val="0"/>
    <w:pPr>
      <w:pBdr>
        <w:bottom w:val="single" w:color="auto" w:sz="8" w:space="0"/>
        <w:right w:val="single" w:color="auto" w:sz="8" w:space="0"/>
      </w:pBdr>
      <w:spacing w:before="100" w:beforeAutospacing="1" w:after="100" w:afterAutospacing="1"/>
      <w:jc w:val="center"/>
    </w:pPr>
    <w:rPr>
      <w:color w:val="800000"/>
      <w:kern w:val="0"/>
      <w:szCs w:val="21"/>
    </w:rPr>
  </w:style>
  <w:style w:type="paragraph" w:customStyle="1" w:styleId="610">
    <w:name w:val="正文文本 31"/>
    <w:basedOn w:val="1"/>
    <w:qFormat/>
    <w:uiPriority w:val="0"/>
    <w:rPr>
      <w:color w:val="0000FF"/>
      <w:kern w:val="0"/>
      <w:sz w:val="28"/>
      <w:szCs w:val="20"/>
    </w:rPr>
  </w:style>
  <w:style w:type="paragraph" w:customStyle="1" w:styleId="611">
    <w:name w:val="xl91"/>
    <w:basedOn w:val="1"/>
    <w:qFormat/>
    <w:uiPriority w:val="0"/>
    <w:pPr>
      <w:pBdr>
        <w:top w:val="single" w:color="auto" w:sz="8" w:space="0"/>
        <w:bottom w:val="single" w:color="auto" w:sz="8" w:space="0"/>
        <w:right w:val="single" w:color="auto" w:sz="8" w:space="0"/>
      </w:pBdr>
      <w:spacing w:before="100" w:beforeAutospacing="1" w:after="100" w:afterAutospacing="1"/>
      <w:jc w:val="center"/>
      <w:textAlignment w:val="bottom"/>
    </w:pPr>
    <w:rPr>
      <w:rFonts w:ascii="Arial" w:hAnsi="Arial" w:cs="Arial"/>
      <w:color w:val="000000"/>
      <w:kern w:val="0"/>
      <w:sz w:val="20"/>
      <w:szCs w:val="20"/>
    </w:rPr>
  </w:style>
  <w:style w:type="paragraph" w:customStyle="1" w:styleId="612">
    <w:name w:val="Char3 Char Char Char"/>
    <w:basedOn w:val="1"/>
    <w:qFormat/>
    <w:uiPriority w:val="0"/>
    <w:rPr>
      <w:rFonts w:ascii="宋体" w:hAnsi="宋体" w:cs="宋体"/>
      <w:szCs w:val="24"/>
    </w:rPr>
  </w:style>
  <w:style w:type="paragraph" w:customStyle="1" w:styleId="613">
    <w:name w:val="样式 标题 3 + 小四 行距: 1.5 倍行距"/>
    <w:basedOn w:val="5"/>
    <w:qFormat/>
    <w:uiPriority w:val="0"/>
    <w:pPr>
      <w:keepNext w:val="0"/>
      <w:keepLines w:val="0"/>
      <w:spacing w:before="156" w:beforeLines="50" w:after="0"/>
    </w:pPr>
    <w:rPr>
      <w:rFonts w:ascii="宋体" w:hAnsi="宋体"/>
      <w:b w:val="0"/>
      <w:sz w:val="24"/>
      <w:szCs w:val="24"/>
    </w:rPr>
  </w:style>
  <w:style w:type="paragraph" w:customStyle="1" w:styleId="614">
    <w:name w:val="CM8"/>
    <w:basedOn w:val="511"/>
    <w:next w:val="511"/>
    <w:qFormat/>
    <w:uiPriority w:val="0"/>
    <w:pPr>
      <w:spacing w:line="531" w:lineRule="atLeast"/>
    </w:pPr>
    <w:rPr>
      <w:rFonts w:ascii="HiddenHorzOCl" w:hAnsi="Times New Roman" w:eastAsia="HiddenHorzOCl" w:cs="Times New Roman"/>
      <w:color w:val="auto"/>
    </w:rPr>
  </w:style>
  <w:style w:type="table" w:customStyle="1" w:styleId="615">
    <w:name w:val="(环评报告表）1"/>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6">
    <w:name w:val="表格主题1"/>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7">
    <w:name w:val="网格型 11"/>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618">
    <w:name w:val="网格型 71"/>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619">
    <w:name w:val="列表型 81"/>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620">
    <w:name w:val="网格型 51"/>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621">
    <w:name w:val="简明型 31"/>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622">
    <w:name w:val="网页型 31"/>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623">
    <w:name w:val="简明型 11"/>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624">
    <w:name w:val="典雅型1"/>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character" w:customStyle="1" w:styleId="625">
    <w:name w:val="表格 Char Char"/>
    <w:qFormat/>
    <w:uiPriority w:val="0"/>
    <w:rPr>
      <w:color w:val="FF0000"/>
      <w:sz w:val="24"/>
      <w:szCs w:val="24"/>
    </w:rPr>
  </w:style>
  <w:style w:type="character" w:customStyle="1" w:styleId="626">
    <w:name w:val="表文5号 Char Char"/>
    <w:link w:val="627"/>
    <w:qFormat/>
    <w:uiPriority w:val="0"/>
    <w:rPr>
      <w:rFonts w:cs="宋体"/>
      <w:sz w:val="21"/>
      <w:szCs w:val="21"/>
    </w:rPr>
  </w:style>
  <w:style w:type="paragraph" w:customStyle="1" w:styleId="627">
    <w:name w:val="表文5号"/>
    <w:basedOn w:val="1"/>
    <w:link w:val="626"/>
    <w:qFormat/>
    <w:uiPriority w:val="0"/>
    <w:pPr>
      <w:widowControl w:val="0"/>
      <w:spacing w:line="0" w:lineRule="atLeast"/>
    </w:pPr>
    <w:rPr>
      <w:rFonts w:cs="宋体"/>
      <w:kern w:val="0"/>
      <w:szCs w:val="21"/>
    </w:rPr>
  </w:style>
  <w:style w:type="character" w:customStyle="1" w:styleId="628">
    <w:name w:val="正文2 Char1"/>
    <w:qFormat/>
    <w:uiPriority w:val="0"/>
    <w:rPr>
      <w:rFonts w:ascii="宋体" w:eastAsia="宋体" w:cs="宋体"/>
      <w:sz w:val="24"/>
      <w:szCs w:val="18"/>
      <w:lang w:val="zh-CN" w:eastAsia="zh-CN" w:bidi="ar-SA"/>
    </w:rPr>
  </w:style>
  <w:style w:type="character" w:customStyle="1" w:styleId="629">
    <w:name w:val="脚注文本 Char1"/>
    <w:qFormat/>
    <w:uiPriority w:val="0"/>
    <w:rPr>
      <w:kern w:val="2"/>
      <w:sz w:val="18"/>
      <w:szCs w:val="18"/>
    </w:rPr>
  </w:style>
  <w:style w:type="character" w:customStyle="1" w:styleId="630">
    <w:name w:val="t_tag"/>
    <w:qFormat/>
    <w:uiPriority w:val="0"/>
  </w:style>
  <w:style w:type="character" w:customStyle="1" w:styleId="631">
    <w:name w:val="三级标题 Char Char"/>
    <w:link w:val="632"/>
    <w:qFormat/>
    <w:uiPriority w:val="0"/>
    <w:rPr>
      <w:rFonts w:ascii="宋体" w:hAnsi="宋体" w:eastAsia="仿宋_GB2312" w:cs="Arial"/>
      <w:bCs/>
      <w:sz w:val="30"/>
      <w:szCs w:val="30"/>
    </w:rPr>
  </w:style>
  <w:style w:type="paragraph" w:customStyle="1" w:styleId="632">
    <w:name w:val="三级标题"/>
    <w:basedOn w:val="1"/>
    <w:next w:val="1"/>
    <w:link w:val="631"/>
    <w:qFormat/>
    <w:uiPriority w:val="0"/>
    <w:pPr>
      <w:widowControl w:val="0"/>
      <w:overflowPunct w:val="0"/>
      <w:autoSpaceDE w:val="0"/>
      <w:autoSpaceDN w:val="0"/>
      <w:ind w:firstLine="600"/>
      <w:textAlignment w:val="baseline"/>
    </w:pPr>
    <w:rPr>
      <w:rFonts w:ascii="宋体" w:hAnsi="宋体" w:eastAsia="仿宋_GB2312" w:cs="Arial"/>
      <w:bCs/>
      <w:kern w:val="0"/>
      <w:sz w:val="30"/>
      <w:szCs w:val="30"/>
    </w:rPr>
  </w:style>
  <w:style w:type="character" w:customStyle="1" w:styleId="633">
    <w:name w:val="表T Char Char"/>
    <w:link w:val="634"/>
    <w:qFormat/>
    <w:uiPriority w:val="0"/>
    <w:rPr>
      <w:b/>
      <w:sz w:val="21"/>
      <w:szCs w:val="24"/>
    </w:rPr>
  </w:style>
  <w:style w:type="paragraph" w:customStyle="1" w:styleId="634">
    <w:name w:val="表T"/>
    <w:basedOn w:val="1"/>
    <w:next w:val="1"/>
    <w:link w:val="633"/>
    <w:qFormat/>
    <w:uiPriority w:val="0"/>
    <w:pPr>
      <w:widowControl w:val="0"/>
      <w:spacing w:before="156" w:beforeLines="50"/>
    </w:pPr>
    <w:rPr>
      <w:b/>
      <w:kern w:val="0"/>
      <w:szCs w:val="24"/>
    </w:rPr>
  </w:style>
  <w:style w:type="character" w:customStyle="1" w:styleId="635">
    <w:name w:val="样式 条题 + 宋体 Char"/>
    <w:qFormat/>
    <w:uiPriority w:val="0"/>
    <w:rPr>
      <w:rFonts w:ascii="宋体" w:hAnsi="宋体" w:eastAsia="宋体"/>
      <w:bCs/>
      <w:color w:val="000000"/>
      <w:kern w:val="2"/>
      <w:sz w:val="24"/>
      <w:szCs w:val="24"/>
      <w:lang w:val="en-US" w:eastAsia="zh-CN" w:bidi="ar-SA"/>
    </w:rPr>
  </w:style>
  <w:style w:type="character" w:customStyle="1" w:styleId="636">
    <w:name w:val="正文首行缩进 Char1"/>
    <w:qFormat/>
    <w:uiPriority w:val="0"/>
  </w:style>
  <w:style w:type="character" w:customStyle="1" w:styleId="637">
    <w:name w:val="正文文本 Char1"/>
    <w:qFormat/>
    <w:uiPriority w:val="0"/>
    <w:rPr>
      <w:kern w:val="2"/>
      <w:sz w:val="21"/>
      <w:szCs w:val="24"/>
    </w:rPr>
  </w:style>
  <w:style w:type="character" w:customStyle="1" w:styleId="638">
    <w:name w:val="A9"/>
    <w:qFormat/>
    <w:uiPriority w:val="0"/>
    <w:rPr>
      <w:rFonts w:cs="华文细黑"/>
      <w:color w:val="000000"/>
      <w:sz w:val="22"/>
      <w:szCs w:val="22"/>
    </w:rPr>
  </w:style>
  <w:style w:type="character" w:customStyle="1" w:styleId="639">
    <w:name w:val="表格 Char Char Char"/>
    <w:qFormat/>
    <w:uiPriority w:val="0"/>
    <w:rPr>
      <w:rFonts w:ascii="宋体" w:hAnsi="宋体"/>
      <w:bCs/>
      <w:sz w:val="24"/>
      <w:szCs w:val="24"/>
    </w:rPr>
  </w:style>
  <w:style w:type="character" w:customStyle="1" w:styleId="640">
    <w:name w:val="表文5号 Char Char Char"/>
    <w:qFormat/>
    <w:uiPriority w:val="0"/>
    <w:rPr>
      <w:rFonts w:cs="宋体"/>
      <w:sz w:val="21"/>
      <w:szCs w:val="21"/>
    </w:rPr>
  </w:style>
  <w:style w:type="paragraph" w:customStyle="1" w:styleId="641">
    <w:name w:val="样式 样式 样式 首行缩进:  2 字符 段前: 0.5 行 段后: 1 行 + 首行缩进:  2 字符 + 首行缩进:  2 ..."/>
    <w:basedOn w:val="1"/>
    <w:qFormat/>
    <w:uiPriority w:val="0"/>
    <w:pPr>
      <w:widowControl w:val="0"/>
      <w:ind w:firstLine="200"/>
    </w:pPr>
    <w:rPr>
      <w:rFonts w:cs="宋体"/>
      <w:szCs w:val="20"/>
    </w:rPr>
  </w:style>
  <w:style w:type="paragraph" w:customStyle="1" w:styleId="642">
    <w:name w:val="样式 a3_标题2 + (西文) 黑体 (中文) 黑体 非加粗 段前: 7.8 磅 行距: 固定值 23 磅"/>
    <w:basedOn w:val="643"/>
    <w:qFormat/>
    <w:uiPriority w:val="0"/>
    <w:pPr>
      <w:spacing w:line="460" w:lineRule="exact"/>
      <w:ind w:left="420" w:firstLine="0"/>
    </w:pPr>
    <w:rPr>
      <w:rFonts w:eastAsia="黑体" w:cs="宋体"/>
      <w:b w:val="0"/>
      <w:szCs w:val="20"/>
    </w:rPr>
  </w:style>
  <w:style w:type="paragraph" w:customStyle="1" w:styleId="643">
    <w:name w:val="a3_标题2"/>
    <w:basedOn w:val="1"/>
    <w:qFormat/>
    <w:uiPriority w:val="0"/>
    <w:pPr>
      <w:widowControl w:val="0"/>
      <w:ind w:left="709" w:hanging="709"/>
      <w:outlineLvl w:val="2"/>
    </w:pPr>
    <w:rPr>
      <w:rFonts w:eastAsia="华文细黑"/>
      <w:b/>
      <w:sz w:val="30"/>
      <w:szCs w:val="24"/>
    </w:rPr>
  </w:style>
  <w:style w:type="paragraph" w:customStyle="1" w:styleId="644">
    <w:name w:val="样式 a3_标题1 + 黑体 小三 非加粗 段后: 0.5 行1"/>
    <w:basedOn w:val="645"/>
    <w:qFormat/>
    <w:uiPriority w:val="0"/>
    <w:pPr>
      <w:tabs>
        <w:tab w:val="left" w:pos="767"/>
      </w:tabs>
      <w:spacing w:after="0" w:afterLines="0"/>
      <w:ind w:left="0" w:firstLine="0"/>
    </w:pPr>
    <w:rPr>
      <w:rFonts w:ascii="黑体" w:eastAsia="黑体" w:cs="宋体"/>
      <w:b w:val="0"/>
      <w:sz w:val="30"/>
      <w:szCs w:val="20"/>
    </w:rPr>
  </w:style>
  <w:style w:type="paragraph" w:customStyle="1" w:styleId="645">
    <w:name w:val="a3_标题1"/>
    <w:basedOn w:val="1"/>
    <w:qFormat/>
    <w:uiPriority w:val="0"/>
    <w:pPr>
      <w:widowControl w:val="0"/>
      <w:tabs>
        <w:tab w:val="left" w:pos="767"/>
      </w:tabs>
      <w:spacing w:after="156" w:afterLines="50"/>
      <w:ind w:left="767" w:hanging="567"/>
      <w:outlineLvl w:val="1"/>
    </w:pPr>
    <w:rPr>
      <w:rFonts w:eastAsia="华文细黑"/>
      <w:b/>
      <w:sz w:val="32"/>
      <w:szCs w:val="24"/>
    </w:rPr>
  </w:style>
  <w:style w:type="paragraph" w:customStyle="1" w:styleId="646">
    <w:name w:val="nilo_标题0"/>
    <w:basedOn w:val="1"/>
    <w:qFormat/>
    <w:uiPriority w:val="0"/>
    <w:pPr>
      <w:widowControl w:val="0"/>
      <w:numPr>
        <w:ilvl w:val="0"/>
        <w:numId w:val="4"/>
      </w:numPr>
      <w:spacing w:line="300" w:lineRule="auto"/>
      <w:jc w:val="center"/>
      <w:outlineLvl w:val="0"/>
    </w:pPr>
    <w:rPr>
      <w:rFonts w:ascii="黑体" w:hAnsi="宋体" w:eastAsia="黑体"/>
      <w:sz w:val="32"/>
      <w:szCs w:val="21"/>
    </w:rPr>
  </w:style>
  <w:style w:type="paragraph" w:customStyle="1" w:styleId="647">
    <w:name w:val="样式 a3_标题1 + 黑体"/>
    <w:basedOn w:val="645"/>
    <w:qFormat/>
    <w:uiPriority w:val="0"/>
    <w:pPr>
      <w:spacing w:after="0" w:afterLines="0"/>
      <w:outlineLvl w:val="0"/>
    </w:pPr>
    <w:rPr>
      <w:rFonts w:ascii="黑体" w:eastAsia="黑体" w:cs="宋体"/>
      <w:b w:val="0"/>
      <w:kern w:val="0"/>
      <w:sz w:val="36"/>
      <w:szCs w:val="20"/>
    </w:rPr>
  </w:style>
  <w:style w:type="paragraph" w:customStyle="1" w:styleId="648">
    <w:name w:val="a3_标题0"/>
    <w:basedOn w:val="1"/>
    <w:qFormat/>
    <w:uiPriority w:val="0"/>
    <w:pPr>
      <w:widowControl w:val="0"/>
      <w:numPr>
        <w:ilvl w:val="0"/>
        <w:numId w:val="5"/>
      </w:numPr>
      <w:spacing w:line="300" w:lineRule="auto"/>
      <w:jc w:val="center"/>
      <w:outlineLvl w:val="0"/>
    </w:pPr>
    <w:rPr>
      <w:rFonts w:ascii="华文细黑" w:hAnsi="宋体" w:eastAsia="华文细黑"/>
      <w:b/>
      <w:sz w:val="36"/>
      <w:szCs w:val="21"/>
    </w:rPr>
  </w:style>
  <w:style w:type="paragraph" w:customStyle="1" w:styleId="649">
    <w:name w:val="条文正文 + 段后: 0.5 行"/>
    <w:basedOn w:val="1"/>
    <w:qFormat/>
    <w:uiPriority w:val="0"/>
    <w:pPr>
      <w:widowControl w:val="0"/>
      <w:spacing w:after="156" w:afterLines="50" w:line="400" w:lineRule="exact"/>
    </w:pPr>
    <w:rPr>
      <w:rFonts w:ascii="Arial" w:hAnsi="Arial" w:cs="宋体"/>
      <w:kern w:val="0"/>
      <w:szCs w:val="20"/>
    </w:rPr>
  </w:style>
  <w:style w:type="paragraph" w:customStyle="1" w:styleId="650">
    <w:name w:val="样式 A3标题1 黑体 小二"/>
    <w:basedOn w:val="651"/>
    <w:next w:val="654"/>
    <w:qFormat/>
    <w:uiPriority w:val="0"/>
    <w:pPr>
      <w:numPr>
        <w:ilvl w:val="0"/>
        <w:numId w:val="6"/>
      </w:numPr>
      <w:tabs>
        <w:tab w:val="left" w:pos="767"/>
      </w:tabs>
      <w:jc w:val="left"/>
    </w:pPr>
  </w:style>
  <w:style w:type="paragraph" w:customStyle="1" w:styleId="651">
    <w:name w:val="A3标题1 黑体 小二"/>
    <w:basedOn w:val="652"/>
    <w:qFormat/>
    <w:uiPriority w:val="0"/>
    <w:pPr>
      <w:tabs>
        <w:tab w:val="left" w:pos="767"/>
      </w:tabs>
      <w:spacing w:line="540" w:lineRule="exact"/>
    </w:pPr>
  </w:style>
  <w:style w:type="paragraph" w:customStyle="1" w:styleId="652">
    <w:name w:val="样式 样式 a3_标题1 + 黑体 非加粗 段后: 0.5 行 行距: 固定值 25 磅 + 段后: 0.5 行"/>
    <w:basedOn w:val="653"/>
    <w:qFormat/>
    <w:uiPriority w:val="0"/>
    <w:pPr>
      <w:numPr>
        <w:ilvl w:val="0"/>
        <w:numId w:val="7"/>
      </w:numPr>
      <w:tabs>
        <w:tab w:val="left" w:pos="767"/>
      </w:tabs>
      <w:ind w:left="0" w:firstLine="0"/>
      <w:jc w:val="center"/>
    </w:pPr>
    <w:rPr>
      <w:sz w:val="36"/>
    </w:rPr>
  </w:style>
  <w:style w:type="paragraph" w:customStyle="1" w:styleId="653">
    <w:name w:val="样式 a3_标题1 + 黑体 非加粗 段后: 0.5 行 行距: 固定值 25 磅"/>
    <w:basedOn w:val="645"/>
    <w:qFormat/>
    <w:uiPriority w:val="0"/>
    <w:pPr>
      <w:spacing w:line="500" w:lineRule="exact"/>
      <w:ind w:left="0" w:firstLine="0"/>
      <w:outlineLvl w:val="0"/>
    </w:pPr>
    <w:rPr>
      <w:rFonts w:ascii="黑体" w:eastAsia="黑体" w:cs="宋体"/>
      <w:b w:val="0"/>
      <w:szCs w:val="20"/>
    </w:rPr>
  </w:style>
  <w:style w:type="paragraph" w:customStyle="1" w:styleId="654">
    <w:name w:val="A3标题2 黑体 小三"/>
    <w:basedOn w:val="643"/>
    <w:qFormat/>
    <w:uiPriority w:val="0"/>
    <w:pPr>
      <w:spacing w:line="500" w:lineRule="exact"/>
      <w:outlineLvl w:val="1"/>
    </w:pPr>
    <w:rPr>
      <w:rFonts w:ascii="黑体" w:eastAsia="黑体" w:cs="宋体"/>
      <w:b w:val="0"/>
      <w:szCs w:val="20"/>
    </w:rPr>
  </w:style>
  <w:style w:type="paragraph" w:customStyle="1" w:styleId="655">
    <w:name w:val="样式 正文文本 + 首行缩进:  0.85 厘米 段前: 6 磅 行距: 固定值 22 磅"/>
    <w:basedOn w:val="31"/>
    <w:qFormat/>
    <w:uiPriority w:val="0"/>
    <w:pPr>
      <w:widowControl w:val="0"/>
      <w:spacing w:before="120" w:line="440" w:lineRule="exact"/>
      <w:ind w:firstLine="482"/>
    </w:pPr>
    <w:rPr>
      <w:rFonts w:cs="宋体"/>
      <w:szCs w:val="20"/>
      <w:lang w:val="zh-CN"/>
    </w:rPr>
  </w:style>
  <w:style w:type="paragraph" w:customStyle="1" w:styleId="656">
    <w:name w:val="样式 a3_标题1 + 段后: 0.5 行"/>
    <w:basedOn w:val="645"/>
    <w:qFormat/>
    <w:uiPriority w:val="0"/>
    <w:pPr>
      <w:ind w:left="567"/>
    </w:pPr>
    <w:rPr>
      <w:rFonts w:cs="宋体"/>
      <w:bCs/>
      <w:szCs w:val="20"/>
    </w:rPr>
  </w:style>
  <w:style w:type="paragraph" w:customStyle="1" w:styleId="657">
    <w:name w:val="样式 样式 a3_标题2 + 黑体 + 小三 加粗 段前: 7.8 磅 段后: 7.8 磅 行距: 固定值 23 磅"/>
    <w:basedOn w:val="658"/>
    <w:qFormat/>
    <w:uiPriority w:val="0"/>
    <w:pPr>
      <w:numPr>
        <w:ilvl w:val="0"/>
        <w:numId w:val="8"/>
      </w:numPr>
      <w:spacing w:before="156" w:after="156" w:line="460" w:lineRule="exact"/>
    </w:pPr>
    <w:rPr>
      <w:b/>
      <w:bCs/>
      <w:sz w:val="30"/>
    </w:rPr>
  </w:style>
  <w:style w:type="paragraph" w:customStyle="1" w:styleId="658">
    <w:name w:val="样式 a3_标题2 + 黑体"/>
    <w:basedOn w:val="643"/>
    <w:qFormat/>
    <w:uiPriority w:val="0"/>
    <w:pPr>
      <w:spacing w:line="500" w:lineRule="exact"/>
      <w:outlineLvl w:val="1"/>
    </w:pPr>
    <w:rPr>
      <w:rFonts w:ascii="黑体" w:eastAsia="黑体" w:cs="宋体"/>
      <w:b w:val="0"/>
      <w:sz w:val="32"/>
      <w:szCs w:val="20"/>
    </w:rPr>
  </w:style>
  <w:style w:type="paragraph" w:customStyle="1" w:styleId="659">
    <w:name w:val="样式 样式 A3标题2 黑体 小三"/>
    <w:basedOn w:val="651"/>
    <w:next w:val="660"/>
    <w:qFormat/>
    <w:uiPriority w:val="0"/>
    <w:pPr>
      <w:numPr>
        <w:ilvl w:val="0"/>
        <w:numId w:val="9"/>
      </w:numPr>
      <w:spacing w:after="0" w:afterLines="0" w:line="500" w:lineRule="exact"/>
      <w:ind w:left="0" w:firstLine="0"/>
      <w:jc w:val="left"/>
      <w:outlineLvl w:val="1"/>
    </w:pPr>
    <w:rPr>
      <w:sz w:val="30"/>
    </w:rPr>
  </w:style>
  <w:style w:type="paragraph" w:customStyle="1" w:styleId="660">
    <w:name w:val="样式 A3标题3 黑体 四号"/>
    <w:basedOn w:val="661"/>
    <w:qFormat/>
    <w:uiPriority w:val="0"/>
    <w:pPr>
      <w:tabs>
        <w:tab w:val="left" w:pos="0"/>
      </w:tabs>
      <w:spacing w:line="440" w:lineRule="exact"/>
      <w:ind w:left="0" w:firstLine="0"/>
      <w:outlineLvl w:val="2"/>
    </w:pPr>
    <w:rPr>
      <w:rFonts w:ascii="黑体" w:eastAsia="黑体" w:cs="宋体"/>
      <w:b w:val="0"/>
      <w:szCs w:val="20"/>
    </w:rPr>
  </w:style>
  <w:style w:type="paragraph" w:customStyle="1" w:styleId="661">
    <w:name w:val="a3_标题3"/>
    <w:basedOn w:val="1"/>
    <w:qFormat/>
    <w:uiPriority w:val="0"/>
    <w:pPr>
      <w:widowControl w:val="0"/>
      <w:tabs>
        <w:tab w:val="left" w:pos="0"/>
      </w:tabs>
      <w:ind w:left="851" w:hanging="851"/>
      <w:outlineLvl w:val="3"/>
    </w:pPr>
    <w:rPr>
      <w:rFonts w:eastAsia="华文细黑"/>
      <w:b/>
      <w:sz w:val="28"/>
      <w:szCs w:val="24"/>
    </w:rPr>
  </w:style>
  <w:style w:type="paragraph" w:customStyle="1" w:styleId="662">
    <w:name w:val="样式 a3_标题3 + 黑体"/>
    <w:basedOn w:val="661"/>
    <w:qFormat/>
    <w:uiPriority w:val="0"/>
    <w:pPr>
      <w:tabs>
        <w:tab w:val="clear" w:pos="0"/>
      </w:tabs>
      <w:spacing w:line="440" w:lineRule="exact"/>
      <w:outlineLvl w:val="2"/>
    </w:pPr>
    <w:rPr>
      <w:rFonts w:ascii="黑体" w:hAnsi="黑体" w:eastAsia="黑体"/>
      <w:b w:val="0"/>
    </w:rPr>
  </w:style>
  <w:style w:type="paragraph" w:customStyle="1" w:styleId="663">
    <w:name w:val="Char1 Char Char Char Char Char Char"/>
    <w:basedOn w:val="1"/>
    <w:qFormat/>
    <w:uiPriority w:val="0"/>
    <w:pPr>
      <w:widowControl w:val="0"/>
      <w:ind w:firstLine="200"/>
    </w:pPr>
    <w:rPr>
      <w:rFonts w:ascii="宋体" w:hAnsi="宋体" w:cs="宋体"/>
      <w:szCs w:val="24"/>
    </w:rPr>
  </w:style>
  <w:style w:type="paragraph" w:customStyle="1" w:styleId="664">
    <w:name w:val="nilo_标题4"/>
    <w:basedOn w:val="1"/>
    <w:qFormat/>
    <w:uiPriority w:val="0"/>
    <w:pPr>
      <w:widowControl w:val="0"/>
      <w:numPr>
        <w:ilvl w:val="4"/>
        <w:numId w:val="4"/>
      </w:numPr>
      <w:spacing w:before="240" w:after="80" w:line="440" w:lineRule="exact"/>
      <w:outlineLvl w:val="4"/>
    </w:pPr>
    <w:rPr>
      <w:rFonts w:eastAsia="黑体"/>
      <w:b/>
      <w:szCs w:val="24"/>
    </w:rPr>
  </w:style>
  <w:style w:type="paragraph" w:customStyle="1" w:styleId="665">
    <w:name w:val="a3_正文"/>
    <w:basedOn w:val="1"/>
    <w:qFormat/>
    <w:uiPriority w:val="0"/>
    <w:pPr>
      <w:widowControl w:val="0"/>
      <w:spacing w:line="300" w:lineRule="auto"/>
      <w:ind w:firstLine="200"/>
    </w:pPr>
    <w:rPr>
      <w:rFonts w:eastAsia="华文细黑"/>
      <w:szCs w:val="21"/>
    </w:rPr>
  </w:style>
  <w:style w:type="paragraph" w:customStyle="1" w:styleId="666">
    <w:name w:val="a3_表格文字"/>
    <w:basedOn w:val="1"/>
    <w:qFormat/>
    <w:uiPriority w:val="0"/>
    <w:pPr>
      <w:widowControl w:val="0"/>
      <w:spacing w:line="280" w:lineRule="exact"/>
    </w:pPr>
    <w:rPr>
      <w:rFonts w:eastAsia="华文细黑"/>
      <w:szCs w:val="21"/>
    </w:rPr>
  </w:style>
  <w:style w:type="paragraph" w:customStyle="1" w:styleId="667">
    <w:name w:val="标题5"/>
    <w:basedOn w:val="1"/>
    <w:next w:val="592"/>
    <w:qFormat/>
    <w:uiPriority w:val="0"/>
    <w:pPr>
      <w:widowControl w:val="0"/>
      <w:spacing w:before="156" w:beforeLines="50" w:after="93"/>
      <w:textAlignment w:val="baseline"/>
    </w:pPr>
    <w:rPr>
      <w:b/>
      <w:bCs/>
      <w:kern w:val="0"/>
      <w:szCs w:val="20"/>
    </w:rPr>
  </w:style>
  <w:style w:type="paragraph" w:customStyle="1" w:styleId="668">
    <w:name w:val="段"/>
    <w:link w:val="669"/>
    <w:qFormat/>
    <w:uiPriority w:val="0"/>
    <w:pPr>
      <w:autoSpaceDE w:val="0"/>
      <w:autoSpaceDN w:val="0"/>
      <w:ind w:firstLine="425"/>
      <w:jc w:val="both"/>
    </w:pPr>
    <w:rPr>
      <w:rFonts w:ascii="宋体" w:hAnsi="Times New Roman" w:eastAsia="宋体" w:cs="Times New Roman"/>
      <w:sz w:val="21"/>
      <w:lang w:val="en-US" w:eastAsia="zh-CN" w:bidi="ar-SA"/>
    </w:rPr>
  </w:style>
  <w:style w:type="character" w:customStyle="1" w:styleId="669">
    <w:name w:val="段 Char Char"/>
    <w:link w:val="668"/>
    <w:qFormat/>
    <w:uiPriority w:val="0"/>
    <w:rPr>
      <w:rFonts w:ascii="宋体" w:hAnsi="Times New Roman"/>
      <w:sz w:val="21"/>
    </w:rPr>
  </w:style>
  <w:style w:type="paragraph" w:customStyle="1" w:styleId="670">
    <w:name w:val="正文 1"/>
    <w:basedOn w:val="1"/>
    <w:qFormat/>
    <w:uiPriority w:val="0"/>
    <w:pPr>
      <w:widowControl w:val="0"/>
      <w:spacing w:line="440" w:lineRule="exact"/>
      <w:ind w:firstLine="510"/>
    </w:pPr>
    <w:rPr>
      <w:szCs w:val="24"/>
    </w:rPr>
  </w:style>
  <w:style w:type="paragraph" w:customStyle="1" w:styleId="671">
    <w:name w:val="nilo_标题3"/>
    <w:basedOn w:val="1"/>
    <w:qFormat/>
    <w:uiPriority w:val="0"/>
    <w:pPr>
      <w:widowControl w:val="0"/>
      <w:numPr>
        <w:ilvl w:val="3"/>
        <w:numId w:val="4"/>
      </w:numPr>
      <w:tabs>
        <w:tab w:val="left" w:pos="0"/>
      </w:tabs>
      <w:ind w:left="1049"/>
      <w:outlineLvl w:val="3"/>
    </w:pPr>
    <w:rPr>
      <w:rFonts w:eastAsia="黑体"/>
      <w:kern w:val="0"/>
      <w:szCs w:val="24"/>
    </w:rPr>
  </w:style>
  <w:style w:type="paragraph" w:customStyle="1" w:styleId="672">
    <w:name w:val="nilo_表头"/>
    <w:basedOn w:val="1"/>
    <w:qFormat/>
    <w:uiPriority w:val="0"/>
    <w:pPr>
      <w:widowControl w:val="0"/>
      <w:numPr>
        <w:ilvl w:val="5"/>
        <w:numId w:val="4"/>
      </w:numPr>
      <w:spacing w:before="120" w:after="120" w:line="440" w:lineRule="exact"/>
      <w:jc w:val="center"/>
      <w:outlineLvl w:val="5"/>
    </w:pPr>
    <w:rPr>
      <w:szCs w:val="21"/>
    </w:rPr>
  </w:style>
  <w:style w:type="paragraph" w:customStyle="1" w:styleId="673">
    <w:name w:val="表格头 1"/>
    <w:basedOn w:val="1"/>
    <w:qFormat/>
    <w:uiPriority w:val="0"/>
    <w:pPr>
      <w:widowControl w:val="0"/>
      <w:spacing w:before="120" w:after="120"/>
      <w:jc w:val="center"/>
    </w:pPr>
    <w:rPr>
      <w:rFonts w:eastAsia="黑体"/>
      <w:szCs w:val="24"/>
    </w:rPr>
  </w:style>
  <w:style w:type="paragraph" w:customStyle="1" w:styleId="674">
    <w:name w:val="样式 样式 a3_标题3 + 黑体 + 加粗 行距: 固定值 23 磅"/>
    <w:basedOn w:val="662"/>
    <w:qFormat/>
    <w:uiPriority w:val="0"/>
    <w:pPr>
      <w:numPr>
        <w:ilvl w:val="0"/>
        <w:numId w:val="10"/>
      </w:numPr>
      <w:spacing w:line="460" w:lineRule="exact"/>
    </w:pPr>
    <w:rPr>
      <w:rFonts w:cs="宋体"/>
      <w:b/>
      <w:bCs/>
      <w:szCs w:val="20"/>
    </w:rPr>
  </w:style>
  <w:style w:type="paragraph" w:customStyle="1" w:styleId="675">
    <w:name w:val="样式 小四 首行缩进:  2 字符"/>
    <w:basedOn w:val="1"/>
    <w:qFormat/>
    <w:uiPriority w:val="0"/>
    <w:pPr>
      <w:widowControl w:val="0"/>
      <w:spacing w:line="400" w:lineRule="exact"/>
      <w:ind w:firstLine="200"/>
    </w:pPr>
    <w:rPr>
      <w:rFonts w:cs="宋体"/>
      <w:szCs w:val="20"/>
    </w:rPr>
  </w:style>
  <w:style w:type="paragraph" w:customStyle="1" w:styleId="676">
    <w:name w:val="样式 首行缩进:  0.85 厘米"/>
    <w:basedOn w:val="1"/>
    <w:qFormat/>
    <w:uiPriority w:val="0"/>
    <w:pPr>
      <w:widowControl w:val="0"/>
      <w:spacing w:line="400" w:lineRule="exact"/>
      <w:ind w:firstLine="561"/>
    </w:pPr>
    <w:rPr>
      <w:bCs/>
      <w:szCs w:val="24"/>
    </w:rPr>
  </w:style>
  <w:style w:type="paragraph" w:customStyle="1" w:styleId="677">
    <w:name w:val="样式 宋体 四号 两端对齐 行距: 1.5 倍行距"/>
    <w:basedOn w:val="1"/>
    <w:qFormat/>
    <w:uiPriority w:val="0"/>
    <w:pPr>
      <w:widowControl w:val="0"/>
      <w:spacing w:before="156" w:after="156"/>
      <w:ind w:firstLine="480"/>
    </w:pPr>
    <w:rPr>
      <w:rFonts w:ascii="宋体" w:hAnsi="宋体" w:cs="宋体"/>
      <w:szCs w:val="24"/>
    </w:rPr>
  </w:style>
  <w:style w:type="paragraph" w:customStyle="1" w:styleId="678">
    <w:name w:val="a3_标题4"/>
    <w:basedOn w:val="1"/>
    <w:qFormat/>
    <w:uiPriority w:val="0"/>
    <w:pPr>
      <w:widowControl w:val="0"/>
      <w:spacing w:before="156" w:beforeLines="50"/>
      <w:outlineLvl w:val="4"/>
    </w:pPr>
    <w:rPr>
      <w:rFonts w:eastAsia="华文细黑"/>
      <w:b/>
      <w:szCs w:val="24"/>
    </w:rPr>
  </w:style>
  <w:style w:type="paragraph" w:customStyle="1" w:styleId="679">
    <w:name w:val="样式 A3标题2 黑体 小三"/>
    <w:basedOn w:val="654"/>
    <w:qFormat/>
    <w:uiPriority w:val="0"/>
    <w:pPr>
      <w:spacing w:line="460" w:lineRule="exact"/>
    </w:pPr>
  </w:style>
  <w:style w:type="paragraph" w:customStyle="1" w:styleId="680">
    <w:name w:val="nilo_标题2"/>
    <w:basedOn w:val="1"/>
    <w:qFormat/>
    <w:uiPriority w:val="0"/>
    <w:pPr>
      <w:widowControl w:val="0"/>
      <w:numPr>
        <w:ilvl w:val="2"/>
        <w:numId w:val="4"/>
      </w:numPr>
      <w:spacing w:before="120" w:line="440" w:lineRule="exact"/>
      <w:ind w:left="907"/>
      <w:outlineLvl w:val="2"/>
    </w:pPr>
    <w:rPr>
      <w:rFonts w:eastAsia="黑体"/>
      <w:b/>
      <w:kern w:val="0"/>
      <w:sz w:val="28"/>
      <w:szCs w:val="24"/>
    </w:rPr>
  </w:style>
  <w:style w:type="paragraph" w:customStyle="1" w:styleId="681">
    <w:name w:val="样式 段后: 0.5 行1"/>
    <w:basedOn w:val="1"/>
    <w:qFormat/>
    <w:uiPriority w:val="0"/>
    <w:pPr>
      <w:widowControl w:val="0"/>
      <w:spacing w:after="156" w:afterLines="50"/>
      <w:ind w:firstLine="200"/>
    </w:pPr>
    <w:rPr>
      <w:rFonts w:cs="宋体"/>
      <w:szCs w:val="20"/>
    </w:rPr>
  </w:style>
  <w:style w:type="paragraph" w:customStyle="1" w:styleId="682">
    <w:name w:val="正文 + 黑色"/>
    <w:basedOn w:val="1"/>
    <w:qFormat/>
    <w:uiPriority w:val="0"/>
    <w:pPr>
      <w:widowControl w:val="0"/>
      <w:jc w:val="center"/>
    </w:pPr>
    <w:rPr>
      <w:color w:val="FF0000"/>
      <w:szCs w:val="21"/>
    </w:rPr>
  </w:style>
  <w:style w:type="paragraph" w:customStyle="1" w:styleId="683">
    <w:name w:val="文章正文"/>
    <w:basedOn w:val="1"/>
    <w:qFormat/>
    <w:uiPriority w:val="0"/>
    <w:pPr>
      <w:widowControl w:val="0"/>
      <w:ind w:firstLine="480"/>
    </w:pPr>
    <w:rPr>
      <w:szCs w:val="20"/>
    </w:rPr>
  </w:style>
  <w:style w:type="paragraph" w:customStyle="1" w:styleId="684">
    <w:name w:val="样式 a3_标题1 + 黑体 小三 非加粗 段后: 0.5 行"/>
    <w:basedOn w:val="645"/>
    <w:qFormat/>
    <w:uiPriority w:val="0"/>
    <w:pPr>
      <w:numPr>
        <w:ilvl w:val="0"/>
        <w:numId w:val="11"/>
      </w:numPr>
      <w:spacing w:after="0" w:afterLines="0"/>
      <w:ind w:left="0" w:firstLine="0"/>
    </w:pPr>
    <w:rPr>
      <w:rFonts w:ascii="黑体" w:eastAsia="黑体" w:cs="宋体"/>
      <w:b w:val="0"/>
      <w:sz w:val="30"/>
      <w:szCs w:val="20"/>
    </w:rPr>
  </w:style>
  <w:style w:type="paragraph" w:customStyle="1" w:styleId="685">
    <w:name w:val="正文-第几条"/>
    <w:basedOn w:val="1"/>
    <w:qFormat/>
    <w:uiPriority w:val="0"/>
    <w:pPr>
      <w:widowControl w:val="0"/>
    </w:pPr>
    <w:rPr>
      <w:b/>
      <w:szCs w:val="24"/>
    </w:rPr>
  </w:style>
  <w:style w:type="paragraph" w:customStyle="1" w:styleId="686">
    <w:name w:val="a3_图名"/>
    <w:basedOn w:val="1"/>
    <w:qFormat/>
    <w:uiPriority w:val="0"/>
    <w:pPr>
      <w:widowControl w:val="0"/>
      <w:numPr>
        <w:ilvl w:val="6"/>
        <w:numId w:val="5"/>
      </w:numPr>
      <w:spacing w:line="440" w:lineRule="exact"/>
      <w:outlineLvl w:val="6"/>
    </w:pPr>
    <w:rPr>
      <w:rFonts w:eastAsia="华文细黑"/>
      <w:b/>
      <w:szCs w:val="21"/>
    </w:rPr>
  </w:style>
  <w:style w:type="paragraph" w:customStyle="1" w:styleId="687">
    <w:name w:val="样式 a3_标题3 + (西文) 黑体 (中文) 黑体 非加粗 行距: 固定值 23 磅"/>
    <w:basedOn w:val="661"/>
    <w:qFormat/>
    <w:uiPriority w:val="0"/>
    <w:pPr>
      <w:tabs>
        <w:tab w:val="clear" w:pos="0"/>
      </w:tabs>
      <w:spacing w:line="460" w:lineRule="exact"/>
      <w:ind w:left="1051"/>
    </w:pPr>
    <w:rPr>
      <w:rFonts w:eastAsia="黑体" w:cs="宋体"/>
      <w:b w:val="0"/>
      <w:szCs w:val="20"/>
    </w:rPr>
  </w:style>
  <w:style w:type="paragraph" w:customStyle="1" w:styleId="688">
    <w:name w:val="表格排序"/>
    <w:basedOn w:val="1"/>
    <w:next w:val="62"/>
    <w:qFormat/>
    <w:uiPriority w:val="0"/>
    <w:pPr>
      <w:numPr>
        <w:ilvl w:val="0"/>
        <w:numId w:val="12"/>
      </w:numPr>
      <w:jc w:val="center"/>
    </w:pPr>
    <w:rPr>
      <w:rFonts w:ascii="宋体" w:hAnsi="宋体"/>
      <w:b/>
      <w:szCs w:val="24"/>
    </w:rPr>
  </w:style>
  <w:style w:type="paragraph" w:customStyle="1" w:styleId="689">
    <w:name w:val="Char Char1"/>
    <w:basedOn w:val="1"/>
    <w:qFormat/>
    <w:uiPriority w:val="0"/>
    <w:pPr>
      <w:widowControl w:val="0"/>
      <w:tabs>
        <w:tab w:val="left" w:pos="420"/>
      </w:tabs>
      <w:ind w:left="420" w:hanging="420"/>
    </w:pPr>
    <w:rPr>
      <w:rFonts w:eastAsia="仿宋_GB2312" w:cs="宋体"/>
      <w:szCs w:val="24"/>
    </w:rPr>
  </w:style>
  <w:style w:type="paragraph" w:customStyle="1" w:styleId="690">
    <w:name w:val="样式 标题 2 + 宋体 小三 首行缩进:  2 字符"/>
    <w:basedOn w:val="4"/>
    <w:qFormat/>
    <w:uiPriority w:val="0"/>
    <w:pPr>
      <w:widowControl w:val="0"/>
      <w:spacing w:before="260" w:after="260" w:line="415" w:lineRule="auto"/>
    </w:pPr>
    <w:rPr>
      <w:rFonts w:ascii="宋体" w:hAnsi="宋体" w:cs="宋体"/>
      <w:szCs w:val="20"/>
      <w:lang w:val="zh-CN"/>
    </w:rPr>
  </w:style>
  <w:style w:type="paragraph" w:customStyle="1" w:styleId="691">
    <w:name w:val="nilo_标题1"/>
    <w:basedOn w:val="1"/>
    <w:qFormat/>
    <w:uiPriority w:val="0"/>
    <w:pPr>
      <w:widowControl w:val="0"/>
      <w:numPr>
        <w:ilvl w:val="1"/>
        <w:numId w:val="4"/>
      </w:numPr>
      <w:outlineLvl w:val="1"/>
    </w:pPr>
    <w:rPr>
      <w:rFonts w:eastAsia="黑体"/>
      <w:sz w:val="30"/>
      <w:szCs w:val="24"/>
    </w:rPr>
  </w:style>
  <w:style w:type="paragraph" w:customStyle="1" w:styleId="692">
    <w:name w:val="TOC 标题1"/>
    <w:basedOn w:val="3"/>
    <w:next w:val="1"/>
    <w:qFormat/>
    <w:uiPriority w:val="39"/>
    <w:pPr>
      <w:numPr>
        <w:numId w:val="0"/>
      </w:numPr>
      <w:spacing w:before="480" w:after="0" w:line="276" w:lineRule="auto"/>
      <w:outlineLvl w:val="9"/>
    </w:pPr>
    <w:rPr>
      <w:rFonts w:ascii="Cambria" w:hAnsi="Cambria"/>
      <w:color w:val="365F91"/>
      <w:kern w:val="0"/>
      <w:sz w:val="28"/>
      <w:szCs w:val="28"/>
    </w:rPr>
  </w:style>
  <w:style w:type="paragraph" w:customStyle="1" w:styleId="693">
    <w:name w:val="area"/>
    <w:basedOn w:val="1"/>
    <w:qFormat/>
    <w:uiPriority w:val="0"/>
    <w:pPr>
      <w:spacing w:before="60" w:after="60"/>
      <w:ind w:left="200" w:right="300"/>
    </w:pPr>
    <w:rPr>
      <w:rFonts w:ascii="̥_GB2312" w:hAnsi="̥_GB2312"/>
      <w:kern w:val="0"/>
      <w:sz w:val="18"/>
      <w:szCs w:val="18"/>
    </w:rPr>
  </w:style>
  <w:style w:type="paragraph" w:customStyle="1" w:styleId="694">
    <w:name w:val="a3_表头"/>
    <w:basedOn w:val="1"/>
    <w:qFormat/>
    <w:uiPriority w:val="0"/>
    <w:pPr>
      <w:widowControl w:val="0"/>
      <w:numPr>
        <w:ilvl w:val="5"/>
        <w:numId w:val="5"/>
      </w:numPr>
      <w:spacing w:line="300" w:lineRule="auto"/>
      <w:outlineLvl w:val="5"/>
    </w:pPr>
    <w:rPr>
      <w:rFonts w:eastAsia="华文细黑"/>
      <w:b/>
      <w:szCs w:val="21"/>
    </w:rPr>
  </w:style>
  <w:style w:type="paragraph" w:customStyle="1" w:styleId="695">
    <w:name w:val="nilo_图名"/>
    <w:basedOn w:val="1"/>
    <w:qFormat/>
    <w:uiPriority w:val="0"/>
    <w:pPr>
      <w:widowControl w:val="0"/>
      <w:numPr>
        <w:ilvl w:val="6"/>
        <w:numId w:val="4"/>
      </w:numPr>
      <w:spacing w:after="156" w:afterLines="50" w:line="300" w:lineRule="auto"/>
      <w:jc w:val="center"/>
      <w:outlineLvl w:val="6"/>
    </w:pPr>
    <w:rPr>
      <w:rFonts w:eastAsia="黑体"/>
      <w:szCs w:val="21"/>
    </w:rPr>
  </w:style>
  <w:style w:type="paragraph" w:customStyle="1" w:styleId="696">
    <w:name w:val="样式 a3_标题1 + (西文) 黑体 (中文) 黑体 非加粗 段后: 0.5 行 行距: 固定值 23 磅"/>
    <w:basedOn w:val="645"/>
    <w:qFormat/>
    <w:uiPriority w:val="0"/>
    <w:pPr>
      <w:tabs>
        <w:tab w:val="left" w:pos="200"/>
        <w:tab w:val="clear" w:pos="767"/>
      </w:tabs>
      <w:spacing w:after="0" w:afterLines="0" w:line="500" w:lineRule="exact"/>
      <w:ind w:left="200" w:firstLine="0"/>
    </w:pPr>
    <w:rPr>
      <w:rFonts w:eastAsia="黑体" w:cs="宋体"/>
      <w:b w:val="0"/>
      <w:kern w:val="0"/>
      <w:szCs w:val="20"/>
    </w:rPr>
  </w:style>
  <w:style w:type="paragraph" w:customStyle="1" w:styleId="697">
    <w:name w:val="样式 a3_标题0 +"/>
    <w:basedOn w:val="648"/>
    <w:qFormat/>
    <w:uiPriority w:val="0"/>
    <w:pPr>
      <w:numPr>
        <w:numId w:val="0"/>
      </w:numPr>
      <w:tabs>
        <w:tab w:val="left" w:pos="0"/>
      </w:tabs>
      <w:spacing w:line="360" w:lineRule="auto"/>
      <w:ind w:left="1080" w:hanging="1080"/>
    </w:pPr>
    <w:rPr>
      <w:rFonts w:ascii="Times New Roman" w:hAnsi="Times New Roman" w:eastAsia="黑体"/>
      <w:b w:val="0"/>
      <w:bCs/>
      <w:kern w:val="0"/>
    </w:rPr>
  </w:style>
  <w:style w:type="paragraph" w:customStyle="1" w:styleId="698">
    <w:name w:val="Char Char Char Char Char Char Char Char Char Char Char Char Char Char Char Char"/>
    <w:basedOn w:val="1"/>
    <w:qFormat/>
    <w:uiPriority w:val="0"/>
    <w:pPr>
      <w:widowControl w:val="0"/>
    </w:pPr>
    <w:rPr>
      <w:rFonts w:ascii="仿宋_GB2312" w:eastAsia="仿宋_GB2312"/>
      <w:b/>
      <w:sz w:val="32"/>
      <w:szCs w:val="32"/>
    </w:rPr>
  </w:style>
  <w:style w:type="table" w:customStyle="1" w:styleId="699">
    <w:name w:val="网格型1"/>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00">
    <w:name w:val="gfp-正文"/>
    <w:basedOn w:val="1"/>
    <w:qFormat/>
    <w:uiPriority w:val="0"/>
    <w:pPr>
      <w:widowControl w:val="0"/>
      <w:ind w:firstLine="200"/>
    </w:pPr>
    <w:rPr>
      <w:szCs w:val="24"/>
    </w:rPr>
  </w:style>
  <w:style w:type="table" w:customStyle="1" w:styleId="701">
    <w:name w:val="网格型2"/>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2">
    <w:name w:val="表格主题2"/>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3">
    <w:name w:val="典雅型2"/>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704">
    <w:name w:val="简明型 12"/>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705">
    <w:name w:val="简明型 32"/>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706">
    <w:name w:val="列表型 82"/>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707">
    <w:name w:val="网格型 12"/>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08">
    <w:name w:val="网格型 52"/>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09">
    <w:name w:val="网格型 72"/>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10">
    <w:name w:val="网页型 32"/>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711">
    <w:name w:val="(环评报告表）11"/>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2">
    <w:name w:val="表格主题11"/>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3">
    <w:name w:val="网格型 111"/>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14">
    <w:name w:val="网格型 711"/>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15">
    <w:name w:val="列表型 811"/>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716">
    <w:name w:val="网格型 511"/>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17">
    <w:name w:val="简明型 311"/>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718">
    <w:name w:val="网页型 311"/>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719">
    <w:name w:val="简明型 111"/>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720">
    <w:name w:val="典雅型11"/>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721">
    <w:name w:val="网格型11"/>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2">
    <w:name w:val="网格型3"/>
    <w:basedOn w:val="8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23">
    <w:name w:val="纯文本 字符"/>
    <w:qFormat/>
    <w:uiPriority w:val="0"/>
    <w:rPr>
      <w:rFonts w:ascii="宋体" w:hAnsi="Courier New" w:eastAsia="宋体" w:cs="Times New Roman"/>
      <w:sz w:val="24"/>
      <w:szCs w:val="21"/>
      <w:lang w:val="zh-CN" w:eastAsia="zh-CN"/>
    </w:rPr>
  </w:style>
  <w:style w:type="character" w:customStyle="1" w:styleId="724">
    <w:name w:val="未处理的提及1"/>
    <w:unhideWhenUsed/>
    <w:qFormat/>
    <w:uiPriority w:val="99"/>
    <w:rPr>
      <w:color w:val="808080"/>
      <w:shd w:val="clear" w:color="auto" w:fill="E6E6E6"/>
    </w:rPr>
  </w:style>
  <w:style w:type="character" w:customStyle="1" w:styleId="725">
    <w:name w:val="页脚 字符"/>
    <w:qFormat/>
    <w:uiPriority w:val="99"/>
  </w:style>
  <w:style w:type="paragraph" w:customStyle="1" w:styleId="726">
    <w:name w:val="6-表头"/>
    <w:basedOn w:val="1"/>
    <w:qFormat/>
    <w:uiPriority w:val="0"/>
    <w:pPr>
      <w:widowControl w:val="0"/>
      <w:autoSpaceDE w:val="0"/>
      <w:autoSpaceDN w:val="0"/>
      <w:spacing w:before="70" w:beforeLines="70"/>
      <w:jc w:val="center"/>
    </w:pPr>
    <w:rPr>
      <w:b/>
      <w:bCs/>
      <w:szCs w:val="21"/>
    </w:rPr>
  </w:style>
  <w:style w:type="character" w:customStyle="1" w:styleId="727">
    <w:name w:val="批注框文本 字符"/>
    <w:qFormat/>
    <w:uiPriority w:val="0"/>
    <w:rPr>
      <w:rFonts w:ascii="Times New Roman" w:hAnsi="Times New Roman" w:eastAsia="宋体" w:cs="Times New Roman"/>
      <w:sz w:val="18"/>
      <w:szCs w:val="18"/>
    </w:rPr>
  </w:style>
  <w:style w:type="character" w:customStyle="1" w:styleId="728">
    <w:name w:val="标题 2 字符"/>
    <w:qFormat/>
    <w:uiPriority w:val="0"/>
    <w:rPr>
      <w:rFonts w:ascii="Arial" w:hAnsi="Arial" w:eastAsia="黑体"/>
      <w:b/>
      <w:bCs/>
      <w:kern w:val="2"/>
      <w:sz w:val="32"/>
      <w:szCs w:val="32"/>
    </w:rPr>
  </w:style>
  <w:style w:type="character" w:customStyle="1" w:styleId="729">
    <w:name w:val="页眉 字符"/>
    <w:qFormat/>
    <w:uiPriority w:val="99"/>
    <w:rPr>
      <w:kern w:val="2"/>
      <w:sz w:val="18"/>
      <w:szCs w:val="18"/>
    </w:rPr>
  </w:style>
  <w:style w:type="character" w:customStyle="1" w:styleId="730">
    <w:name w:val="正文文本缩进 字符"/>
    <w:qFormat/>
    <w:uiPriority w:val="0"/>
    <w:rPr>
      <w:kern w:val="2"/>
      <w:sz w:val="21"/>
      <w:szCs w:val="24"/>
    </w:rPr>
  </w:style>
  <w:style w:type="paragraph" w:customStyle="1" w:styleId="731">
    <w:name w:val="B表格文字"/>
    <w:link w:val="732"/>
    <w:qFormat/>
    <w:uiPriority w:val="0"/>
    <w:pPr>
      <w:jc w:val="center"/>
    </w:pPr>
    <w:rPr>
      <w:rFonts w:ascii="Times New Roman" w:hAnsi="Times New Roman" w:eastAsia="宋体" w:cs="Times New Roman"/>
      <w:kern w:val="2"/>
      <w:sz w:val="21"/>
      <w:szCs w:val="24"/>
      <w:lang w:val="en-US" w:eastAsia="zh-CN" w:bidi="ar-SA"/>
    </w:rPr>
  </w:style>
  <w:style w:type="character" w:customStyle="1" w:styleId="732">
    <w:name w:val="B表格文字 Char"/>
    <w:link w:val="731"/>
    <w:qFormat/>
    <w:uiPriority w:val="0"/>
    <w:rPr>
      <w:rFonts w:ascii="Times New Roman" w:hAnsi="Times New Roman"/>
      <w:kern w:val="2"/>
      <w:sz w:val="21"/>
      <w:szCs w:val="24"/>
    </w:rPr>
  </w:style>
  <w:style w:type="paragraph" w:customStyle="1" w:styleId="733">
    <w:name w:val="B表头"/>
    <w:link w:val="734"/>
    <w:qFormat/>
    <w:uiPriority w:val="0"/>
    <w:pPr>
      <w:jc w:val="center"/>
    </w:pPr>
    <w:rPr>
      <w:rFonts w:ascii="Times New Roman" w:hAnsi="Times New Roman" w:eastAsia="宋体" w:cs="Times New Roman"/>
      <w:b/>
      <w:kern w:val="2"/>
      <w:sz w:val="24"/>
      <w:szCs w:val="24"/>
      <w:lang w:val="en-US" w:eastAsia="zh-CN" w:bidi="ar-SA"/>
    </w:rPr>
  </w:style>
  <w:style w:type="character" w:customStyle="1" w:styleId="734">
    <w:name w:val="B表头 Char"/>
    <w:link w:val="733"/>
    <w:qFormat/>
    <w:uiPriority w:val="0"/>
    <w:rPr>
      <w:rFonts w:ascii="Times New Roman" w:hAnsi="Times New Roman"/>
      <w:b/>
      <w:kern w:val="2"/>
      <w:sz w:val="24"/>
      <w:szCs w:val="24"/>
    </w:rPr>
  </w:style>
  <w:style w:type="character" w:customStyle="1" w:styleId="735">
    <w:name w:val="正文文本缩进 3 字符"/>
    <w:qFormat/>
    <w:uiPriority w:val="0"/>
    <w:rPr>
      <w:kern w:val="2"/>
      <w:sz w:val="16"/>
      <w:szCs w:val="16"/>
    </w:rPr>
  </w:style>
  <w:style w:type="paragraph" w:customStyle="1" w:styleId="736">
    <w:name w:val="11111"/>
    <w:basedOn w:val="1"/>
    <w:qFormat/>
    <w:uiPriority w:val="0"/>
    <w:pPr>
      <w:widowControl w:val="0"/>
      <w:spacing w:line="460" w:lineRule="exact"/>
      <w:ind w:firstLine="200"/>
    </w:pPr>
    <w:rPr>
      <w:rFonts w:ascii="仿宋_GB2312" w:hAnsi="仿宋_GB2312" w:eastAsia="仿宋_GB2312"/>
      <w:kern w:val="0"/>
      <w:szCs w:val="24"/>
    </w:rPr>
  </w:style>
  <w:style w:type="paragraph" w:customStyle="1" w:styleId="737">
    <w:name w:val="!BG_正文"/>
    <w:basedOn w:val="1"/>
    <w:link w:val="738"/>
    <w:qFormat/>
    <w:uiPriority w:val="0"/>
    <w:pPr>
      <w:widowControl w:val="0"/>
      <w:tabs>
        <w:tab w:val="left" w:pos="360"/>
        <w:tab w:val="left" w:pos="540"/>
      </w:tabs>
      <w:ind w:firstLine="200"/>
    </w:pPr>
    <w:rPr>
      <w:szCs w:val="24"/>
    </w:rPr>
  </w:style>
  <w:style w:type="character" w:customStyle="1" w:styleId="738">
    <w:name w:val="!BG_正文 Char"/>
    <w:link w:val="737"/>
    <w:qFormat/>
    <w:uiPriority w:val="0"/>
    <w:rPr>
      <w:rFonts w:ascii="Times New Roman" w:hAnsi="Times New Roman"/>
      <w:kern w:val="2"/>
      <w:sz w:val="24"/>
      <w:szCs w:val="24"/>
    </w:rPr>
  </w:style>
  <w:style w:type="character" w:customStyle="1" w:styleId="739">
    <w:name w:val="文档结构图 字符"/>
    <w:qFormat/>
    <w:uiPriority w:val="0"/>
    <w:rPr>
      <w:rFonts w:ascii="宋体"/>
      <w:kern w:val="2"/>
      <w:sz w:val="18"/>
      <w:szCs w:val="18"/>
    </w:rPr>
  </w:style>
  <w:style w:type="character" w:customStyle="1" w:styleId="740">
    <w:name w:val="标题 3 字符"/>
    <w:qFormat/>
    <w:uiPriority w:val="0"/>
    <w:rPr>
      <w:b/>
      <w:bCs/>
      <w:kern w:val="2"/>
      <w:sz w:val="32"/>
      <w:szCs w:val="32"/>
    </w:rPr>
  </w:style>
  <w:style w:type="table" w:customStyle="1" w:styleId="741">
    <w:name w:val="网格型4"/>
    <w:basedOn w:val="8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42">
    <w:name w:val="正文文本_"/>
    <w:link w:val="743"/>
    <w:qFormat/>
    <w:uiPriority w:val="0"/>
    <w:rPr>
      <w:rFonts w:ascii="Arial Unicode MS" w:hAnsi="Arial Unicode MS" w:eastAsia="Arial Unicode MS" w:cs="Arial Unicode MS"/>
      <w:sz w:val="27"/>
      <w:szCs w:val="27"/>
      <w:shd w:val="clear" w:color="auto" w:fill="FFFFFF"/>
    </w:rPr>
  </w:style>
  <w:style w:type="paragraph" w:customStyle="1" w:styleId="743">
    <w:name w:val="正文文本1"/>
    <w:basedOn w:val="1"/>
    <w:link w:val="742"/>
    <w:qFormat/>
    <w:uiPriority w:val="0"/>
    <w:pPr>
      <w:widowControl w:val="0"/>
      <w:shd w:val="clear" w:color="auto" w:fill="FFFFFF"/>
      <w:spacing w:line="619" w:lineRule="exact"/>
    </w:pPr>
    <w:rPr>
      <w:rFonts w:ascii="Arial Unicode MS" w:hAnsi="Arial Unicode MS" w:eastAsia="Arial Unicode MS" w:cs="Arial Unicode MS"/>
      <w:kern w:val="0"/>
      <w:sz w:val="27"/>
      <w:szCs w:val="27"/>
    </w:rPr>
  </w:style>
  <w:style w:type="character" w:customStyle="1" w:styleId="744">
    <w:name w:val="正文文本 + 9.5 pt"/>
    <w:qFormat/>
    <w:uiPriority w:val="0"/>
    <w:rPr>
      <w:rFonts w:ascii="Arial Unicode MS" w:hAnsi="Arial Unicode MS" w:eastAsia="Arial Unicode MS" w:cs="Arial Unicode MS"/>
      <w:color w:val="000000"/>
      <w:spacing w:val="0"/>
      <w:w w:val="100"/>
      <w:position w:val="0"/>
      <w:sz w:val="19"/>
      <w:szCs w:val="19"/>
      <w:shd w:val="clear" w:color="auto" w:fill="FFFFFF"/>
      <w:lang w:val="zh-TW"/>
    </w:rPr>
  </w:style>
  <w:style w:type="character" w:customStyle="1" w:styleId="745">
    <w:name w:val="正文文本 + Times New Roman"/>
    <w:qFormat/>
    <w:uiPriority w:val="0"/>
    <w:rPr>
      <w:rFonts w:ascii="Times New Roman" w:hAnsi="Times New Roman" w:eastAsia="Times New Roman" w:cs="Times New Roman"/>
      <w:color w:val="000000"/>
      <w:spacing w:val="0"/>
      <w:w w:val="100"/>
      <w:position w:val="0"/>
      <w:sz w:val="20"/>
      <w:szCs w:val="20"/>
      <w:shd w:val="clear" w:color="auto" w:fill="FFFFFF"/>
      <w:lang w:val="en-US"/>
    </w:rPr>
  </w:style>
  <w:style w:type="character" w:customStyle="1" w:styleId="746">
    <w:name w:val="标题 字符"/>
    <w:qFormat/>
    <w:uiPriority w:val="0"/>
    <w:rPr>
      <w:rFonts w:ascii="Cambria" w:hAnsi="Cambria"/>
      <w:b/>
      <w:bCs/>
      <w:kern w:val="2"/>
      <w:sz w:val="32"/>
      <w:szCs w:val="32"/>
    </w:rPr>
  </w:style>
  <w:style w:type="character" w:customStyle="1" w:styleId="747">
    <w:name w:val="标题 Char1"/>
    <w:qFormat/>
    <w:uiPriority w:val="0"/>
    <w:rPr>
      <w:rFonts w:ascii="Cambria" w:hAnsi="Cambria" w:cs="Times New Roman"/>
      <w:b/>
      <w:bCs/>
      <w:kern w:val="2"/>
      <w:sz w:val="32"/>
      <w:szCs w:val="32"/>
    </w:rPr>
  </w:style>
  <w:style w:type="character" w:customStyle="1" w:styleId="748">
    <w:name w:val="正文首行缩进 2 字符"/>
    <w:qFormat/>
    <w:uiPriority w:val="0"/>
  </w:style>
  <w:style w:type="paragraph" w:customStyle="1" w:styleId="749">
    <w:name w:val="列出段落1"/>
    <w:basedOn w:val="1"/>
    <w:qFormat/>
    <w:uiPriority w:val="0"/>
    <w:pPr>
      <w:widowControl w:val="0"/>
      <w:ind w:firstLine="420"/>
    </w:pPr>
    <w:rPr>
      <w:szCs w:val="21"/>
    </w:rPr>
  </w:style>
  <w:style w:type="table" w:customStyle="1" w:styleId="750">
    <w:name w:val="网格型5"/>
    <w:basedOn w:val="8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51">
    <w:name w:val="网格型6"/>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2">
    <w:name w:val="网格型7"/>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53">
    <w:name w:val="0正文 Char Char"/>
    <w:link w:val="754"/>
    <w:qFormat/>
    <w:uiPriority w:val="0"/>
    <w:rPr>
      <w:rFonts w:ascii="Times New Roman" w:hAnsi="Times New Roman"/>
      <w:color w:val="0000FF"/>
      <w:kern w:val="2"/>
      <w:sz w:val="24"/>
      <w:szCs w:val="24"/>
    </w:rPr>
  </w:style>
  <w:style w:type="paragraph" w:customStyle="1" w:styleId="754">
    <w:name w:val="0正文"/>
    <w:basedOn w:val="1"/>
    <w:link w:val="753"/>
    <w:qFormat/>
    <w:uiPriority w:val="0"/>
    <w:pPr>
      <w:widowControl w:val="0"/>
      <w:ind w:firstLine="480"/>
    </w:pPr>
    <w:rPr>
      <w:color w:val="0000FF"/>
      <w:szCs w:val="24"/>
    </w:rPr>
  </w:style>
  <w:style w:type="table" w:customStyle="1" w:styleId="755">
    <w:name w:val="网格型12"/>
    <w:basedOn w:val="82"/>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6">
    <w:name w:val="网格型8"/>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7">
    <w:name w:val="表格主题3"/>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8">
    <w:name w:val="Char Char Char Char Char2 Char Char Char Char"/>
    <w:basedOn w:val="1"/>
    <w:qFormat/>
    <w:uiPriority w:val="0"/>
    <w:pPr>
      <w:widowControl w:val="0"/>
      <w:ind w:firstLine="200"/>
    </w:pPr>
    <w:rPr>
      <w:rFonts w:ascii="宋体" w:hAnsi="宋体" w:cs="宋体"/>
      <w:szCs w:val="26"/>
    </w:rPr>
  </w:style>
  <w:style w:type="character" w:customStyle="1" w:styleId="759">
    <w:name w:val="表格标题 Char"/>
    <w:link w:val="760"/>
    <w:qFormat/>
    <w:uiPriority w:val="0"/>
    <w:rPr>
      <w:rFonts w:ascii="Arial" w:hAnsi="Arial" w:eastAsia="黑体"/>
      <w:bCs/>
      <w:kern w:val="2"/>
      <w:sz w:val="24"/>
      <w:szCs w:val="32"/>
      <w:lang w:val="en-US" w:eastAsia="zh-CN" w:bidi="ar-SA"/>
    </w:rPr>
  </w:style>
  <w:style w:type="paragraph" w:customStyle="1" w:styleId="760">
    <w:name w:val="表格标题"/>
    <w:basedOn w:val="80"/>
    <w:link w:val="759"/>
    <w:qFormat/>
    <w:uiPriority w:val="0"/>
    <w:pPr>
      <w:widowControl w:val="0"/>
      <w:spacing w:after="0"/>
      <w:ind w:firstLine="0" w:firstLineChars="0"/>
      <w:jc w:val="center"/>
    </w:pPr>
    <w:rPr>
      <w:rFonts w:ascii="Arial" w:hAnsi="Arial" w:eastAsia="黑体"/>
    </w:rPr>
  </w:style>
  <w:style w:type="character" w:customStyle="1" w:styleId="761">
    <w:name w:val="报告 Char"/>
    <w:link w:val="762"/>
    <w:qFormat/>
    <w:uiPriority w:val="0"/>
    <w:rPr>
      <w:sz w:val="24"/>
      <w:lang w:val="en-GB"/>
    </w:rPr>
  </w:style>
  <w:style w:type="paragraph" w:customStyle="1" w:styleId="762">
    <w:name w:val="报告"/>
    <w:basedOn w:val="1"/>
    <w:link w:val="761"/>
    <w:qFormat/>
    <w:uiPriority w:val="0"/>
    <w:pPr>
      <w:widowControl w:val="0"/>
      <w:tabs>
        <w:tab w:val="left" w:pos="1440"/>
      </w:tabs>
      <w:overflowPunct w:val="0"/>
      <w:autoSpaceDE w:val="0"/>
      <w:autoSpaceDN w:val="0"/>
      <w:spacing w:before="120" w:after="120" w:line="400" w:lineRule="atLeast"/>
      <w:ind w:left="840" w:leftChars="400"/>
      <w:textAlignment w:val="baseline"/>
    </w:pPr>
    <w:rPr>
      <w:kern w:val="0"/>
      <w:szCs w:val="20"/>
      <w:lang w:val="en-GB"/>
    </w:rPr>
  </w:style>
  <w:style w:type="paragraph" w:customStyle="1" w:styleId="763">
    <w:name w:val="章标题"/>
    <w:next w:val="668"/>
    <w:qFormat/>
    <w:uiPriority w:val="0"/>
    <w:pPr>
      <w:spacing w:before="50" w:after="50"/>
      <w:jc w:val="both"/>
      <w:outlineLvl w:val="1"/>
    </w:pPr>
    <w:rPr>
      <w:rFonts w:ascii="黑体" w:hAnsi="Times New Roman" w:eastAsia="黑体" w:cs="Times New Roman"/>
      <w:sz w:val="21"/>
      <w:lang w:val="en-US" w:eastAsia="zh-CN" w:bidi="ar-SA"/>
    </w:rPr>
  </w:style>
  <w:style w:type="paragraph" w:customStyle="1" w:styleId="764">
    <w:name w:val="Char Char Char Char Char Char Char Char Char Char Char Char1 Char"/>
    <w:basedOn w:val="1"/>
    <w:qFormat/>
    <w:uiPriority w:val="0"/>
    <w:pPr>
      <w:widowControl w:val="0"/>
      <w:ind w:firstLine="200"/>
    </w:pPr>
    <w:rPr>
      <w:rFonts w:ascii="宋体" w:hAnsi="宋体" w:cs="宋体"/>
      <w:szCs w:val="24"/>
    </w:rPr>
  </w:style>
  <w:style w:type="paragraph" w:customStyle="1" w:styleId="765">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766">
    <w:name w:val="三级条标题"/>
    <w:basedOn w:val="767"/>
    <w:next w:val="1"/>
    <w:qFormat/>
    <w:uiPriority w:val="0"/>
    <w:pPr>
      <w:tabs>
        <w:tab w:val="left" w:pos="360"/>
      </w:tabs>
      <w:outlineLvl w:val="4"/>
    </w:pPr>
  </w:style>
  <w:style w:type="paragraph" w:customStyle="1" w:styleId="767">
    <w:name w:val="二级条标题"/>
    <w:basedOn w:val="768"/>
    <w:next w:val="1"/>
    <w:qFormat/>
    <w:uiPriority w:val="0"/>
    <w:pPr>
      <w:tabs>
        <w:tab w:val="left" w:pos="360"/>
      </w:tabs>
      <w:outlineLvl w:val="3"/>
    </w:pPr>
  </w:style>
  <w:style w:type="paragraph" w:customStyle="1" w:styleId="768">
    <w:name w:val="一级条标题"/>
    <w:basedOn w:val="763"/>
    <w:next w:val="1"/>
    <w:qFormat/>
    <w:uiPriority w:val="0"/>
    <w:pPr>
      <w:tabs>
        <w:tab w:val="left" w:pos="360"/>
      </w:tabs>
      <w:spacing w:before="0" w:after="0"/>
      <w:outlineLvl w:val="2"/>
    </w:pPr>
  </w:style>
  <w:style w:type="paragraph" w:customStyle="1" w:styleId="769">
    <w:name w:val="样式 标题 2标题 1.1节标题 1.1h2l22nd levelTitre22Header 211.1标题..."/>
    <w:basedOn w:val="4"/>
    <w:qFormat/>
    <w:uiPriority w:val="0"/>
    <w:pPr>
      <w:widowControl w:val="0"/>
      <w:numPr>
        <w:ilvl w:val="0"/>
        <w:numId w:val="0"/>
      </w:numPr>
      <w:tabs>
        <w:tab w:val="clear" w:pos="525"/>
      </w:tabs>
      <w:spacing w:before="120" w:beforeLines="0" w:after="120" w:afterLines="0"/>
      <w:outlineLvl w:val="0"/>
    </w:pPr>
    <w:rPr>
      <w:rFonts w:ascii="黑体" w:eastAsia="黑体" w:cs="宋体"/>
      <w:szCs w:val="20"/>
    </w:rPr>
  </w:style>
  <w:style w:type="paragraph" w:customStyle="1" w:styleId="770">
    <w:name w:val="四级标题1.1.1.1"/>
    <w:basedOn w:val="1"/>
    <w:next w:val="1"/>
    <w:qFormat/>
    <w:uiPriority w:val="0"/>
    <w:pPr>
      <w:keepNext/>
      <w:keepLines/>
      <w:spacing w:before="40" w:after="40"/>
      <w:ind w:firstLine="200"/>
      <w:textAlignment w:val="baseline"/>
      <w:outlineLvl w:val="3"/>
    </w:pPr>
    <w:rPr>
      <w:rFonts w:eastAsia="仿宋_GB2312" w:cs="宋体"/>
      <w:b/>
      <w:kern w:val="0"/>
      <w:szCs w:val="28"/>
    </w:rPr>
  </w:style>
  <w:style w:type="paragraph" w:customStyle="1" w:styleId="771">
    <w:name w:val="五级条标题"/>
    <w:basedOn w:val="772"/>
    <w:next w:val="1"/>
    <w:qFormat/>
    <w:uiPriority w:val="0"/>
    <w:pPr>
      <w:tabs>
        <w:tab w:val="left" w:pos="360"/>
      </w:tabs>
      <w:outlineLvl w:val="6"/>
    </w:pPr>
  </w:style>
  <w:style w:type="paragraph" w:customStyle="1" w:styleId="772">
    <w:name w:val="四级条标题"/>
    <w:basedOn w:val="766"/>
    <w:next w:val="1"/>
    <w:qFormat/>
    <w:uiPriority w:val="0"/>
    <w:pPr>
      <w:outlineLvl w:val="5"/>
    </w:pPr>
  </w:style>
  <w:style w:type="paragraph" w:customStyle="1" w:styleId="773">
    <w:name w:val="中文报告书样式"/>
    <w:basedOn w:val="1"/>
    <w:qFormat/>
    <w:uiPriority w:val="0"/>
    <w:pPr>
      <w:widowControl w:val="0"/>
      <w:spacing w:line="480" w:lineRule="atLeast"/>
      <w:ind w:firstLine="482"/>
      <w:textAlignment w:val="baseline"/>
    </w:pPr>
    <w:rPr>
      <w:kern w:val="24"/>
      <w:szCs w:val="20"/>
    </w:rPr>
  </w:style>
  <w:style w:type="paragraph" w:customStyle="1" w:styleId="774">
    <w:name w:val="表格正文"/>
    <w:basedOn w:val="1"/>
    <w:qFormat/>
    <w:uiPriority w:val="0"/>
    <w:pPr>
      <w:widowControl w:val="0"/>
      <w:spacing w:line="360" w:lineRule="exact"/>
      <w:jc w:val="center"/>
    </w:pPr>
    <w:rPr>
      <w:szCs w:val="24"/>
    </w:rPr>
  </w:style>
  <w:style w:type="paragraph" w:customStyle="1" w:styleId="775">
    <w:name w:val="zww"/>
    <w:basedOn w:val="1"/>
    <w:qFormat/>
    <w:uiPriority w:val="0"/>
    <w:pPr>
      <w:widowControl w:val="0"/>
      <w:ind w:firstLine="410" w:firstLineChars="171"/>
    </w:pPr>
    <w:rPr>
      <w:rFonts w:ascii="宋体" w:hAnsi="宋体" w:cs="宋体"/>
      <w:kern w:val="0"/>
      <w:szCs w:val="24"/>
    </w:rPr>
  </w:style>
  <w:style w:type="paragraph" w:customStyle="1" w:styleId="776">
    <w:name w:val="表内容"/>
    <w:basedOn w:val="1"/>
    <w:qFormat/>
    <w:uiPriority w:val="0"/>
    <w:pPr>
      <w:widowControl w:val="0"/>
      <w:spacing w:before="60" w:after="60"/>
      <w:jc w:val="center"/>
      <w:textAlignment w:val="baseline"/>
    </w:pPr>
    <w:rPr>
      <w:kern w:val="0"/>
      <w:szCs w:val="20"/>
    </w:rPr>
  </w:style>
  <w:style w:type="table" w:customStyle="1" w:styleId="777">
    <w:name w:val="三线1"/>
    <w:basedOn w:val="8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78">
    <w:name w:val="列表段落1"/>
    <w:basedOn w:val="1"/>
    <w:qFormat/>
    <w:uiPriority w:val="0"/>
    <w:pPr>
      <w:widowControl w:val="0"/>
      <w:ind w:firstLine="420"/>
    </w:pPr>
    <w:rPr>
      <w:szCs w:val="24"/>
    </w:rPr>
  </w:style>
  <w:style w:type="character" w:customStyle="1" w:styleId="779">
    <w:name w:val="zw Char"/>
    <w:link w:val="780"/>
    <w:qFormat/>
    <w:locked/>
    <w:uiPriority w:val="0"/>
    <w:rPr>
      <w:rFonts w:ascii="宋体" w:hAnsi="宋体" w:cs="宋体"/>
      <w:kern w:val="2"/>
      <w:sz w:val="28"/>
    </w:rPr>
  </w:style>
  <w:style w:type="paragraph" w:customStyle="1" w:styleId="780">
    <w:name w:val="zw"/>
    <w:basedOn w:val="1"/>
    <w:link w:val="779"/>
    <w:qFormat/>
    <w:uiPriority w:val="0"/>
    <w:pPr>
      <w:widowControl w:val="0"/>
      <w:ind w:firstLine="560"/>
    </w:pPr>
    <w:rPr>
      <w:rFonts w:ascii="宋体" w:hAnsi="宋体" w:cs="宋体"/>
      <w:sz w:val="28"/>
      <w:szCs w:val="20"/>
    </w:rPr>
  </w:style>
  <w:style w:type="character" w:customStyle="1" w:styleId="781">
    <w:name w:val="Body Text Indent 3 Char"/>
    <w:qFormat/>
    <w:uiPriority w:val="0"/>
    <w:rPr>
      <w:rFonts w:eastAsia="宋体"/>
      <w:kern w:val="2"/>
      <w:sz w:val="16"/>
      <w:szCs w:val="16"/>
      <w:lang w:val="en-US" w:eastAsia="zh-CN" w:bidi="ar-SA"/>
    </w:rPr>
  </w:style>
  <w:style w:type="table" w:customStyle="1" w:styleId="782">
    <w:name w:val="表格主题4"/>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83">
    <w:name w:val="description"/>
    <w:basedOn w:val="93"/>
    <w:qFormat/>
    <w:uiPriority w:val="0"/>
  </w:style>
  <w:style w:type="paragraph" w:customStyle="1" w:styleId="784">
    <w:name w:val="reader-word-layer reader-word-s2-7"/>
    <w:basedOn w:val="1"/>
    <w:qFormat/>
    <w:uiPriority w:val="0"/>
    <w:pPr>
      <w:spacing w:before="100" w:beforeAutospacing="1" w:after="100" w:afterAutospacing="1"/>
    </w:pPr>
    <w:rPr>
      <w:rFonts w:ascii="宋体" w:hAnsi="宋体" w:cs="宋体"/>
      <w:kern w:val="0"/>
      <w:szCs w:val="24"/>
    </w:rPr>
  </w:style>
  <w:style w:type="paragraph" w:customStyle="1" w:styleId="785">
    <w:name w:val="reader-word-layer reader-word-s2-9"/>
    <w:basedOn w:val="1"/>
    <w:qFormat/>
    <w:uiPriority w:val="0"/>
    <w:pPr>
      <w:spacing w:before="100" w:beforeAutospacing="1" w:after="100" w:afterAutospacing="1"/>
    </w:pPr>
    <w:rPr>
      <w:rFonts w:ascii="宋体" w:hAnsi="宋体" w:cs="宋体"/>
      <w:kern w:val="0"/>
      <w:szCs w:val="24"/>
    </w:rPr>
  </w:style>
  <w:style w:type="paragraph" w:customStyle="1" w:styleId="786">
    <w:name w:val="reader-word-layer reader-word-s2-10"/>
    <w:basedOn w:val="1"/>
    <w:qFormat/>
    <w:uiPriority w:val="0"/>
    <w:pPr>
      <w:spacing w:before="100" w:beforeAutospacing="1" w:after="100" w:afterAutospacing="1"/>
    </w:pPr>
    <w:rPr>
      <w:rFonts w:ascii="宋体" w:hAnsi="宋体" w:cs="宋体"/>
      <w:kern w:val="0"/>
      <w:szCs w:val="24"/>
    </w:rPr>
  </w:style>
  <w:style w:type="character" w:customStyle="1" w:styleId="787">
    <w:name w:val="even Char Char"/>
    <w:qFormat/>
    <w:uiPriority w:val="0"/>
    <w:rPr>
      <w:rFonts w:eastAsia="宋体"/>
      <w:kern w:val="2"/>
      <w:sz w:val="18"/>
      <w:szCs w:val="18"/>
      <w:lang w:val="en-US" w:eastAsia="zh-CN" w:bidi="ar-SA"/>
    </w:rPr>
  </w:style>
  <w:style w:type="character" w:customStyle="1" w:styleId="788">
    <w:name w:val="ninept"/>
    <w:basedOn w:val="93"/>
    <w:qFormat/>
    <w:uiPriority w:val="0"/>
  </w:style>
  <w:style w:type="paragraph" w:customStyle="1" w:styleId="789">
    <w:name w:val="简单回函地址"/>
    <w:basedOn w:val="1"/>
    <w:qFormat/>
    <w:uiPriority w:val="0"/>
    <w:pPr>
      <w:widowControl w:val="0"/>
      <w:spacing w:line="312" w:lineRule="atLeast"/>
      <w:textAlignment w:val="baseline"/>
    </w:pPr>
    <w:rPr>
      <w:kern w:val="0"/>
      <w:szCs w:val="20"/>
    </w:rPr>
  </w:style>
  <w:style w:type="paragraph" w:customStyle="1" w:styleId="790">
    <w:name w:val="表内格式"/>
    <w:basedOn w:val="1"/>
    <w:qFormat/>
    <w:uiPriority w:val="0"/>
    <w:pPr>
      <w:widowControl w:val="0"/>
      <w:jc w:val="center"/>
    </w:pPr>
    <w:rPr>
      <w:sz w:val="18"/>
      <w:szCs w:val="24"/>
    </w:rPr>
  </w:style>
  <w:style w:type="paragraph" w:customStyle="1" w:styleId="791">
    <w:name w:val="WPS Plain"/>
    <w:qFormat/>
    <w:uiPriority w:val="0"/>
    <w:rPr>
      <w:rFonts w:ascii="Times New Roman" w:hAnsi="Times New Roman" w:eastAsia="宋体" w:cs="Times New Roman"/>
      <w:lang w:val="en-US" w:eastAsia="zh-CN" w:bidi="ar-SA"/>
    </w:rPr>
  </w:style>
  <w:style w:type="paragraph" w:customStyle="1" w:styleId="792">
    <w:name w:val="Z"/>
    <w:basedOn w:val="1"/>
    <w:qFormat/>
    <w:uiPriority w:val="0"/>
    <w:pPr>
      <w:widowControl w:val="0"/>
      <w:spacing w:line="460" w:lineRule="exact"/>
      <w:ind w:firstLine="200"/>
    </w:pPr>
    <w:rPr>
      <w:rFonts w:ascii="宋体" w:hAnsi="宋体"/>
      <w:sz w:val="25"/>
      <w:szCs w:val="24"/>
    </w:rPr>
  </w:style>
  <w:style w:type="paragraph" w:customStyle="1" w:styleId="793">
    <w:name w:val="表格式"/>
    <w:basedOn w:val="62"/>
    <w:qFormat/>
    <w:uiPriority w:val="0"/>
    <w:pPr>
      <w:widowControl w:val="0"/>
      <w:adjustRightInd/>
      <w:spacing w:line="240" w:lineRule="auto"/>
      <w:ind w:left="0" w:firstLine="0"/>
      <w:jc w:val="center"/>
      <w:textAlignment w:val="auto"/>
    </w:pPr>
    <w:rPr>
      <w:rFonts w:ascii="宋体"/>
      <w:kern w:val="2"/>
      <w:sz w:val="21"/>
    </w:rPr>
  </w:style>
  <w:style w:type="paragraph" w:customStyle="1" w:styleId="794">
    <w:name w:val="样式 样式 正文首行缩进 2 + (西文) Calibri (符号) 宋体 四号 居中 首行缩进:  2 字符 + 首行缩进: ..."/>
    <w:basedOn w:val="1"/>
    <w:qFormat/>
    <w:uiPriority w:val="0"/>
    <w:pPr>
      <w:widowControl w:val="0"/>
      <w:ind w:firstLine="200"/>
    </w:pPr>
    <w:rPr>
      <w:rFonts w:hAnsi="宋体" w:cs="宋体"/>
      <w:szCs w:val="20"/>
    </w:rPr>
  </w:style>
  <w:style w:type="character" w:customStyle="1" w:styleId="795">
    <w:name w:val="上标样式"/>
    <w:qFormat/>
    <w:uiPriority w:val="0"/>
    <w:rPr>
      <w:rFonts w:ascii="宋体" w:eastAsia="宋体"/>
      <w:b/>
      <w:sz w:val="21"/>
      <w:szCs w:val="21"/>
      <w:vertAlign w:val="superscript"/>
    </w:rPr>
  </w:style>
  <w:style w:type="paragraph" w:customStyle="1" w:styleId="796">
    <w:name w:val="单行表格样式(居中)"/>
    <w:qFormat/>
    <w:uiPriority w:val="0"/>
    <w:pPr>
      <w:jc w:val="center"/>
    </w:pPr>
    <w:rPr>
      <w:rFonts w:ascii="宋体" w:hAnsi="宋体" w:eastAsia="宋体" w:cs="Times New Roman"/>
      <w:kern w:val="2"/>
      <w:sz w:val="21"/>
      <w:szCs w:val="28"/>
      <w:lang w:val="en-US" w:eastAsia="zh-CN" w:bidi="ar-SA"/>
    </w:rPr>
  </w:style>
  <w:style w:type="paragraph" w:customStyle="1" w:styleId="797">
    <w:name w:val="正文缩近"/>
    <w:basedOn w:val="1"/>
    <w:qFormat/>
    <w:uiPriority w:val="0"/>
    <w:pPr>
      <w:widowControl w:val="0"/>
      <w:ind w:firstLine="560"/>
    </w:pPr>
    <w:rPr>
      <w:sz w:val="28"/>
      <w:szCs w:val="28"/>
    </w:rPr>
  </w:style>
  <w:style w:type="character" w:customStyle="1" w:styleId="798">
    <w:name w:val="Plain Text Char"/>
    <w:qFormat/>
    <w:locked/>
    <w:uiPriority w:val="0"/>
    <w:rPr>
      <w:rFonts w:ascii="宋体" w:hAnsi="Courier New" w:cs="Times New Roman"/>
      <w:kern w:val="2"/>
      <w:sz w:val="28"/>
    </w:rPr>
  </w:style>
  <w:style w:type="paragraph" w:customStyle="1" w:styleId="799">
    <w:name w:val="p7"/>
    <w:basedOn w:val="1"/>
    <w:qFormat/>
    <w:uiPriority w:val="0"/>
    <w:rPr>
      <w:b/>
      <w:bCs/>
      <w:kern w:val="0"/>
      <w:sz w:val="28"/>
      <w:szCs w:val="28"/>
    </w:rPr>
  </w:style>
  <w:style w:type="character" w:customStyle="1" w:styleId="800">
    <w:name w:val="正文文本 (2)_"/>
    <w:link w:val="801"/>
    <w:qFormat/>
    <w:uiPriority w:val="0"/>
    <w:rPr>
      <w:shd w:val="clear" w:color="auto" w:fill="FFFFFF"/>
    </w:rPr>
  </w:style>
  <w:style w:type="paragraph" w:customStyle="1" w:styleId="801">
    <w:name w:val="正文文本 (2)"/>
    <w:basedOn w:val="1"/>
    <w:link w:val="800"/>
    <w:qFormat/>
    <w:uiPriority w:val="0"/>
    <w:pPr>
      <w:shd w:val="clear" w:color="auto" w:fill="FFFFFF"/>
    </w:pPr>
    <w:rPr>
      <w:kern w:val="0"/>
      <w:sz w:val="20"/>
      <w:szCs w:val="20"/>
    </w:rPr>
  </w:style>
  <w:style w:type="character" w:customStyle="1" w:styleId="802">
    <w:name w:val="正文文本 (2) + SimSun"/>
    <w:qFormat/>
    <w:uiPriority w:val="0"/>
    <w:rPr>
      <w:rFonts w:hint="eastAsia" w:eastAsia="宋体"/>
      <w:sz w:val="18"/>
      <w:lang w:bidi="ar-SA"/>
    </w:rPr>
  </w:style>
  <w:style w:type="character" w:customStyle="1" w:styleId="803">
    <w:name w:val="正文文本 (2) + SimSun_0"/>
    <w:qFormat/>
    <w:uiPriority w:val="0"/>
    <w:rPr>
      <w:rFonts w:hint="eastAsia" w:eastAsia="宋体"/>
      <w:w w:val="100"/>
      <w:lang w:bidi="ar-SA"/>
    </w:rPr>
  </w:style>
  <w:style w:type="paragraph" w:customStyle="1" w:styleId="804">
    <w:name w:val="Hu表内"/>
    <w:basedOn w:val="1"/>
    <w:qFormat/>
    <w:uiPriority w:val="0"/>
    <w:pPr>
      <w:widowControl w:val="0"/>
      <w:spacing w:line="240" w:lineRule="atLeast"/>
      <w:jc w:val="center"/>
      <w:textAlignment w:val="baseline"/>
    </w:pPr>
    <w:rPr>
      <w:rFonts w:ascii="宋体" w:hAnsi="宋体"/>
      <w:kern w:val="0"/>
      <w:szCs w:val="20"/>
    </w:rPr>
  </w:style>
  <w:style w:type="table" w:customStyle="1" w:styleId="805">
    <w:name w:val="000"/>
    <w:basedOn w:val="82"/>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806">
    <w:name w:val="表格样式11"/>
    <w:basedOn w:val="82"/>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807">
    <w:name w:val="样式 样式 首行缩进:  1 字符 + 首行缩进:  2 字符2 Char"/>
    <w:qFormat/>
    <w:uiPriority w:val="0"/>
    <w:rPr>
      <w:rFonts w:eastAsia="宋体" w:cs="宋体"/>
      <w:kern w:val="2"/>
      <w:sz w:val="24"/>
      <w:lang w:val="en-US" w:eastAsia="zh-CN" w:bidi="ar-SA"/>
    </w:rPr>
  </w:style>
  <w:style w:type="character" w:customStyle="1" w:styleId="808">
    <w:name w:val="style161"/>
    <w:qFormat/>
    <w:uiPriority w:val="0"/>
    <w:rPr>
      <w:sz w:val="15"/>
      <w:szCs w:val="15"/>
      <w:u w:val="none"/>
    </w:rPr>
  </w:style>
  <w:style w:type="character" w:customStyle="1" w:styleId="809">
    <w:name w:val="style1"/>
    <w:qFormat/>
    <w:uiPriority w:val="0"/>
  </w:style>
  <w:style w:type="character" w:customStyle="1" w:styleId="810">
    <w:name w:val="headline-content3"/>
    <w:qFormat/>
    <w:uiPriority w:val="0"/>
  </w:style>
  <w:style w:type="character" w:customStyle="1" w:styleId="811">
    <w:name w:val="lh131"/>
    <w:qFormat/>
    <w:uiPriority w:val="0"/>
  </w:style>
  <w:style w:type="character" w:customStyle="1" w:styleId="812">
    <w:name w:val="Char Char4"/>
    <w:qFormat/>
    <w:uiPriority w:val="0"/>
    <w:rPr>
      <w:kern w:val="2"/>
      <w:sz w:val="18"/>
      <w:szCs w:val="18"/>
    </w:rPr>
  </w:style>
  <w:style w:type="character" w:customStyle="1" w:styleId="813">
    <w:name w:val="l171"/>
    <w:qFormat/>
    <w:uiPriority w:val="0"/>
  </w:style>
  <w:style w:type="character" w:customStyle="1" w:styleId="814">
    <w:name w:val="ldl表头 Char"/>
    <w:link w:val="815"/>
    <w:qFormat/>
    <w:uiPriority w:val="0"/>
    <w:rPr>
      <w:b/>
      <w:color w:val="000000"/>
      <w:kern w:val="2"/>
      <w:sz w:val="21"/>
      <w:szCs w:val="21"/>
    </w:rPr>
  </w:style>
  <w:style w:type="paragraph" w:customStyle="1" w:styleId="815">
    <w:name w:val="ldl表头"/>
    <w:basedOn w:val="1"/>
    <w:link w:val="814"/>
    <w:qFormat/>
    <w:uiPriority w:val="0"/>
    <w:pPr>
      <w:widowControl w:val="0"/>
      <w:spacing w:beforeLines="50"/>
      <w:ind w:firstLine="200"/>
      <w:jc w:val="center"/>
    </w:pPr>
    <w:rPr>
      <w:b/>
      <w:color w:val="000000"/>
      <w:szCs w:val="21"/>
    </w:rPr>
  </w:style>
  <w:style w:type="character" w:customStyle="1" w:styleId="816">
    <w:name w:val="t12deegreyline1"/>
    <w:qFormat/>
    <w:uiPriority w:val="0"/>
    <w:rPr>
      <w:rFonts w:hint="default" w:ascii="ˎ̥" w:hAnsi="ˎ̥"/>
      <w:color w:val="333333"/>
      <w:sz w:val="24"/>
      <w:u w:val="none"/>
    </w:rPr>
  </w:style>
  <w:style w:type="character" w:customStyle="1" w:styleId="817">
    <w:name w:val="wz2"/>
    <w:qFormat/>
    <w:uiPriority w:val="0"/>
    <w:rPr>
      <w:rFonts w:hint="eastAsia" w:ascii="宋体" w:hAnsi="宋体" w:eastAsia="宋体"/>
      <w:sz w:val="18"/>
      <w:u w:val="none"/>
    </w:rPr>
  </w:style>
  <w:style w:type="character" w:customStyle="1" w:styleId="818">
    <w:name w:val="style71"/>
    <w:qFormat/>
    <w:uiPriority w:val="0"/>
    <w:rPr>
      <w:sz w:val="24"/>
      <w:szCs w:val="24"/>
    </w:rPr>
  </w:style>
  <w:style w:type="character" w:customStyle="1" w:styleId="819">
    <w:name w:val="样式 样式 首行缩进:  1 字符 + 首行缩进:  2 字符1 Char"/>
    <w:qFormat/>
    <w:uiPriority w:val="0"/>
    <w:rPr>
      <w:rFonts w:eastAsia="宋体" w:cs="宋体"/>
      <w:kern w:val="2"/>
      <w:sz w:val="24"/>
      <w:lang w:val="en-US" w:eastAsia="zh-CN" w:bidi="ar-SA"/>
    </w:rPr>
  </w:style>
  <w:style w:type="character" w:customStyle="1" w:styleId="820">
    <w:name w:val="timu1"/>
    <w:qFormat/>
    <w:uiPriority w:val="0"/>
  </w:style>
  <w:style w:type="character" w:customStyle="1" w:styleId="821">
    <w:name w:val="报告正文 Char"/>
    <w:link w:val="822"/>
    <w:qFormat/>
    <w:uiPriority w:val="0"/>
    <w:rPr>
      <w:kern w:val="2"/>
      <w:sz w:val="24"/>
    </w:rPr>
  </w:style>
  <w:style w:type="paragraph" w:customStyle="1" w:styleId="822">
    <w:name w:val="报告正文"/>
    <w:basedOn w:val="1"/>
    <w:link w:val="821"/>
    <w:qFormat/>
    <w:uiPriority w:val="0"/>
    <w:pPr>
      <w:widowControl w:val="0"/>
      <w:jc w:val="center"/>
    </w:pPr>
    <w:rPr>
      <w:szCs w:val="20"/>
    </w:rPr>
  </w:style>
  <w:style w:type="character" w:customStyle="1" w:styleId="823">
    <w:name w:val="javascript1"/>
    <w:qFormat/>
    <w:uiPriority w:val="0"/>
    <w:rPr>
      <w:rFonts w:hint="default" w:ascii="Tahoma" w:hAnsi="Tahoma" w:cs="Tahoma"/>
      <w:sz w:val="18"/>
      <w:szCs w:val="18"/>
    </w:rPr>
  </w:style>
  <w:style w:type="character" w:customStyle="1" w:styleId="824">
    <w:name w:val="Char Char1 Char Char Char Char Char Char Char Char Char Char Char Char Char Char Char Char Char Char Char Char1 Char Char"/>
    <w:link w:val="825"/>
    <w:qFormat/>
    <w:uiPriority w:val="0"/>
    <w:rPr>
      <w:rFonts w:ascii="宋体" w:hAnsi="宋体"/>
      <w:kern w:val="2"/>
      <w:sz w:val="24"/>
      <w:szCs w:val="24"/>
    </w:rPr>
  </w:style>
  <w:style w:type="paragraph" w:customStyle="1" w:styleId="825">
    <w:name w:val="Char Char1 Char Char Char Char Char Char Char Char Char Char Char Char Char Char Char Char Char Char Char Char1 Char"/>
    <w:basedOn w:val="1"/>
    <w:link w:val="824"/>
    <w:qFormat/>
    <w:uiPriority w:val="0"/>
    <w:pPr>
      <w:widowControl w:val="0"/>
      <w:ind w:firstLine="200"/>
    </w:pPr>
    <w:rPr>
      <w:rFonts w:ascii="宋体" w:hAnsi="宋体"/>
      <w:szCs w:val="24"/>
    </w:rPr>
  </w:style>
  <w:style w:type="character" w:customStyle="1" w:styleId="826">
    <w:name w:val="spelle"/>
    <w:qFormat/>
    <w:uiPriority w:val="0"/>
  </w:style>
  <w:style w:type="character" w:customStyle="1" w:styleId="827">
    <w:name w:val="样式 宋体 小四 右侧:  -0.09 厘米 行距: 多倍行距 1.45 字行 Char Char"/>
    <w:link w:val="828"/>
    <w:qFormat/>
    <w:uiPriority w:val="0"/>
    <w:rPr>
      <w:rFonts w:ascii="宋体" w:hAnsi="宋体"/>
      <w:kern w:val="2"/>
      <w:sz w:val="24"/>
      <w:szCs w:val="24"/>
    </w:rPr>
  </w:style>
  <w:style w:type="paragraph" w:customStyle="1" w:styleId="828">
    <w:name w:val="样式 宋体 小四 右侧:  -0.09 厘米 行距: 多倍行距 1.45 字行"/>
    <w:basedOn w:val="1"/>
    <w:link w:val="827"/>
    <w:qFormat/>
    <w:uiPriority w:val="0"/>
    <w:pPr>
      <w:widowControl w:val="0"/>
      <w:ind w:firstLine="200"/>
    </w:pPr>
    <w:rPr>
      <w:rFonts w:ascii="宋体" w:hAnsi="宋体"/>
      <w:szCs w:val="24"/>
    </w:rPr>
  </w:style>
  <w:style w:type="character" w:customStyle="1" w:styleId="829">
    <w:name w:val="样式 样式 宋体 小四 右侧:  -0.09 厘米 行距: 多倍行距 1.45 字行 + 黑色 Char Char"/>
    <w:link w:val="830"/>
    <w:qFormat/>
    <w:uiPriority w:val="0"/>
    <w:rPr>
      <w:rFonts w:ascii="宋体" w:hAnsi="宋体"/>
      <w:color w:val="000000"/>
      <w:kern w:val="2"/>
      <w:sz w:val="24"/>
      <w:szCs w:val="24"/>
    </w:rPr>
  </w:style>
  <w:style w:type="paragraph" w:customStyle="1" w:styleId="830">
    <w:name w:val="样式 样式 宋体 小四 右侧:  -0.09 厘米 行距: 多倍行距 1.45 字行 + 黑色"/>
    <w:basedOn w:val="828"/>
    <w:link w:val="829"/>
    <w:qFormat/>
    <w:uiPriority w:val="0"/>
    <w:rPr>
      <w:color w:val="000000"/>
    </w:rPr>
  </w:style>
  <w:style w:type="paragraph" w:customStyle="1" w:styleId="831">
    <w:name w:val="样式 标题 1H1NMP Heading 1Ch章标题章标题 1Head 1wsa一、标题 1 Char章节标..."/>
    <w:basedOn w:val="3"/>
    <w:qFormat/>
    <w:uiPriority w:val="0"/>
    <w:pPr>
      <w:widowControl w:val="0"/>
      <w:numPr>
        <w:numId w:val="0"/>
      </w:numPr>
      <w:tabs>
        <w:tab w:val="left" w:pos="360"/>
        <w:tab w:val="left" w:pos="482"/>
      </w:tabs>
      <w:spacing w:before="0" w:after="0"/>
    </w:pPr>
    <w:rPr>
      <w:rFonts w:ascii="Calibri" w:hAnsi="华文中宋" w:eastAsia="华文中宋"/>
      <w:b/>
      <w:sz w:val="36"/>
      <w:szCs w:val="20"/>
    </w:rPr>
  </w:style>
  <w:style w:type="paragraph" w:customStyle="1" w:styleId="832">
    <w:name w:val="报告书表格"/>
    <w:basedOn w:val="1"/>
    <w:qFormat/>
    <w:uiPriority w:val="0"/>
    <w:pPr>
      <w:widowControl w:val="0"/>
      <w:spacing w:before="60" w:after="60" w:line="240" w:lineRule="atLeast"/>
      <w:jc w:val="center"/>
      <w:textAlignment w:val="baseline"/>
    </w:pPr>
    <w:rPr>
      <w:kern w:val="0"/>
      <w:szCs w:val="20"/>
    </w:rPr>
  </w:style>
  <w:style w:type="paragraph" w:customStyle="1" w:styleId="833">
    <w:name w:val="样式 样式 标题 3ReHead 3 WSAh3H3level_3PIM 3Level 3 HeadHeading 3... +..."/>
    <w:basedOn w:val="1"/>
    <w:qFormat/>
    <w:uiPriority w:val="0"/>
    <w:pPr>
      <w:keepNext/>
      <w:keepLines/>
      <w:widowControl w:val="0"/>
      <w:tabs>
        <w:tab w:val="left" w:pos="360"/>
        <w:tab w:val="left" w:pos="1740"/>
      </w:tabs>
      <w:outlineLvl w:val="2"/>
    </w:pPr>
    <w:rPr>
      <w:rFonts w:eastAsia="黑体" w:cs="宋体"/>
      <w:color w:val="000000"/>
      <w:szCs w:val="24"/>
    </w:rPr>
  </w:style>
  <w:style w:type="paragraph" w:customStyle="1" w:styleId="834">
    <w:name w:val="g_p_center g_t_wrap g_t_left g_t_20 g_c_pdin c07"/>
    <w:basedOn w:val="1"/>
    <w:qFormat/>
    <w:uiPriority w:val="0"/>
    <w:pPr>
      <w:spacing w:before="100" w:beforeAutospacing="1" w:after="100" w:afterAutospacing="1"/>
    </w:pPr>
    <w:rPr>
      <w:rFonts w:ascii="宋体" w:hAnsi="宋体" w:cs="宋体"/>
      <w:kern w:val="0"/>
      <w:szCs w:val="24"/>
    </w:rPr>
  </w:style>
  <w:style w:type="paragraph" w:customStyle="1" w:styleId="835">
    <w:name w:val="样式 标题 3 Char1 Char Char1标题 3 Char Char1 Char Char2标题 3 Char1 C...1"/>
    <w:basedOn w:val="1"/>
    <w:qFormat/>
    <w:uiPriority w:val="0"/>
    <w:pPr>
      <w:widowControl w:val="0"/>
      <w:tabs>
        <w:tab w:val="left" w:pos="360"/>
        <w:tab w:val="left" w:pos="540"/>
      </w:tabs>
    </w:pPr>
    <w:rPr>
      <w:szCs w:val="24"/>
    </w:rPr>
  </w:style>
  <w:style w:type="character" w:customStyle="1" w:styleId="836">
    <w:name w:val="尾注文本 Char1"/>
    <w:semiHidden/>
    <w:qFormat/>
    <w:uiPriority w:val="0"/>
    <w:rPr>
      <w:kern w:val="2"/>
      <w:sz w:val="21"/>
      <w:szCs w:val="22"/>
    </w:rPr>
  </w:style>
  <w:style w:type="paragraph" w:customStyle="1" w:styleId="837">
    <w:name w:val="样式 样式 样式 标题 1 + 两端对齐 右侧:  1.73 厘米 + 四号 加粗 + 宋体 四号 加粗"/>
    <w:basedOn w:val="1"/>
    <w:qFormat/>
    <w:uiPriority w:val="0"/>
    <w:pPr>
      <w:keepNext/>
      <w:widowControl w:val="0"/>
      <w:spacing w:beforeLines="25" w:afterLines="25" w:line="300" w:lineRule="auto"/>
      <w:outlineLvl w:val="0"/>
    </w:pPr>
    <w:rPr>
      <w:rFonts w:ascii="宋体" w:hAnsi="宋体" w:cs="宋体"/>
      <w:bCs/>
      <w:sz w:val="28"/>
      <w:szCs w:val="20"/>
    </w:rPr>
  </w:style>
  <w:style w:type="character" w:customStyle="1" w:styleId="838">
    <w:name w:val="Char Char13"/>
    <w:qFormat/>
    <w:uiPriority w:val="0"/>
    <w:rPr>
      <w:rFonts w:ascii="宋体" w:hAnsi="宋体"/>
      <w:kern w:val="2"/>
      <w:sz w:val="24"/>
      <w:szCs w:val="24"/>
    </w:rPr>
  </w:style>
  <w:style w:type="paragraph" w:customStyle="1" w:styleId="839">
    <w:name w:val="样式 标题 2 + (符号) Times New Roman"/>
    <w:basedOn w:val="4"/>
    <w:qFormat/>
    <w:uiPriority w:val="0"/>
    <w:pPr>
      <w:widowControl w:val="0"/>
      <w:numPr>
        <w:ilvl w:val="0"/>
        <w:numId w:val="0"/>
      </w:numPr>
      <w:tabs>
        <w:tab w:val="left" w:pos="360"/>
        <w:tab w:val="left" w:pos="1320"/>
        <w:tab w:val="clear" w:pos="525"/>
      </w:tabs>
      <w:spacing w:before="0" w:beforeLines="0" w:after="0" w:afterLines="0"/>
    </w:pPr>
    <w:rPr>
      <w:rFonts w:eastAsia="黑体"/>
      <w:b w:val="0"/>
      <w:bCs w:val="0"/>
      <w:szCs w:val="30"/>
    </w:rPr>
  </w:style>
  <w:style w:type="paragraph" w:customStyle="1" w:styleId="840">
    <w:name w:val="样式 样式 首行缩进:  1 字符 + 首行缩进:  2 字符1"/>
    <w:basedOn w:val="1"/>
    <w:qFormat/>
    <w:uiPriority w:val="0"/>
    <w:pPr>
      <w:widowControl w:val="0"/>
      <w:ind w:firstLine="200"/>
    </w:pPr>
    <w:rPr>
      <w:rFonts w:cs="宋体"/>
      <w:szCs w:val="20"/>
    </w:rPr>
  </w:style>
  <w:style w:type="character" w:customStyle="1" w:styleId="841">
    <w:name w:val="Char Char12"/>
    <w:qFormat/>
    <w:uiPriority w:val="0"/>
    <w:rPr>
      <w:kern w:val="2"/>
      <w:sz w:val="21"/>
      <w:szCs w:val="22"/>
    </w:rPr>
  </w:style>
  <w:style w:type="paragraph" w:customStyle="1" w:styleId="842">
    <w:name w:val="Char Char Char Char Char2 Char Char Char Char1"/>
    <w:basedOn w:val="1"/>
    <w:semiHidden/>
    <w:qFormat/>
    <w:uiPriority w:val="0"/>
    <w:pPr>
      <w:widowControl w:val="0"/>
      <w:ind w:firstLine="200"/>
    </w:pPr>
    <w:rPr>
      <w:rFonts w:ascii="宋体" w:hAnsi="宋体" w:cs="宋体"/>
      <w:szCs w:val="26"/>
    </w:rPr>
  </w:style>
  <w:style w:type="character" w:customStyle="1" w:styleId="843">
    <w:name w:val="批注主题 Char1"/>
    <w:semiHidden/>
    <w:qFormat/>
    <w:uiPriority w:val="0"/>
    <w:rPr>
      <w:b/>
      <w:bCs/>
      <w:kern w:val="2"/>
      <w:sz w:val="21"/>
      <w:szCs w:val="22"/>
    </w:rPr>
  </w:style>
  <w:style w:type="paragraph" w:customStyle="1" w:styleId="844">
    <w:name w:val="中文报告书"/>
    <w:basedOn w:val="1"/>
    <w:qFormat/>
    <w:uiPriority w:val="0"/>
    <w:pPr>
      <w:widowControl w:val="0"/>
      <w:spacing w:after="80" w:line="420" w:lineRule="atLeast"/>
      <w:textAlignment w:val="baseline"/>
    </w:pPr>
    <w:rPr>
      <w:kern w:val="0"/>
      <w:szCs w:val="20"/>
    </w:rPr>
  </w:style>
  <w:style w:type="paragraph" w:customStyle="1" w:styleId="845">
    <w:name w:val="样式 标题 3 + 首行缩进:  0 厘米"/>
    <w:basedOn w:val="5"/>
    <w:next w:val="1"/>
    <w:qFormat/>
    <w:uiPriority w:val="0"/>
    <w:pPr>
      <w:widowControl w:val="0"/>
      <w:numPr>
        <w:ilvl w:val="0"/>
        <w:numId w:val="0"/>
      </w:numPr>
      <w:tabs>
        <w:tab w:val="clear" w:pos="630"/>
      </w:tabs>
      <w:spacing w:before="100" w:beforeLines="0" w:beforeAutospacing="1" w:after="100" w:afterLines="0" w:afterAutospacing="1"/>
    </w:pPr>
    <w:rPr>
      <w:rFonts w:ascii="宋体" w:cs="宋体"/>
      <w:sz w:val="30"/>
      <w:szCs w:val="30"/>
      <w:lang w:val="zh-CN"/>
    </w:rPr>
  </w:style>
  <w:style w:type="character" w:customStyle="1" w:styleId="846">
    <w:name w:val="页脚 Char1"/>
    <w:semiHidden/>
    <w:qFormat/>
    <w:uiPriority w:val="0"/>
    <w:rPr>
      <w:kern w:val="2"/>
      <w:sz w:val="18"/>
      <w:szCs w:val="18"/>
    </w:rPr>
  </w:style>
  <w:style w:type="paragraph" w:customStyle="1" w:styleId="847">
    <w:name w:val="样式 样式 首行缩进:  1 字符 + 首行缩进:  2 字符2"/>
    <w:basedOn w:val="1"/>
    <w:qFormat/>
    <w:uiPriority w:val="0"/>
    <w:pPr>
      <w:widowControl w:val="0"/>
      <w:ind w:firstLine="200"/>
    </w:pPr>
    <w:rPr>
      <w:rFonts w:cs="宋体"/>
      <w:szCs w:val="20"/>
    </w:rPr>
  </w:style>
  <w:style w:type="paragraph" w:customStyle="1" w:styleId="848">
    <w:name w:val="Char Char Char2 Char"/>
    <w:basedOn w:val="1"/>
    <w:qFormat/>
    <w:uiPriority w:val="0"/>
    <w:pPr>
      <w:widowControl w:val="0"/>
      <w:ind w:firstLine="200"/>
    </w:pPr>
    <w:rPr>
      <w:rFonts w:ascii="宋体" w:hAnsi="宋体" w:cs="宋体"/>
      <w:szCs w:val="24"/>
    </w:rPr>
  </w:style>
  <w:style w:type="paragraph" w:customStyle="1" w:styleId="849">
    <w:name w:val="样式 正文缩进表正文正文非缩进 + 首行缩进:  2 字符"/>
    <w:basedOn w:val="19"/>
    <w:qFormat/>
    <w:uiPriority w:val="0"/>
    <w:pPr>
      <w:widowControl w:val="0"/>
      <w:ind w:firstLine="480" w:firstLineChars="0"/>
    </w:pPr>
    <w:rPr>
      <w:rFonts w:ascii="宋体" w:hAnsi="宋体" w:cs="宋体"/>
      <w:bCs/>
      <w:sz w:val="28"/>
      <w:szCs w:val="20"/>
    </w:rPr>
  </w:style>
  <w:style w:type="paragraph" w:customStyle="1" w:styleId="850">
    <w:name w:val="样式 样式 样式 宋体 小四 右侧:  -0.09 厘米 行距: 多倍行距 1.45 字行 + 黑色 + 首行缩进:  2 字符"/>
    <w:basedOn w:val="830"/>
    <w:qFormat/>
    <w:uiPriority w:val="0"/>
    <w:rPr>
      <w:szCs w:val="20"/>
    </w:rPr>
  </w:style>
  <w:style w:type="character" w:customStyle="1" w:styleId="851">
    <w:name w:val="报告表正文 Char"/>
    <w:link w:val="852"/>
    <w:qFormat/>
    <w:uiPriority w:val="0"/>
    <w:rPr>
      <w:kern w:val="2"/>
      <w:sz w:val="24"/>
      <w:szCs w:val="24"/>
    </w:rPr>
  </w:style>
  <w:style w:type="paragraph" w:customStyle="1" w:styleId="852">
    <w:name w:val="报告表正文"/>
    <w:basedOn w:val="1"/>
    <w:link w:val="851"/>
    <w:qFormat/>
    <w:uiPriority w:val="0"/>
    <w:pPr>
      <w:widowControl w:val="0"/>
      <w:ind w:firstLine="454"/>
      <w:contextualSpacing/>
    </w:pPr>
    <w:rPr>
      <w:szCs w:val="24"/>
    </w:rPr>
  </w:style>
  <w:style w:type="character" w:customStyle="1" w:styleId="853">
    <w:name w:val="报告表-表格内容 Char"/>
    <w:link w:val="854"/>
    <w:qFormat/>
    <w:uiPriority w:val="0"/>
    <w:rPr>
      <w:snapToGrid w:val="0"/>
      <w:w w:val="90"/>
      <w:sz w:val="21"/>
      <w:szCs w:val="21"/>
    </w:rPr>
  </w:style>
  <w:style w:type="paragraph" w:customStyle="1" w:styleId="854">
    <w:name w:val="报告表-表格内容"/>
    <w:link w:val="853"/>
    <w:qFormat/>
    <w:uiPriority w:val="0"/>
    <w:pPr>
      <w:adjustRightInd w:val="0"/>
      <w:snapToGrid w:val="0"/>
      <w:jc w:val="center"/>
    </w:pPr>
    <w:rPr>
      <w:rFonts w:ascii="Calibri" w:hAnsi="Calibri" w:eastAsia="宋体" w:cs="Times New Roman"/>
      <w:snapToGrid w:val="0"/>
      <w:w w:val="90"/>
      <w:sz w:val="21"/>
      <w:szCs w:val="21"/>
      <w:lang w:val="en-US" w:eastAsia="zh-CN" w:bidi="ar-SA"/>
    </w:rPr>
  </w:style>
  <w:style w:type="character" w:customStyle="1" w:styleId="855">
    <w:name w:val="表一级标题 Char"/>
    <w:link w:val="856"/>
    <w:qFormat/>
    <w:uiPriority w:val="0"/>
    <w:rPr>
      <w:rFonts w:eastAsia="黑体"/>
      <w:kern w:val="44"/>
      <w:sz w:val="24"/>
      <w:szCs w:val="24"/>
    </w:rPr>
  </w:style>
  <w:style w:type="paragraph" w:customStyle="1" w:styleId="856">
    <w:name w:val="表一级标题"/>
    <w:basedOn w:val="1"/>
    <w:link w:val="855"/>
    <w:qFormat/>
    <w:uiPriority w:val="0"/>
    <w:pPr>
      <w:widowControl w:val="0"/>
    </w:pPr>
    <w:rPr>
      <w:rFonts w:eastAsia="黑体"/>
      <w:kern w:val="44"/>
      <w:szCs w:val="24"/>
    </w:rPr>
  </w:style>
  <w:style w:type="character" w:customStyle="1" w:styleId="857">
    <w:name w:val="表 正文 Char"/>
    <w:link w:val="858"/>
    <w:qFormat/>
    <w:uiPriority w:val="0"/>
    <w:rPr>
      <w:kern w:val="44"/>
      <w:sz w:val="24"/>
      <w:szCs w:val="24"/>
    </w:rPr>
  </w:style>
  <w:style w:type="paragraph" w:customStyle="1" w:styleId="858">
    <w:name w:val="表 正文"/>
    <w:basedOn w:val="1"/>
    <w:link w:val="857"/>
    <w:qFormat/>
    <w:uiPriority w:val="0"/>
    <w:pPr>
      <w:widowControl w:val="0"/>
      <w:ind w:firstLine="200"/>
    </w:pPr>
    <w:rPr>
      <w:kern w:val="44"/>
      <w:szCs w:val="24"/>
    </w:rPr>
  </w:style>
  <w:style w:type="character" w:customStyle="1" w:styleId="859">
    <w:name w:val="表 正文 Char Char"/>
    <w:qFormat/>
    <w:uiPriority w:val="0"/>
    <w:rPr>
      <w:rFonts w:eastAsia="宋体"/>
      <w:kern w:val="44"/>
      <w:sz w:val="24"/>
      <w:szCs w:val="24"/>
      <w:lang w:val="en-US" w:eastAsia="zh-CN" w:bidi="ar-SA"/>
    </w:rPr>
  </w:style>
  <w:style w:type="character" w:customStyle="1" w:styleId="860">
    <w:name w:val="Char Char7"/>
    <w:qFormat/>
    <w:uiPriority w:val="0"/>
    <w:rPr>
      <w:rFonts w:ascii="宋体" w:hAnsi="宋体"/>
      <w:b/>
      <w:sz w:val="24"/>
      <w:lang w:bidi="ar-SA"/>
    </w:rPr>
  </w:style>
  <w:style w:type="character" w:customStyle="1" w:styleId="861">
    <w:name w:val="标题 2 Char Char Char"/>
    <w:qFormat/>
    <w:uiPriority w:val="0"/>
    <w:rPr>
      <w:rFonts w:ascii="Arial" w:hAnsi="Arial" w:eastAsia="黑体"/>
      <w:b/>
      <w:bCs/>
      <w:kern w:val="2"/>
      <w:sz w:val="32"/>
      <w:szCs w:val="32"/>
      <w:lang w:val="en-US" w:eastAsia="zh-CN" w:bidi="ar-SA"/>
    </w:rPr>
  </w:style>
  <w:style w:type="character" w:customStyle="1" w:styleId="862">
    <w:name w:val="style11"/>
    <w:qFormat/>
    <w:uiPriority w:val="0"/>
    <w:rPr>
      <w:sz w:val="18"/>
      <w:szCs w:val="18"/>
    </w:rPr>
  </w:style>
  <w:style w:type="paragraph" w:customStyle="1" w:styleId="863">
    <w:name w:val="样式环评"/>
    <w:basedOn w:val="1"/>
    <w:qFormat/>
    <w:uiPriority w:val="0"/>
    <w:pPr>
      <w:widowControl w:val="0"/>
      <w:spacing w:line="500" w:lineRule="exact"/>
      <w:ind w:firstLine="612"/>
    </w:pPr>
    <w:rPr>
      <w:rFonts w:ascii="仿宋_GB2312" w:hAnsi="宋体" w:eastAsia="仿宋_GB2312"/>
      <w:sz w:val="28"/>
      <w:szCs w:val="24"/>
    </w:rPr>
  </w:style>
  <w:style w:type="paragraph" w:customStyle="1" w:styleId="864">
    <w:name w:val="列出段落2"/>
    <w:basedOn w:val="1"/>
    <w:qFormat/>
    <w:uiPriority w:val="0"/>
    <w:pPr>
      <w:widowControl w:val="0"/>
      <w:spacing w:line="300" w:lineRule="auto"/>
      <w:ind w:firstLine="420"/>
    </w:pPr>
    <w:rPr>
      <w:szCs w:val="24"/>
    </w:rPr>
  </w:style>
  <w:style w:type="paragraph" w:customStyle="1" w:styleId="865">
    <w:name w:val="样式 首行缩进:  0.77 厘米 行距: 固定值 20 磅"/>
    <w:basedOn w:val="1"/>
    <w:qFormat/>
    <w:uiPriority w:val="0"/>
    <w:pPr>
      <w:widowControl w:val="0"/>
      <w:ind w:firstLine="435"/>
    </w:pPr>
    <w:rPr>
      <w:szCs w:val="20"/>
    </w:rPr>
  </w:style>
  <w:style w:type="character" w:customStyle="1" w:styleId="866">
    <w:name w:val="正文-ls Char"/>
    <w:link w:val="867"/>
    <w:qFormat/>
    <w:uiPriority w:val="0"/>
    <w:rPr>
      <w:rFonts w:hAnsi="宋体"/>
      <w:kern w:val="2"/>
      <w:sz w:val="24"/>
    </w:rPr>
  </w:style>
  <w:style w:type="paragraph" w:customStyle="1" w:styleId="867">
    <w:name w:val="正文-ls"/>
    <w:basedOn w:val="1"/>
    <w:link w:val="866"/>
    <w:qFormat/>
    <w:uiPriority w:val="0"/>
    <w:pPr>
      <w:widowControl w:val="0"/>
      <w:ind w:firstLine="200"/>
    </w:pPr>
    <w:rPr>
      <w:rFonts w:hAnsi="宋体"/>
      <w:szCs w:val="20"/>
    </w:rPr>
  </w:style>
  <w:style w:type="character" w:customStyle="1" w:styleId="868">
    <w:name w:val="表一级标题 Char Char"/>
    <w:qFormat/>
    <w:uiPriority w:val="0"/>
    <w:rPr>
      <w:rFonts w:eastAsia="黑体"/>
      <w:kern w:val="44"/>
      <w:sz w:val="24"/>
      <w:szCs w:val="24"/>
      <w:lang w:val="en-US" w:eastAsia="zh-CN" w:bidi="ar-SA"/>
    </w:rPr>
  </w:style>
  <w:style w:type="character" w:customStyle="1" w:styleId="869">
    <w:name w:val="报告表标题1 Char"/>
    <w:link w:val="870"/>
    <w:qFormat/>
    <w:uiPriority w:val="0"/>
    <w:rPr>
      <w:rFonts w:eastAsia="黑体"/>
      <w:kern w:val="2"/>
      <w:sz w:val="24"/>
      <w:szCs w:val="24"/>
    </w:rPr>
  </w:style>
  <w:style w:type="paragraph" w:customStyle="1" w:styleId="870">
    <w:name w:val="报告表标题1"/>
    <w:basedOn w:val="1"/>
    <w:link w:val="869"/>
    <w:qFormat/>
    <w:uiPriority w:val="0"/>
    <w:pPr>
      <w:widowControl w:val="0"/>
    </w:pPr>
    <w:rPr>
      <w:rFonts w:eastAsia="黑体"/>
      <w:szCs w:val="24"/>
    </w:rPr>
  </w:style>
  <w:style w:type="table" w:customStyle="1" w:styleId="871">
    <w:name w:val="网格型浅色1"/>
    <w:basedOn w:val="82"/>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customStyle="1" w:styleId="872">
    <w:name w:val="p148h"/>
    <w:basedOn w:val="93"/>
    <w:qFormat/>
    <w:uiPriority w:val="0"/>
  </w:style>
  <w:style w:type="character" w:customStyle="1" w:styleId="873">
    <w:name w:val="font21"/>
    <w:qFormat/>
    <w:uiPriority w:val="0"/>
    <w:rPr>
      <w:rFonts w:hint="default" w:ascii="Times New Roman" w:hAnsi="Times New Roman" w:cs="Times New Roman"/>
      <w:color w:val="000000"/>
      <w:sz w:val="24"/>
      <w:szCs w:val="24"/>
      <w:u w:val="none"/>
    </w:rPr>
  </w:style>
  <w:style w:type="character" w:customStyle="1" w:styleId="874">
    <w:name w:val="电子邮件签名 字符1"/>
    <w:basedOn w:val="93"/>
    <w:semiHidden/>
    <w:qFormat/>
    <w:uiPriority w:val="0"/>
    <w:rPr>
      <w:kern w:val="2"/>
      <w:sz w:val="21"/>
      <w:szCs w:val="24"/>
    </w:rPr>
  </w:style>
  <w:style w:type="character" w:customStyle="1" w:styleId="875">
    <w:name w:val="正文文本首行缩进 2 字符1"/>
    <w:basedOn w:val="93"/>
    <w:semiHidden/>
    <w:qFormat/>
    <w:uiPriority w:val="0"/>
    <w:rPr>
      <w:rFonts w:eastAsia="宋体"/>
      <w:kern w:val="2"/>
      <w:sz w:val="21"/>
      <w:szCs w:val="24"/>
      <w:lang w:val="en-US" w:eastAsia="zh-CN" w:bidi="ar-SA"/>
    </w:rPr>
  </w:style>
  <w:style w:type="character" w:customStyle="1" w:styleId="876">
    <w:name w:val="脚注文本 字符1"/>
    <w:basedOn w:val="93"/>
    <w:semiHidden/>
    <w:qFormat/>
    <w:uiPriority w:val="0"/>
    <w:rPr>
      <w:kern w:val="2"/>
      <w:sz w:val="18"/>
      <w:szCs w:val="18"/>
    </w:rPr>
  </w:style>
  <w:style w:type="character" w:customStyle="1" w:styleId="877">
    <w:name w:val="信息标题 字符1"/>
    <w:basedOn w:val="93"/>
    <w:semiHidden/>
    <w:qFormat/>
    <w:uiPriority w:val="0"/>
    <w:rPr>
      <w:rFonts w:ascii="等线 Light" w:hAnsi="等线 Light" w:eastAsia="等线 Light" w:cs="Times New Roman"/>
      <w:kern w:val="2"/>
      <w:sz w:val="24"/>
      <w:szCs w:val="24"/>
      <w:shd w:val="pct20" w:color="auto" w:fill="auto"/>
    </w:rPr>
  </w:style>
  <w:style w:type="character" w:customStyle="1" w:styleId="878">
    <w:name w:val="正文文本 3 字符1"/>
    <w:basedOn w:val="93"/>
    <w:semiHidden/>
    <w:qFormat/>
    <w:uiPriority w:val="0"/>
    <w:rPr>
      <w:kern w:val="2"/>
      <w:sz w:val="16"/>
      <w:szCs w:val="16"/>
    </w:rPr>
  </w:style>
  <w:style w:type="character" w:customStyle="1" w:styleId="879">
    <w:name w:val="称呼 字符1"/>
    <w:basedOn w:val="93"/>
    <w:semiHidden/>
    <w:qFormat/>
    <w:uiPriority w:val="0"/>
    <w:rPr>
      <w:kern w:val="2"/>
      <w:sz w:val="21"/>
      <w:szCs w:val="24"/>
    </w:rPr>
  </w:style>
  <w:style w:type="character" w:customStyle="1" w:styleId="880">
    <w:name w:val="结束语 字符1"/>
    <w:basedOn w:val="93"/>
    <w:semiHidden/>
    <w:qFormat/>
    <w:uiPriority w:val="0"/>
    <w:rPr>
      <w:kern w:val="2"/>
      <w:sz w:val="21"/>
      <w:szCs w:val="24"/>
    </w:rPr>
  </w:style>
  <w:style w:type="character" w:customStyle="1" w:styleId="881">
    <w:name w:val="副标题 字符1"/>
    <w:basedOn w:val="93"/>
    <w:qFormat/>
    <w:uiPriority w:val="0"/>
    <w:rPr>
      <w:rFonts w:ascii="等线" w:hAnsi="等线" w:eastAsia="等线" w:cs="Times New Roman"/>
      <w:b/>
      <w:bCs/>
      <w:kern w:val="28"/>
      <w:sz w:val="32"/>
      <w:szCs w:val="32"/>
    </w:rPr>
  </w:style>
  <w:style w:type="character" w:customStyle="1" w:styleId="882">
    <w:name w:val="宏文本 字符1"/>
    <w:basedOn w:val="93"/>
    <w:semiHidden/>
    <w:qFormat/>
    <w:uiPriority w:val="0"/>
    <w:rPr>
      <w:rFonts w:ascii="Courier New" w:hAnsi="Courier New" w:cs="Courier New"/>
      <w:kern w:val="2"/>
      <w:sz w:val="24"/>
      <w:szCs w:val="24"/>
    </w:rPr>
  </w:style>
  <w:style w:type="table" w:customStyle="1" w:styleId="883">
    <w:name w:val="典雅型3"/>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884">
    <w:name w:val="简明型 13"/>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885">
    <w:name w:val="简明型 33"/>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886">
    <w:name w:val="列表型 83"/>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887">
    <w:name w:val="网格型 13"/>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88">
    <w:name w:val="网格型 53"/>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89">
    <w:name w:val="网格型 73"/>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90">
    <w:name w:val="网页型 33"/>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891">
    <w:name w:val="(环评报告表）12"/>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2">
    <w:name w:val="表格主题12"/>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网格型 112"/>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94">
    <w:name w:val="网格型 712"/>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95">
    <w:name w:val="列表型 812"/>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896">
    <w:name w:val="网格型 512"/>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97">
    <w:name w:val="简明型 312"/>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898">
    <w:name w:val="网页型 312"/>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899">
    <w:name w:val="简明型 112"/>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00">
    <w:name w:val="典雅型12"/>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01">
    <w:name w:val="网格型13"/>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02">
    <w:name w:val="网格型21"/>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表格主题21"/>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典雅型21"/>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05">
    <w:name w:val="简明型 121"/>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06">
    <w:name w:val="简明型 321"/>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07">
    <w:name w:val="列表型 821"/>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08">
    <w:name w:val="网格型 121"/>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09">
    <w:name w:val="网格型 521"/>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0">
    <w:name w:val="网格型 721"/>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1">
    <w:name w:val="网页型 321"/>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12">
    <w:name w:val="(环评报告表）111"/>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表格主题111"/>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网格型 1111"/>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5">
    <w:name w:val="网格型 7111"/>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6">
    <w:name w:val="列表型 8111"/>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17">
    <w:name w:val="网格型 5111"/>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8">
    <w:name w:val="简明型 3111"/>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19">
    <w:name w:val="网页型 3111"/>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20">
    <w:name w:val="简明型 1111"/>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21">
    <w:name w:val="典雅型111"/>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22">
    <w:name w:val="网格型111"/>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23">
    <w:name w:val="网格型31"/>
    <w:basedOn w:val="8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1"/>
    <w:basedOn w:val="8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25">
    <w:name w:val="网格型51"/>
    <w:basedOn w:val="8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26">
    <w:name w:val="网格型61"/>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71"/>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121"/>
    <w:basedOn w:val="82"/>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msonormal"/>
    <w:basedOn w:val="1"/>
    <w:qFormat/>
    <w:uiPriority w:val="0"/>
    <w:pPr>
      <w:spacing w:before="100" w:beforeAutospacing="1" w:after="100" w:afterAutospacing="1"/>
    </w:pPr>
    <w:rPr>
      <w:rFonts w:ascii="宋体" w:hAnsi="宋体" w:cs="宋体"/>
      <w:kern w:val="0"/>
      <w:szCs w:val="24"/>
    </w:rPr>
  </w:style>
  <w:style w:type="table" w:customStyle="1" w:styleId="930">
    <w:name w:val="三线2"/>
    <w:basedOn w:val="8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表格主题5"/>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0001"/>
    <w:basedOn w:val="82"/>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933">
    <w:name w:val="表格样式111"/>
    <w:basedOn w:val="82"/>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934">
    <w:name w:val="网格型浅色11"/>
    <w:basedOn w:val="82"/>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935">
    <w:name w:val="典雅型4"/>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36">
    <w:name w:val="简明型 14"/>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37">
    <w:name w:val="简明型 34"/>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38">
    <w:name w:val="列表型 84"/>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39">
    <w:name w:val="网格型 14"/>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0">
    <w:name w:val="网格型 54"/>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1">
    <w:name w:val="网格型 74"/>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2">
    <w:name w:val="网页型 34"/>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43">
    <w:name w:val="(环评报告表）13"/>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4">
    <w:name w:val="表格主题13"/>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网格型 113"/>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6">
    <w:name w:val="网格型 713"/>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7">
    <w:name w:val="列表型 813"/>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48">
    <w:name w:val="网格型 513"/>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9">
    <w:name w:val="简明型 313"/>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50">
    <w:name w:val="网页型 313"/>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51">
    <w:name w:val="简明型 113"/>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52">
    <w:name w:val="典雅型13"/>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53">
    <w:name w:val="网格型14"/>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4">
    <w:name w:val="网格型22"/>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表格主题22"/>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典雅型22"/>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57">
    <w:name w:val="简明型 122"/>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58">
    <w:name w:val="简明型 322"/>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59">
    <w:name w:val="列表型 822"/>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60">
    <w:name w:val="网格型 122"/>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1">
    <w:name w:val="网格型 522"/>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2">
    <w:name w:val="网格型 722"/>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3">
    <w:name w:val="网页型 322"/>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64">
    <w:name w:val="(环评报告表）112"/>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表格主题112"/>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网格型 1112"/>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7">
    <w:name w:val="网格型 7112"/>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8">
    <w:name w:val="列表型 8112"/>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69">
    <w:name w:val="网格型 5112"/>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70">
    <w:name w:val="简明型 3112"/>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71">
    <w:name w:val="网页型 3112"/>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72">
    <w:name w:val="简明型 1112"/>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73">
    <w:name w:val="典雅型112"/>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74">
    <w:name w:val="网格型112"/>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75">
    <w:name w:val="网格型32"/>
    <w:basedOn w:val="8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网格型42"/>
    <w:basedOn w:val="8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77">
    <w:name w:val="网格型52"/>
    <w:basedOn w:val="8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78">
    <w:name w:val="网格型62"/>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网格型72"/>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0">
    <w:name w:val="网格型122"/>
    <w:basedOn w:val="82"/>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三线3"/>
    <w:basedOn w:val="8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表格主题6"/>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0002"/>
    <w:basedOn w:val="82"/>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984">
    <w:name w:val="表格样式112"/>
    <w:basedOn w:val="82"/>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985">
    <w:name w:val="网格型浅色12"/>
    <w:basedOn w:val="82"/>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986">
    <w:name w:val="典雅型5"/>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87">
    <w:name w:val="简明型 15"/>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88">
    <w:name w:val="简明型 35"/>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89">
    <w:name w:val="列表型 85"/>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90">
    <w:name w:val="网格型 15"/>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91">
    <w:name w:val="网格型 55"/>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92">
    <w:name w:val="网格型 75"/>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93">
    <w:name w:val="网页型 35"/>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94">
    <w:name w:val="(环评报告表）14"/>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表格主题14"/>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6">
    <w:name w:val="网格型 114"/>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97">
    <w:name w:val="网格型 714"/>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98">
    <w:name w:val="列表型 814"/>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99">
    <w:name w:val="网格型 514"/>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00">
    <w:name w:val="简明型 314"/>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01">
    <w:name w:val="网页型 314"/>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02">
    <w:name w:val="简明型 114"/>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03">
    <w:name w:val="典雅型14"/>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04">
    <w:name w:val="网格型15"/>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05">
    <w:name w:val="网格型23"/>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表格主题23"/>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典雅型23"/>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08">
    <w:name w:val="简明型 123"/>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09">
    <w:name w:val="简明型 323"/>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10">
    <w:name w:val="列表型 823"/>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11">
    <w:name w:val="网格型 123"/>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2">
    <w:name w:val="网格型 523"/>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3">
    <w:name w:val="网格型 723"/>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4">
    <w:name w:val="网页型 323"/>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15">
    <w:name w:val="(环评报告表）113"/>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表格主题113"/>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网格型 1113"/>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8">
    <w:name w:val="网格型 7113"/>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9">
    <w:name w:val="列表型 8113"/>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20">
    <w:name w:val="网格型 5113"/>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21">
    <w:name w:val="简明型 3113"/>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22">
    <w:name w:val="网页型 3113"/>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23">
    <w:name w:val="简明型 1113"/>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24">
    <w:name w:val="典雅型113"/>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25">
    <w:name w:val="网格型113"/>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26">
    <w:name w:val="网格型33"/>
    <w:basedOn w:val="8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网格型43"/>
    <w:basedOn w:val="8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28">
    <w:name w:val="网格型53"/>
    <w:basedOn w:val="8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29">
    <w:name w:val="网格型63"/>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网格型73"/>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网格型123"/>
    <w:basedOn w:val="82"/>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网格型124"/>
    <w:basedOn w:val="82"/>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三线4"/>
    <w:basedOn w:val="8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表格主题7"/>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0003"/>
    <w:basedOn w:val="82"/>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036">
    <w:name w:val="表格样式113"/>
    <w:basedOn w:val="82"/>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037">
    <w:name w:val="网格型浅色13"/>
    <w:basedOn w:val="82"/>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038">
    <w:name w:val="典雅型6"/>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39">
    <w:name w:val="简明型 16"/>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40">
    <w:name w:val="简明型 36"/>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41">
    <w:name w:val="列表型 86"/>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42">
    <w:name w:val="网格型 16"/>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3">
    <w:name w:val="网格型 56"/>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4">
    <w:name w:val="网格型 76"/>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5">
    <w:name w:val="网页型 36"/>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46">
    <w:name w:val="(环评报告表）15"/>
    <w:basedOn w:val="82"/>
    <w:qFormat/>
    <w:locked/>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表格主题15"/>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网格型 115"/>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9">
    <w:name w:val="网格型 715"/>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50">
    <w:name w:val="列表型 815"/>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51">
    <w:name w:val="网格型 515"/>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52">
    <w:name w:val="简明型 315"/>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53">
    <w:name w:val="网页型 315"/>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54">
    <w:name w:val="简明型 115"/>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55">
    <w:name w:val="典雅型15"/>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56">
    <w:name w:val="网格型16"/>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57">
    <w:name w:val="网格型24"/>
    <w:basedOn w:val="82"/>
    <w:qFormat/>
    <w:locked/>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表格主题24"/>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典雅型24"/>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60">
    <w:name w:val="简明型 124"/>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61">
    <w:name w:val="简明型 324"/>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62">
    <w:name w:val="列表型 824"/>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63">
    <w:name w:val="网格型 124"/>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64">
    <w:name w:val="网格型 524"/>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65">
    <w:name w:val="网格型 724"/>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66">
    <w:name w:val="网页型 324"/>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67">
    <w:name w:val="(环评报告表）114"/>
    <w:basedOn w:val="82"/>
    <w:qFormat/>
    <w:locked/>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表格主题114"/>
    <w:basedOn w:val="82"/>
    <w:qFormat/>
    <w:locked/>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网格型 1114"/>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0">
    <w:name w:val="网格型 7114"/>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1">
    <w:name w:val="列表型 8114"/>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72">
    <w:name w:val="网格型 5114"/>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3">
    <w:name w:val="简明型 3114"/>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74">
    <w:name w:val="网页型 3114"/>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75">
    <w:name w:val="简明型 1114"/>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76">
    <w:name w:val="典雅型114"/>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77">
    <w:name w:val="网格型114"/>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78">
    <w:name w:val="网格型34"/>
    <w:basedOn w:val="8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网格型44"/>
    <w:basedOn w:val="8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80">
    <w:name w:val="网格型54"/>
    <w:basedOn w:val="8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81">
    <w:name w:val="网格型64"/>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2">
    <w:name w:val="网格型74"/>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网格型125"/>
    <w:basedOn w:val="82"/>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三线5"/>
    <w:basedOn w:val="8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表格主题8"/>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0004"/>
    <w:basedOn w:val="82"/>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087">
    <w:name w:val="表格样式114"/>
    <w:basedOn w:val="82"/>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088">
    <w:name w:val="网格型浅色14"/>
    <w:basedOn w:val="82"/>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089">
    <w:name w:val="典雅型7"/>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90">
    <w:name w:val="简明型 17"/>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91">
    <w:name w:val="简明型 37"/>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92">
    <w:name w:val="列表型 87"/>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93">
    <w:name w:val="网格型 17"/>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4">
    <w:name w:val="网格型 57"/>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5">
    <w:name w:val="网格型 77"/>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6">
    <w:name w:val="网页型 37"/>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97">
    <w:name w:val="(环评报告表）16"/>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8">
    <w:name w:val="表格主题16"/>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网格型 116"/>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00">
    <w:name w:val="网格型 716"/>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01">
    <w:name w:val="列表型 816"/>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02">
    <w:name w:val="网格型 516"/>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03">
    <w:name w:val="简明型 316"/>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04">
    <w:name w:val="网页型 316"/>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05">
    <w:name w:val="简明型 116"/>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06">
    <w:name w:val="典雅型16"/>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07">
    <w:name w:val="网格型17"/>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8">
    <w:name w:val="网格型25"/>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表格主题25"/>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典雅型25"/>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11">
    <w:name w:val="简明型 125"/>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12">
    <w:name w:val="简明型 325"/>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13">
    <w:name w:val="列表型 825"/>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14">
    <w:name w:val="网格型 125"/>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15">
    <w:name w:val="网格型 525"/>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16">
    <w:name w:val="网格型 725"/>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17">
    <w:name w:val="网页型 325"/>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18">
    <w:name w:val="(环评报告表）115"/>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表格主题115"/>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网格型 1115"/>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1">
    <w:name w:val="网格型 7115"/>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2">
    <w:name w:val="列表型 8115"/>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23">
    <w:name w:val="网格型 5115"/>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4">
    <w:name w:val="简明型 3115"/>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25">
    <w:name w:val="网页型 3115"/>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26">
    <w:name w:val="简明型 1115"/>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27">
    <w:name w:val="典雅型115"/>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28">
    <w:name w:val="网格型115"/>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29">
    <w:name w:val="网格型35"/>
    <w:basedOn w:val="8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网格型45"/>
    <w:basedOn w:val="8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31">
    <w:name w:val="网格型55"/>
    <w:basedOn w:val="8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32">
    <w:name w:val="网格型65"/>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网格型75"/>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网格型126"/>
    <w:basedOn w:val="82"/>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5">
    <w:name w:val="三线6"/>
    <w:basedOn w:val="8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6">
    <w:name w:val="表格主题9"/>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7">
    <w:name w:val="0005"/>
    <w:basedOn w:val="82"/>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138">
    <w:name w:val="表格样式115"/>
    <w:basedOn w:val="82"/>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139">
    <w:name w:val="网格型浅色15"/>
    <w:basedOn w:val="82"/>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140">
    <w:name w:val="典雅型8"/>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41">
    <w:name w:val="简明型 18"/>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42">
    <w:name w:val="简明型 38"/>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43">
    <w:name w:val="列表型 88"/>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44">
    <w:name w:val="网格型 18"/>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5">
    <w:name w:val="网格型 58"/>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6">
    <w:name w:val="网格型 78"/>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7">
    <w:name w:val="网页型 38"/>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48">
    <w:name w:val="(环评报告表）17"/>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表格主题17"/>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网格型 117"/>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1">
    <w:name w:val="网格型 717"/>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2">
    <w:name w:val="列表型 817"/>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53">
    <w:name w:val="网格型 517"/>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4">
    <w:name w:val="简明型 317"/>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55">
    <w:name w:val="网页型 317"/>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56">
    <w:name w:val="简明型 117"/>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57">
    <w:name w:val="典雅型17"/>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58">
    <w:name w:val="网格型18"/>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59">
    <w:name w:val="网格型26"/>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表格主题26"/>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1">
    <w:name w:val="典雅型26"/>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62">
    <w:name w:val="简明型 126"/>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63">
    <w:name w:val="简明型 326"/>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64">
    <w:name w:val="列表型 826"/>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65">
    <w:name w:val="网格型 126"/>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6">
    <w:name w:val="网格型 526"/>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7">
    <w:name w:val="网格型 726"/>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8">
    <w:name w:val="网页型 326"/>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69">
    <w:name w:val="(环评报告表）116"/>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表格主题116"/>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网格型 1116"/>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2">
    <w:name w:val="网格型 7116"/>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3">
    <w:name w:val="列表型 8116"/>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74">
    <w:name w:val="网格型 5116"/>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5">
    <w:name w:val="简明型 3116"/>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76">
    <w:name w:val="网页型 3116"/>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77">
    <w:name w:val="简明型 1116"/>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78">
    <w:name w:val="典雅型116"/>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79">
    <w:name w:val="网格型116"/>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80">
    <w:name w:val="网格型36"/>
    <w:basedOn w:val="8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1">
    <w:name w:val="网格型46"/>
    <w:basedOn w:val="8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82">
    <w:name w:val="网格型56"/>
    <w:basedOn w:val="8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83">
    <w:name w:val="网格型66"/>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4">
    <w:name w:val="网格型76"/>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5">
    <w:name w:val="网格型127"/>
    <w:basedOn w:val="82"/>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6">
    <w:name w:val="三线7"/>
    <w:basedOn w:val="8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表格主题10"/>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0006"/>
    <w:basedOn w:val="82"/>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189">
    <w:name w:val="表格样式116"/>
    <w:basedOn w:val="82"/>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190">
    <w:name w:val="网格型浅色16"/>
    <w:basedOn w:val="82"/>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191">
    <w:name w:val="典雅型9"/>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92">
    <w:name w:val="简明型 19"/>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93">
    <w:name w:val="简明型 39"/>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94">
    <w:name w:val="列表型 89"/>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95">
    <w:name w:val="网格型 19"/>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6">
    <w:name w:val="网格型 59"/>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7">
    <w:name w:val="网格型 79"/>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8">
    <w:name w:val="网页型 39"/>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99">
    <w:name w:val="(环评报告表）18"/>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表格主题18"/>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网格型 118"/>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02">
    <w:name w:val="网格型 718"/>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03">
    <w:name w:val="列表型 818"/>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204">
    <w:name w:val="网格型 518"/>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05">
    <w:name w:val="简明型 318"/>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06">
    <w:name w:val="网页型 318"/>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07">
    <w:name w:val="简明型 118"/>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08">
    <w:name w:val="典雅型18"/>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09">
    <w:name w:val="网格型19"/>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10">
    <w:name w:val="网格型27"/>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表格主题27"/>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典雅型27"/>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13">
    <w:name w:val="简明型 127"/>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14">
    <w:name w:val="简明型 327"/>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15">
    <w:name w:val="列表型 827"/>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216">
    <w:name w:val="网格型 127"/>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7">
    <w:name w:val="网格型 527"/>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8">
    <w:name w:val="网格型 727"/>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9">
    <w:name w:val="网页型 327"/>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20">
    <w:name w:val="(环评报告表）117"/>
    <w:basedOn w:val="82"/>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表格主题117"/>
    <w:basedOn w:val="82"/>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网格型 1117"/>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3">
    <w:name w:val="网格型 7117"/>
    <w:basedOn w:val="82"/>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4">
    <w:name w:val="列表型 8117"/>
    <w:basedOn w:val="82"/>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225">
    <w:name w:val="网格型 5117"/>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6">
    <w:name w:val="简明型 3117"/>
    <w:basedOn w:val="8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27">
    <w:name w:val="网页型 3117"/>
    <w:basedOn w:val="82"/>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28">
    <w:name w:val="简明型 1117"/>
    <w:basedOn w:val="82"/>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29">
    <w:name w:val="典雅型117"/>
    <w:basedOn w:val="8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30">
    <w:name w:val="网格型117"/>
    <w:basedOn w:val="8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31">
    <w:name w:val="网格型37"/>
    <w:basedOn w:val="8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网格型47"/>
    <w:basedOn w:val="8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33">
    <w:name w:val="网格型57"/>
    <w:basedOn w:val="8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34">
    <w:name w:val="网格型67"/>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5">
    <w:name w:val="网格型77"/>
    <w:basedOn w:val="8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网格型128"/>
    <w:basedOn w:val="82"/>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7">
    <w:name w:val="Table Paragraph"/>
    <w:basedOn w:val="1"/>
    <w:qFormat/>
    <w:uiPriority w:val="1"/>
    <w:pPr>
      <w:widowControl w:val="0"/>
      <w:autoSpaceDE w:val="0"/>
      <w:autoSpaceDN w:val="0"/>
    </w:pPr>
    <w:rPr>
      <w:rFonts w:ascii="宋体" w:hAnsi="宋体" w:cs="宋体"/>
      <w:kern w:val="0"/>
      <w:sz w:val="22"/>
      <w:lang w:eastAsia="en-US"/>
    </w:rPr>
  </w:style>
  <w:style w:type="table" w:customStyle="1" w:styleId="1238">
    <w:name w:val="网格型9"/>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表格主题19"/>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40">
    <w:name w:val="批注文字 Char2"/>
    <w:qFormat/>
    <w:uiPriority w:val="0"/>
    <w:rPr>
      <w:rFonts w:eastAsia="宋体"/>
      <w:kern w:val="2"/>
      <w:sz w:val="21"/>
      <w:szCs w:val="24"/>
      <w:lang w:val="en-US" w:eastAsia="zh-CN" w:bidi="ar-SA"/>
    </w:rPr>
  </w:style>
  <w:style w:type="paragraph" w:customStyle="1" w:styleId="1241">
    <w:name w:val="特点标题"/>
    <w:basedOn w:val="1"/>
    <w:next w:val="32"/>
    <w:qFormat/>
    <w:uiPriority w:val="0"/>
    <w:pPr>
      <w:widowControl w:val="0"/>
      <w:spacing w:line="520" w:lineRule="exact"/>
      <w:ind w:firstLine="560"/>
    </w:pPr>
    <w:rPr>
      <w:rFonts w:ascii="宋体" w:hAnsi="宋体"/>
      <w:color w:val="FF0000"/>
      <w:sz w:val="28"/>
      <w:szCs w:val="20"/>
    </w:rPr>
  </w:style>
  <w:style w:type="character" w:customStyle="1" w:styleId="1242">
    <w:name w:val="正文文本缩进 3 字符1"/>
    <w:qFormat/>
    <w:uiPriority w:val="0"/>
    <w:rPr>
      <w:kern w:val="2"/>
      <w:sz w:val="16"/>
      <w:szCs w:val="16"/>
    </w:rPr>
  </w:style>
  <w:style w:type="character" w:customStyle="1" w:styleId="1243">
    <w:name w:val="标题 2 字符1"/>
    <w:qFormat/>
    <w:uiPriority w:val="0"/>
    <w:rPr>
      <w:rFonts w:ascii="Times New Roman" w:hAnsi="Times New Roman"/>
      <w:b/>
      <w:bCs/>
      <w:kern w:val="2"/>
      <w:sz w:val="30"/>
      <w:szCs w:val="32"/>
    </w:rPr>
  </w:style>
  <w:style w:type="character" w:customStyle="1" w:styleId="1244">
    <w:name w:val="页眉 字符1"/>
    <w:qFormat/>
    <w:uiPriority w:val="0"/>
    <w:rPr>
      <w:rFonts w:ascii="Times New Roman" w:hAnsi="Times New Roman"/>
    </w:rPr>
  </w:style>
  <w:style w:type="character" w:customStyle="1" w:styleId="1245">
    <w:name w:val="批注框文本 字符1"/>
    <w:qFormat/>
    <w:uiPriority w:val="0"/>
    <w:rPr>
      <w:rFonts w:ascii="Times New Roman" w:hAnsi="Times New Roman"/>
      <w:kern w:val="2"/>
      <w:sz w:val="18"/>
      <w:szCs w:val="18"/>
    </w:rPr>
  </w:style>
  <w:style w:type="character" w:customStyle="1" w:styleId="1246">
    <w:name w:val="正文文本缩进 字符1"/>
    <w:qFormat/>
    <w:uiPriority w:val="0"/>
    <w:rPr>
      <w:rFonts w:ascii="Times New Roman" w:hAnsi="Times New Roman"/>
      <w:sz w:val="24"/>
    </w:rPr>
  </w:style>
  <w:style w:type="character" w:customStyle="1" w:styleId="1247">
    <w:name w:val="页脚 字符1"/>
    <w:qFormat/>
    <w:uiPriority w:val="0"/>
    <w:rPr>
      <w:rFonts w:ascii="Times New Roman" w:hAnsi="Times New Roman"/>
      <w:sz w:val="18"/>
    </w:rPr>
  </w:style>
  <w:style w:type="character" w:customStyle="1" w:styleId="1248">
    <w:name w:val="未处理的提及11"/>
    <w:unhideWhenUsed/>
    <w:qFormat/>
    <w:uiPriority w:val="99"/>
    <w:rPr>
      <w:color w:val="808080"/>
      <w:shd w:val="clear" w:color="auto" w:fill="E6E6E6"/>
    </w:rPr>
  </w:style>
  <w:style w:type="character" w:customStyle="1" w:styleId="1249">
    <w:name w:val="15"/>
    <w:qFormat/>
    <w:uiPriority w:val="0"/>
    <w:rPr>
      <w:rFonts w:hint="default" w:ascii="Times New Roman" w:hAnsi="Times New Roman" w:cs="Times New Roman"/>
      <w:sz w:val="20"/>
      <w:szCs w:val="20"/>
    </w:rPr>
  </w:style>
  <w:style w:type="character" w:customStyle="1" w:styleId="1250">
    <w:name w:val="正文对的 Char"/>
    <w:link w:val="1251"/>
    <w:qFormat/>
    <w:uiPriority w:val="0"/>
    <w:rPr>
      <w:rFonts w:ascii="宋体" w:hAnsi="宋体"/>
      <w:color w:val="000000"/>
      <w:kern w:val="2"/>
      <w:sz w:val="24"/>
    </w:rPr>
  </w:style>
  <w:style w:type="paragraph" w:customStyle="1" w:styleId="1251">
    <w:name w:val="正文对的"/>
    <w:basedOn w:val="32"/>
    <w:link w:val="1250"/>
    <w:qFormat/>
    <w:uiPriority w:val="0"/>
    <w:pPr>
      <w:adjustRightInd/>
      <w:spacing w:after="0" w:line="500" w:lineRule="exact"/>
      <w:ind w:left="0" w:leftChars="0" w:firstLine="482"/>
      <w:textAlignment w:val="auto"/>
    </w:pPr>
    <w:rPr>
      <w:rFonts w:ascii="宋体" w:hAnsi="宋体"/>
      <w:color w:val="000000"/>
      <w:kern w:val="2"/>
    </w:rPr>
  </w:style>
  <w:style w:type="character" w:customStyle="1" w:styleId="1252">
    <w:name w:val="正本文字 Char"/>
    <w:link w:val="1253"/>
    <w:qFormat/>
    <w:uiPriority w:val="0"/>
    <w:rPr>
      <w:rFonts w:cs="宋体"/>
      <w:kern w:val="18"/>
      <w:sz w:val="24"/>
    </w:rPr>
  </w:style>
  <w:style w:type="paragraph" w:customStyle="1" w:styleId="1253">
    <w:name w:val="正本文字"/>
    <w:basedOn w:val="1"/>
    <w:link w:val="1252"/>
    <w:qFormat/>
    <w:uiPriority w:val="0"/>
    <w:pPr>
      <w:widowControl w:val="0"/>
      <w:ind w:firstLine="480"/>
    </w:pPr>
    <w:rPr>
      <w:rFonts w:cs="宋体"/>
      <w:kern w:val="18"/>
      <w:szCs w:val="20"/>
    </w:rPr>
  </w:style>
  <w:style w:type="character" w:customStyle="1" w:styleId="1254">
    <w:name w:val="正文文本缩进 3 Char Char"/>
    <w:qFormat/>
    <w:uiPriority w:val="0"/>
    <w:rPr>
      <w:rFonts w:ascii="宋体" w:hAnsi="宋体" w:eastAsia="宋体"/>
      <w:b/>
      <w:bCs/>
      <w:kern w:val="2"/>
      <w:sz w:val="24"/>
      <w:lang w:val="en-US" w:eastAsia="zh-CN" w:bidi="ar-SA"/>
    </w:rPr>
  </w:style>
  <w:style w:type="character" w:customStyle="1" w:styleId="1255">
    <w:name w:val="【正文】 Char"/>
    <w:link w:val="1256"/>
    <w:qFormat/>
    <w:uiPriority w:val="0"/>
    <w:rPr>
      <w:sz w:val="24"/>
    </w:rPr>
  </w:style>
  <w:style w:type="paragraph" w:customStyle="1" w:styleId="1256">
    <w:name w:val="【正文】"/>
    <w:basedOn w:val="1"/>
    <w:link w:val="1255"/>
    <w:qFormat/>
    <w:uiPriority w:val="0"/>
    <w:pPr>
      <w:widowControl w:val="0"/>
      <w:ind w:firstLine="200"/>
    </w:pPr>
    <w:rPr>
      <w:kern w:val="0"/>
      <w:szCs w:val="20"/>
    </w:rPr>
  </w:style>
  <w:style w:type="character" w:customStyle="1" w:styleId="1257">
    <w:name w:val="小标题 Char"/>
    <w:link w:val="1258"/>
    <w:qFormat/>
    <w:uiPriority w:val="0"/>
    <w:rPr>
      <w:rFonts w:ascii="宋体" w:hAnsi="宋体" w:eastAsia="黑体" w:cs="宋体"/>
      <w:b/>
      <w:kern w:val="21"/>
      <w:sz w:val="24"/>
      <w:szCs w:val="24"/>
    </w:rPr>
  </w:style>
  <w:style w:type="paragraph" w:customStyle="1" w:styleId="1258">
    <w:name w:val="小标题"/>
    <w:basedOn w:val="1"/>
    <w:link w:val="1257"/>
    <w:qFormat/>
    <w:uiPriority w:val="0"/>
    <w:pPr>
      <w:widowControl w:val="0"/>
      <w:ind w:firstLine="480"/>
    </w:pPr>
    <w:rPr>
      <w:rFonts w:ascii="宋体" w:hAnsi="宋体" w:eastAsia="黑体" w:cs="宋体"/>
      <w:b/>
      <w:kern w:val="21"/>
      <w:szCs w:val="24"/>
    </w:rPr>
  </w:style>
  <w:style w:type="character" w:customStyle="1" w:styleId="1259">
    <w:name w:val="表格1 Char"/>
    <w:link w:val="1260"/>
    <w:qFormat/>
    <w:uiPriority w:val="0"/>
    <w:rPr>
      <w:kern w:val="2"/>
      <w:sz w:val="21"/>
    </w:rPr>
  </w:style>
  <w:style w:type="paragraph" w:customStyle="1" w:styleId="1260">
    <w:name w:val="表格1"/>
    <w:basedOn w:val="19"/>
    <w:next w:val="19"/>
    <w:link w:val="1259"/>
    <w:qFormat/>
    <w:uiPriority w:val="0"/>
    <w:pPr>
      <w:widowControl w:val="0"/>
      <w:spacing w:line="340" w:lineRule="exact"/>
      <w:ind w:firstLine="0" w:firstLineChars="0"/>
      <w:jc w:val="center"/>
    </w:pPr>
    <w:rPr>
      <w:szCs w:val="20"/>
    </w:rPr>
  </w:style>
  <w:style w:type="character" w:customStyle="1" w:styleId="1261">
    <w:name w:val="表号 Char"/>
    <w:qFormat/>
    <w:uiPriority w:val="0"/>
    <w:rPr>
      <w:sz w:val="21"/>
      <w:szCs w:val="24"/>
      <w:lang w:val="en-US" w:eastAsia="zh-CN" w:bidi="ar-SA"/>
    </w:rPr>
  </w:style>
  <w:style w:type="character" w:customStyle="1" w:styleId="1262">
    <w:name w:val="正文样式 Char"/>
    <w:link w:val="1263"/>
    <w:qFormat/>
    <w:uiPriority w:val="0"/>
    <w:rPr>
      <w:kern w:val="2"/>
      <w:sz w:val="24"/>
      <w:szCs w:val="24"/>
    </w:rPr>
  </w:style>
  <w:style w:type="paragraph" w:customStyle="1" w:styleId="1263">
    <w:name w:val="正文样式"/>
    <w:basedOn w:val="1"/>
    <w:link w:val="1262"/>
    <w:qFormat/>
    <w:uiPriority w:val="0"/>
    <w:pPr>
      <w:widowControl w:val="0"/>
      <w:spacing w:line="460" w:lineRule="exact"/>
      <w:ind w:firstLine="200"/>
    </w:pPr>
    <w:rPr>
      <w:szCs w:val="24"/>
    </w:rPr>
  </w:style>
  <w:style w:type="character" w:customStyle="1" w:styleId="1264">
    <w:name w:val="song12jian201"/>
    <w:qFormat/>
    <w:uiPriority w:val="0"/>
    <w:rPr>
      <w:sz w:val="28"/>
    </w:rPr>
  </w:style>
  <w:style w:type="paragraph" w:customStyle="1" w:styleId="1265">
    <w:name w:val="二级标题"/>
    <w:basedOn w:val="1"/>
    <w:qFormat/>
    <w:uiPriority w:val="0"/>
    <w:pPr>
      <w:widowControl w:val="0"/>
      <w:spacing w:before="60" w:line="460" w:lineRule="exact"/>
      <w:outlineLvl w:val="1"/>
    </w:pPr>
    <w:rPr>
      <w:b/>
      <w:sz w:val="28"/>
      <w:szCs w:val="24"/>
    </w:rPr>
  </w:style>
  <w:style w:type="paragraph" w:customStyle="1" w:styleId="1266">
    <w:name w:val="Char1 Char Char Char Char Char Char1"/>
    <w:basedOn w:val="1"/>
    <w:qFormat/>
    <w:uiPriority w:val="0"/>
    <w:pPr>
      <w:widowControl w:val="0"/>
      <w:tabs>
        <w:tab w:val="left" w:pos="420"/>
      </w:tabs>
      <w:ind w:left="420" w:hanging="420"/>
    </w:pPr>
    <w:rPr>
      <w:szCs w:val="24"/>
    </w:rPr>
  </w:style>
  <w:style w:type="paragraph" w:customStyle="1" w:styleId="1267">
    <w:name w:val="样式 四号 首行缩进:  2 字符"/>
    <w:basedOn w:val="1"/>
    <w:qFormat/>
    <w:uiPriority w:val="0"/>
    <w:pPr>
      <w:widowControl w:val="0"/>
      <w:spacing w:line="480" w:lineRule="atLeast"/>
      <w:ind w:firstLine="200"/>
    </w:pPr>
    <w:rPr>
      <w:szCs w:val="24"/>
    </w:rPr>
  </w:style>
  <w:style w:type="paragraph" w:customStyle="1" w:styleId="1268">
    <w:name w:val="表格名称"/>
    <w:basedOn w:val="1"/>
    <w:qFormat/>
    <w:uiPriority w:val="0"/>
    <w:pPr>
      <w:widowControl w:val="0"/>
      <w:ind w:firstLine="200"/>
    </w:pPr>
    <w:rPr>
      <w:rFonts w:eastAsia="黑体"/>
      <w:b/>
      <w:snapToGrid w:val="0"/>
      <w:kern w:val="18"/>
      <w:szCs w:val="24"/>
    </w:rPr>
  </w:style>
  <w:style w:type="paragraph" w:customStyle="1" w:styleId="1269">
    <w:name w:val="Char1 Char Char Char1"/>
    <w:basedOn w:val="1"/>
    <w:qFormat/>
    <w:uiPriority w:val="0"/>
    <w:pPr>
      <w:widowControl w:val="0"/>
      <w:ind w:firstLine="529"/>
    </w:pPr>
    <w:rPr>
      <w:rFonts w:ascii="宋体" w:hAnsi="宋体"/>
      <w:b/>
      <w:szCs w:val="24"/>
    </w:rPr>
  </w:style>
  <w:style w:type="paragraph" w:customStyle="1" w:styleId="1270">
    <w:name w:val="Char Char Char Char Char Char Char1"/>
    <w:basedOn w:val="1"/>
    <w:qFormat/>
    <w:uiPriority w:val="0"/>
    <w:pPr>
      <w:widowControl w:val="0"/>
    </w:pPr>
    <w:rPr>
      <w:szCs w:val="24"/>
    </w:rPr>
  </w:style>
  <w:style w:type="paragraph" w:customStyle="1" w:styleId="1271">
    <w:name w:val="正文曹"/>
    <w:basedOn w:val="32"/>
    <w:qFormat/>
    <w:uiPriority w:val="0"/>
    <w:pPr>
      <w:widowControl w:val="0"/>
      <w:adjustRightInd/>
      <w:spacing w:after="0" w:line="320" w:lineRule="exact"/>
      <w:ind w:left="0" w:leftChars="0"/>
      <w:jc w:val="center"/>
      <w:textAlignment w:val="auto"/>
    </w:pPr>
    <w:rPr>
      <w:rFonts w:ascii="宋体" w:hAnsi="宋体"/>
      <w:spacing w:val="-10"/>
      <w:kern w:val="2"/>
      <w:sz w:val="21"/>
      <w:szCs w:val="21"/>
    </w:rPr>
  </w:style>
  <w:style w:type="paragraph" w:customStyle="1" w:styleId="1272">
    <w:name w:val="样式 五号 居中"/>
    <w:basedOn w:val="1"/>
    <w:qFormat/>
    <w:uiPriority w:val="0"/>
    <w:pPr>
      <w:widowControl w:val="0"/>
      <w:spacing w:line="240" w:lineRule="atLeast"/>
      <w:jc w:val="center"/>
    </w:pPr>
    <w:rPr>
      <w:rFonts w:cs="宋体"/>
      <w:szCs w:val="20"/>
    </w:rPr>
  </w:style>
  <w:style w:type="paragraph" w:customStyle="1" w:styleId="1273">
    <w:name w:val="正文1 Char Char Char"/>
    <w:basedOn w:val="1"/>
    <w:qFormat/>
    <w:uiPriority w:val="0"/>
    <w:pPr>
      <w:widowControl w:val="0"/>
      <w:tabs>
        <w:tab w:val="left" w:pos="4660"/>
      </w:tabs>
      <w:spacing w:line="500" w:lineRule="exact"/>
      <w:ind w:firstLine="480"/>
    </w:pPr>
    <w:rPr>
      <w:snapToGrid w:val="0"/>
      <w:szCs w:val="24"/>
    </w:rPr>
  </w:style>
  <w:style w:type="paragraph" w:customStyle="1" w:styleId="1274">
    <w:name w:val="Char2 Char Char Char1"/>
    <w:basedOn w:val="1"/>
    <w:qFormat/>
    <w:uiPriority w:val="0"/>
    <w:pPr>
      <w:widowControl w:val="0"/>
      <w:autoSpaceDE w:val="0"/>
      <w:autoSpaceDN w:val="0"/>
      <w:spacing w:before="50" w:after="50"/>
      <w:ind w:firstLine="560"/>
    </w:pPr>
    <w:rPr>
      <w:rFonts w:ascii="Arial" w:hAnsi="Arial" w:eastAsia="仿宋_GB2312"/>
      <w:color w:val="000000"/>
      <w:szCs w:val="24"/>
    </w:rPr>
  </w:style>
  <w:style w:type="paragraph" w:customStyle="1" w:styleId="1275">
    <w:name w:val="Char Char Char Char3"/>
    <w:basedOn w:val="1"/>
    <w:qFormat/>
    <w:uiPriority w:val="0"/>
    <w:pPr>
      <w:widowControl w:val="0"/>
    </w:pPr>
    <w:rPr>
      <w:szCs w:val="20"/>
    </w:rPr>
  </w:style>
  <w:style w:type="table" w:customStyle="1" w:styleId="1276">
    <w:name w:val="表格样式12"/>
    <w:basedOn w:val="83"/>
    <w:qFormat/>
    <w:uiPriority w:val="0"/>
    <w:pPr>
      <w:adjustRightInd/>
      <w:spacing w:line="360" w:lineRule="exact"/>
      <w:ind w:firstLine="0"/>
      <w:jc w:val="both"/>
      <w:textAlignment w:val="auto"/>
    </w:p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
  </w:style>
  <w:style w:type="paragraph" w:customStyle="1" w:styleId="1277">
    <w:name w:val="正文文本2"/>
    <w:basedOn w:val="1"/>
    <w:qFormat/>
    <w:uiPriority w:val="0"/>
    <w:pPr>
      <w:ind w:firstLine="480"/>
    </w:pPr>
    <w:rPr>
      <w:rFonts w:ascii="宋体" w:hAnsi="宋体"/>
      <w:color w:val="000000"/>
      <w:szCs w:val="20"/>
    </w:rPr>
  </w:style>
  <w:style w:type="paragraph" w:customStyle="1" w:styleId="1278">
    <w:name w:val="正文 New New New New New New New New New New New New New New New New New New New New New New New New New New New New New"/>
    <w:basedOn w:val="1"/>
    <w:qFormat/>
    <w:uiPriority w:val="0"/>
    <w:pPr>
      <w:widowControl w:val="0"/>
    </w:pPr>
    <w:rPr>
      <w:szCs w:val="21"/>
    </w:rPr>
  </w:style>
  <w:style w:type="character" w:customStyle="1" w:styleId="1279">
    <w:name w:val="4正文 Char Char"/>
    <w:link w:val="1280"/>
    <w:qFormat/>
    <w:uiPriority w:val="0"/>
    <w:rPr>
      <w:rFonts w:cs="宋体"/>
    </w:rPr>
  </w:style>
  <w:style w:type="paragraph" w:customStyle="1" w:styleId="1280">
    <w:name w:val="4正文"/>
    <w:basedOn w:val="1"/>
    <w:link w:val="1279"/>
    <w:qFormat/>
    <w:uiPriority w:val="0"/>
    <w:pPr>
      <w:widowControl w:val="0"/>
      <w:ind w:firstLine="480"/>
    </w:pPr>
    <w:rPr>
      <w:rFonts w:cs="宋体"/>
      <w:kern w:val="0"/>
      <w:sz w:val="20"/>
      <w:szCs w:val="20"/>
    </w:rPr>
  </w:style>
  <w:style w:type="paragraph" w:customStyle="1" w:styleId="1281">
    <w:name w:val="无悬挂正文5号"/>
    <w:basedOn w:val="1"/>
    <w:qFormat/>
    <w:uiPriority w:val="0"/>
    <w:pPr>
      <w:jc w:val="center"/>
    </w:pPr>
    <w:rPr>
      <w:kern w:val="0"/>
      <w:sz w:val="20"/>
    </w:rPr>
  </w:style>
  <w:style w:type="paragraph" w:customStyle="1" w:styleId="1282">
    <w:name w:val="六表内容"/>
    <w:basedOn w:val="1"/>
    <w:qFormat/>
    <w:uiPriority w:val="0"/>
    <w:pPr>
      <w:widowControl w:val="0"/>
      <w:spacing w:line="340" w:lineRule="exact"/>
      <w:jc w:val="center"/>
    </w:pPr>
    <w:rPr>
      <w:rFonts w:ascii="宋体" w:hAnsi="宋体"/>
      <w:color w:val="000000"/>
      <w:spacing w:val="-20"/>
      <w:kern w:val="0"/>
      <w:szCs w:val="21"/>
    </w:rPr>
  </w:style>
  <w:style w:type="paragraph" w:customStyle="1" w:styleId="1283">
    <w:name w:val="样式 样式 样式 首行缩进:  1 厘米 行距: 固定值 25 磅 + Times New Roman 首行缩进:  0.85 ...1"/>
    <w:basedOn w:val="1"/>
    <w:qFormat/>
    <w:uiPriority w:val="0"/>
    <w:pPr>
      <w:widowControl w:val="0"/>
      <w:ind w:firstLine="200"/>
    </w:pPr>
    <w:rPr>
      <w:snapToGrid w:val="0"/>
      <w:kern w:val="24"/>
      <w:szCs w:val="24"/>
      <w:lang w:val="zh-CN"/>
    </w:rPr>
  </w:style>
  <w:style w:type="paragraph" w:customStyle="1" w:styleId="1284">
    <w:name w:val="Char Char Char Char Char Char Char Char Char Char Char Char Char Char Char Char Char Char Char Char Char Char Char Char Char Char Char Char Char Char Char Char Char"/>
    <w:basedOn w:val="1"/>
    <w:qFormat/>
    <w:uiPriority w:val="0"/>
    <w:pPr>
      <w:spacing w:after="160" w:line="240" w:lineRule="exact"/>
    </w:pPr>
    <w:rPr>
      <w:rFonts w:ascii="Verdana" w:hAnsi="Verdana" w:eastAsia="仿宋_GB2312" w:cs="Verdana"/>
      <w:kern w:val="0"/>
      <w:szCs w:val="24"/>
      <w:lang w:eastAsia="en-US"/>
    </w:rPr>
  </w:style>
  <w:style w:type="paragraph" w:customStyle="1" w:styleId="1285">
    <w:name w:val="图题"/>
    <w:basedOn w:val="1"/>
    <w:link w:val="1286"/>
    <w:qFormat/>
    <w:uiPriority w:val="0"/>
    <w:pPr>
      <w:widowControl w:val="0"/>
      <w:spacing w:before="78" w:beforeLines="25"/>
      <w:jc w:val="center"/>
    </w:pPr>
    <w:rPr>
      <w:b/>
      <w:color w:val="000000"/>
      <w:kern w:val="32"/>
      <w:szCs w:val="20"/>
      <w:lang w:val="zh-CN"/>
    </w:rPr>
  </w:style>
  <w:style w:type="character" w:customStyle="1" w:styleId="1286">
    <w:name w:val="图题 Char"/>
    <w:link w:val="1285"/>
    <w:qFormat/>
    <w:uiPriority w:val="0"/>
    <w:rPr>
      <w:b/>
      <w:color w:val="000000"/>
      <w:kern w:val="32"/>
      <w:sz w:val="24"/>
      <w:lang w:val="zh-CN"/>
    </w:rPr>
  </w:style>
  <w:style w:type="paragraph" w:customStyle="1" w:styleId="1287">
    <w:name w:val="样式 小四 行距: 1.5 倍行距"/>
    <w:basedOn w:val="1"/>
    <w:qFormat/>
    <w:uiPriority w:val="99"/>
    <w:pPr>
      <w:widowControl w:val="0"/>
      <w:ind w:firstLine="200"/>
    </w:pPr>
    <w:rPr>
      <w:rFonts w:ascii="宋体" w:cs="宋体"/>
      <w:szCs w:val="24"/>
    </w:rPr>
  </w:style>
  <w:style w:type="character" w:styleId="1288">
    <w:name w:val="Placeholder Text"/>
    <w:basedOn w:val="93"/>
    <w:unhideWhenUsed/>
    <w:qFormat/>
    <w:uiPriority w:val="99"/>
    <w:rPr>
      <w:color w:val="808080"/>
    </w:rPr>
  </w:style>
  <w:style w:type="paragraph" w:customStyle="1" w:styleId="1289">
    <w:name w:val="样式 正文首行缩进 + 首行缩进:  2 字符1"/>
    <w:basedOn w:val="80"/>
    <w:next w:val="56"/>
    <w:qFormat/>
    <w:uiPriority w:val="0"/>
    <w:pPr>
      <w:widowControl w:val="0"/>
      <w:ind w:firstLine="480"/>
    </w:pPr>
    <w:rPr>
      <w:szCs w:val="24"/>
    </w:rPr>
  </w:style>
  <w:style w:type="paragraph" w:customStyle="1" w:styleId="1290">
    <w:name w:val="样式29"/>
    <w:basedOn w:val="1"/>
    <w:qFormat/>
    <w:uiPriority w:val="0"/>
    <w:pPr>
      <w:ind w:firstLine="463"/>
    </w:pPr>
  </w:style>
  <w:style w:type="paragraph" w:customStyle="1" w:styleId="1291">
    <w:name w:val="样式26"/>
    <w:basedOn w:val="1"/>
    <w:qFormat/>
    <w:uiPriority w:val="0"/>
    <w:pPr>
      <w:ind w:firstLine="464"/>
      <w:outlineLvl w:val="2"/>
    </w:pPr>
    <w:rPr>
      <w:b/>
    </w:rPr>
  </w:style>
  <w:style w:type="paragraph" w:customStyle="1" w:styleId="1292">
    <w:name w:val="Other|1"/>
    <w:basedOn w:val="1"/>
    <w:qFormat/>
    <w:uiPriority w:val="0"/>
    <w:rPr>
      <w:rFonts w:ascii="宋体" w:hAnsi="宋体" w:cs="宋体"/>
      <w:sz w:val="20"/>
      <w:szCs w:val="20"/>
      <w:lang w:val="zh-CN" w:bidi="zh-CN"/>
    </w:rPr>
  </w:style>
  <w:style w:type="paragraph" w:customStyle="1" w:styleId="1293">
    <w:name w:val="Other|2"/>
    <w:basedOn w:val="1"/>
    <w:qFormat/>
    <w:uiPriority w:val="0"/>
    <w:pPr>
      <w:jc w:val="center"/>
    </w:pPr>
    <w:rPr>
      <w:rFonts w:ascii="宋体" w:hAnsi="宋体" w:cs="宋体"/>
      <w:sz w:val="20"/>
      <w:szCs w:val="20"/>
      <w:lang w:val="zh-CN" w:bidi="zh-CN"/>
    </w:rPr>
  </w:style>
  <w:style w:type="paragraph" w:customStyle="1" w:styleId="1294">
    <w:name w:val="Body text|1"/>
    <w:basedOn w:val="1"/>
    <w:qFormat/>
    <w:uiPriority w:val="0"/>
    <w:rPr>
      <w:rFonts w:ascii="宋体" w:hAnsi="宋体" w:cs="宋体"/>
      <w:sz w:val="20"/>
      <w:szCs w:val="20"/>
      <w:lang w:val="zh-CN" w:bidi="zh-CN"/>
    </w:rPr>
  </w:style>
  <w:style w:type="paragraph" w:customStyle="1" w:styleId="1295">
    <w:name w:val="内容"/>
    <w:basedOn w:val="1"/>
    <w:qFormat/>
    <w:uiPriority w:val="0"/>
    <w:pPr>
      <w:ind w:firstLine="200"/>
      <w:jc w:val="left"/>
    </w:pPr>
    <w:rPr>
      <w:kern w:val="0"/>
      <w:sz w:val="28"/>
      <w:szCs w:val="28"/>
      <w:lang w:eastAsia="en-US" w:bidi="en-US"/>
    </w:rPr>
  </w:style>
  <w:style w:type="paragraph" w:customStyle="1" w:styleId="1296">
    <w:name w:val="表格题目"/>
    <w:basedOn w:val="1"/>
    <w:qFormat/>
    <w:uiPriority w:val="0"/>
    <w:pPr>
      <w:ind w:firstLine="0" w:firstLineChars="0"/>
      <w:jc w:val="center"/>
    </w:pPr>
    <w:rPr>
      <w:b/>
    </w:rPr>
  </w:style>
  <w:style w:type="table" w:customStyle="1" w:styleId="1297">
    <w:name w:val="Table Normal"/>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1298">
    <w:name w:val="font01"/>
    <w:basedOn w:val="93"/>
    <w:qFormat/>
    <w:uiPriority w:val="0"/>
    <w:rPr>
      <w:rFonts w:hint="eastAsia" w:ascii="宋体" w:hAnsi="宋体" w:eastAsia="宋体" w:cs="宋体"/>
      <w:color w:val="000000"/>
      <w:sz w:val="21"/>
      <w:szCs w:val="21"/>
      <w:u w:val="none"/>
    </w:rPr>
  </w:style>
  <w:style w:type="paragraph" w:customStyle="1" w:styleId="1299">
    <w:name w:val="样式 标题 3头条标题1.1.1标题 3 Char标题 33标题 3 Char1标题 3 Char Char Ch..."/>
    <w:basedOn w:val="5"/>
    <w:qFormat/>
    <w:uiPriority w:val="0"/>
    <w:pPr>
      <w:spacing w:before="0" w:after="0" w:line="240" w:lineRule="auto"/>
      <w:ind w:firstLine="459"/>
    </w:pPr>
    <w:rPr>
      <w:rFonts w:ascii="仿宋_GB2312" w:eastAsia="仿宋_GB2312"/>
      <w:szCs w:val="24"/>
    </w:rPr>
  </w:style>
  <w:style w:type="paragraph" w:customStyle="1" w:styleId="1300">
    <w:name w:val="表标"/>
    <w:basedOn w:val="1"/>
    <w:next w:val="1"/>
    <w:qFormat/>
    <w:uiPriority w:val="0"/>
    <w:pPr>
      <w:jc w:val="center"/>
    </w:pPr>
    <w:rPr>
      <w:b/>
    </w:rPr>
  </w:style>
  <w:style w:type="character" w:customStyle="1" w:styleId="1301">
    <w:name w:val="font81"/>
    <w:basedOn w:val="93"/>
    <w:qFormat/>
    <w:uiPriority w:val="0"/>
    <w:rPr>
      <w:rFonts w:hint="eastAsia" w:ascii="宋体" w:hAnsi="宋体" w:eastAsia="宋体" w:cs="宋体"/>
      <w:color w:val="000000"/>
      <w:sz w:val="21"/>
      <w:szCs w:val="21"/>
      <w:u w:val="none"/>
    </w:rPr>
  </w:style>
  <w:style w:type="paragraph" w:customStyle="1" w:styleId="1302">
    <w:name w:val="表格内正文"/>
    <w:qFormat/>
    <w:uiPriority w:val="0"/>
    <w:pPr>
      <w:adjustRightInd w:val="0"/>
      <w:spacing w:before="20" w:beforeLines="20" w:line="360" w:lineRule="auto"/>
      <w:ind w:firstLine="720" w:firstLineChars="200"/>
      <w:jc w:val="both"/>
    </w:pPr>
    <w:rPr>
      <w:rFonts w:ascii="Times New Roman" w:hAnsi="Times New Roman" w:eastAsia="宋体" w:cs="宋体"/>
      <w:color w:val="000000"/>
      <w:sz w:val="21"/>
      <w:szCs w:val="21"/>
      <w:lang w:val="en-US" w:eastAsia="zh-CN" w:bidi="ar-SA"/>
    </w:rPr>
  </w:style>
  <w:style w:type="paragraph" w:customStyle="1" w:styleId="1303">
    <w:name w:val="图注"/>
    <w:basedOn w:val="1"/>
    <w:next w:val="1302"/>
    <w:qFormat/>
    <w:uiPriority w:val="0"/>
    <w:pPr>
      <w:spacing w:after="50" w:afterLines="50" w:line="240" w:lineRule="auto"/>
      <w:ind w:firstLine="0" w:firstLineChars="0"/>
      <w:jc w:val="center"/>
    </w:pPr>
    <w:rPr>
      <w:rFonts w:cs="宋体"/>
      <w:b/>
      <w:color w:val="000000"/>
      <w:szCs w:val="21"/>
    </w:rPr>
  </w:style>
  <w:style w:type="paragraph" w:customStyle="1" w:styleId="1304">
    <w:name w:val="Heading2"/>
    <w:basedOn w:val="1"/>
    <w:next w:val="1"/>
    <w:qFormat/>
    <w:uiPriority w:val="0"/>
    <w:pPr>
      <w:keepNext/>
      <w:textAlignment w:val="baseline"/>
    </w:pPr>
    <w:rPr>
      <w:sz w:val="28"/>
      <w:szCs w:val="24"/>
    </w:rPr>
  </w:style>
  <w:style w:type="paragraph" w:customStyle="1" w:styleId="1305">
    <w:name w:val="表格格"/>
    <w:basedOn w:val="1"/>
    <w:qFormat/>
    <w:uiPriority w:val="0"/>
    <w:pPr>
      <w:spacing w:line="240" w:lineRule="auto"/>
      <w:ind w:firstLine="0" w:firstLineChars="0"/>
      <w:jc w:val="center"/>
    </w:pPr>
    <w:rPr>
      <w:szCs w:val="21"/>
    </w:rPr>
  </w:style>
  <w:style w:type="paragraph" w:customStyle="1" w:styleId="1306">
    <w:name w:val="Table Text"/>
    <w:basedOn w:val="1"/>
    <w:semiHidden/>
    <w:qFormat/>
    <w:uiPriority w:val="0"/>
    <w:rPr>
      <w:rFonts w:ascii="宋体" w:hAnsi="宋体" w:cs="宋体"/>
      <w:sz w:val="20"/>
      <w:szCs w:val="20"/>
      <w:lang w:eastAsia="en-US"/>
    </w:rPr>
  </w:style>
  <w:style w:type="paragraph" w:customStyle="1" w:styleId="1307">
    <w:name w:val="环评正文"/>
    <w:basedOn w:val="1"/>
    <w:qFormat/>
    <w:uiPriority w:val="0"/>
    <w:pPr>
      <w:widowControl w:val="0"/>
      <w:adjustRightInd/>
      <w:snapToGrid/>
    </w:pPr>
    <w:rPr>
      <w:sz w:val="21"/>
      <w:szCs w:val="24"/>
    </w:rPr>
  </w:style>
  <w:style w:type="paragraph" w:customStyle="1" w:styleId="1308">
    <w:name w:val="Default1"/>
    <w:qFormat/>
    <w:uiPriority w:val="99"/>
    <w:pPr>
      <w:widowControl w:val="0"/>
      <w:autoSpaceDE w:val="0"/>
      <w:autoSpaceDN w:val="0"/>
      <w:adjustRightInd w:val="0"/>
    </w:pPr>
    <w:rPr>
      <w:rFonts w:ascii="宋体" w:hAnsi="Times New Roman" w:eastAsia="微软雅黑" w:cs="宋体"/>
      <w:color w:val="000000"/>
      <w:sz w:val="24"/>
      <w:szCs w:val="24"/>
      <w:lang w:val="en-US" w:eastAsia="zh-CN" w:bidi="ar-SA"/>
    </w:rPr>
  </w:style>
  <w:style w:type="paragraph" w:customStyle="1" w:styleId="1309">
    <w:name w:val="环评报告正文"/>
    <w:basedOn w:val="1"/>
    <w:qFormat/>
    <w:uiPriority w:val="0"/>
    <w:pPr>
      <w:widowControl w:val="0"/>
    </w:pPr>
    <w:rPr>
      <w:sz w:val="21"/>
      <w:szCs w:val="24"/>
    </w:rPr>
  </w:style>
  <w:style w:type="character" w:customStyle="1" w:styleId="1310">
    <w:name w:val="普通(网站) 字符"/>
    <w:basedOn w:val="93"/>
    <w:link w:val="76"/>
    <w:qFormat/>
    <w:uiPriority w:val="0"/>
    <w:rPr>
      <w:rFonts w:hint="eastAsia" w:ascii="宋体" w:hAnsi="宋体" w:eastAsia="宋体" w:cs="宋体"/>
      <w:sz w:val="24"/>
    </w:rPr>
  </w:style>
  <w:style w:type="paragraph" w:customStyle="1" w:styleId="1311">
    <w:name w:val="环评表格"/>
    <w:basedOn w:val="1"/>
    <w:qFormat/>
    <w:uiPriority w:val="0"/>
    <w:pPr>
      <w:spacing w:line="320" w:lineRule="exact"/>
      <w:jc w:val="center"/>
    </w:pPr>
    <w:rPr>
      <w:sz w:val="18"/>
    </w:rPr>
  </w:style>
  <w:style w:type="paragraph" w:customStyle="1" w:styleId="1312">
    <w:name w:val="表内文本正文"/>
    <w:basedOn w:val="1"/>
    <w:qFormat/>
    <w:uiPriority w:val="0"/>
    <w:pPr>
      <w:spacing w:line="360" w:lineRule="auto"/>
      <w:ind w:firstLine="420" w:firstLineChars="200"/>
    </w:pPr>
    <w:rPr>
      <w:sz w:val="24"/>
    </w:rPr>
  </w:style>
  <w:style w:type="character" w:customStyle="1" w:styleId="1313">
    <w:name w:val="font122"/>
    <w:basedOn w:val="93"/>
    <w:qFormat/>
    <w:uiPriority w:val="0"/>
    <w:rPr>
      <w:rFonts w:ascii="宋体" w:hAnsi="宋体" w:eastAsia="宋体" w:cs="宋体"/>
      <w:b/>
      <w:bCs/>
      <w:color w:val="000000"/>
      <w:sz w:val="64"/>
      <w:szCs w:val="64"/>
      <w:u w:val="none"/>
    </w:rPr>
  </w:style>
  <w:style w:type="character" w:customStyle="1" w:styleId="1314">
    <w:name w:val="font131"/>
    <w:basedOn w:val="93"/>
    <w:qFormat/>
    <w:uiPriority w:val="0"/>
    <w:rPr>
      <w:rFonts w:ascii="宋体" w:hAnsi="宋体" w:eastAsia="宋体" w:cs="宋体"/>
      <w:color w:val="000000"/>
      <w:sz w:val="64"/>
      <w:szCs w:val="64"/>
      <w:u w:val="none"/>
    </w:rPr>
  </w:style>
  <w:style w:type="character" w:customStyle="1" w:styleId="1315">
    <w:name w:val="font141"/>
    <w:basedOn w:val="93"/>
    <w:qFormat/>
    <w:uiPriority w:val="0"/>
    <w:rPr>
      <w:rFonts w:ascii="Arial" w:hAnsi="Arial" w:cs="Arial"/>
      <w:color w:val="000000"/>
      <w:sz w:val="19"/>
      <w:szCs w:val="19"/>
      <w:u w:val="none"/>
    </w:rPr>
  </w:style>
  <w:style w:type="character" w:customStyle="1" w:styleId="1316">
    <w:name w:val="font121"/>
    <w:basedOn w:val="93"/>
    <w:qFormat/>
    <w:uiPriority w:val="0"/>
    <w:rPr>
      <w:rFonts w:ascii="宋体" w:hAnsi="宋体" w:eastAsia="宋体" w:cs="宋体"/>
      <w:b/>
      <w:bCs/>
      <w:color w:val="000000"/>
      <w:sz w:val="64"/>
      <w:szCs w:val="64"/>
      <w:u w:val="none"/>
    </w:rPr>
  </w:style>
  <w:style w:type="character" w:customStyle="1" w:styleId="1317">
    <w:name w:val="font111"/>
    <w:basedOn w:val="93"/>
    <w:qFormat/>
    <w:uiPriority w:val="0"/>
    <w:rPr>
      <w:rFonts w:ascii="宋体" w:hAnsi="宋体" w:eastAsia="宋体" w:cs="宋体"/>
      <w:color w:val="000000"/>
      <w:sz w:val="64"/>
      <w:szCs w:val="64"/>
      <w:u w:val="none"/>
    </w:rPr>
  </w:style>
  <w:style w:type="character" w:customStyle="1" w:styleId="1318">
    <w:name w:val="font71"/>
    <w:basedOn w:val="93"/>
    <w:qFormat/>
    <w:uiPriority w:val="0"/>
    <w:rPr>
      <w:rFonts w:ascii="宋体" w:hAnsi="宋体" w:eastAsia="宋体" w:cs="宋体"/>
      <w:color w:val="E02020"/>
      <w:sz w:val="64"/>
      <w:szCs w:val="64"/>
      <w:u w:val="none"/>
    </w:rPr>
  </w:style>
  <w:style w:type="character" w:customStyle="1" w:styleId="1319">
    <w:name w:val="font41"/>
    <w:basedOn w:val="93"/>
    <w:qFormat/>
    <w:uiPriority w:val="0"/>
    <w:rPr>
      <w:rFonts w:ascii="宋体" w:hAnsi="宋体" w:eastAsia="宋体" w:cs="宋体"/>
      <w:color w:val="E02030"/>
      <w:sz w:val="64"/>
      <w:szCs w:val="64"/>
      <w:u w:val="none"/>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40.wmf"/><Relationship Id="rId91" Type="http://schemas.openxmlformats.org/officeDocument/2006/relationships/oleObject" Target="embeddings/oleObject37.bin"/><Relationship Id="rId90" Type="http://schemas.openxmlformats.org/officeDocument/2006/relationships/image" Target="media/image39.wmf"/><Relationship Id="rId9" Type="http://schemas.openxmlformats.org/officeDocument/2006/relationships/footer" Target="footer2.xml"/><Relationship Id="rId89" Type="http://schemas.openxmlformats.org/officeDocument/2006/relationships/oleObject" Target="embeddings/oleObject36.bin"/><Relationship Id="rId88" Type="http://schemas.openxmlformats.org/officeDocument/2006/relationships/image" Target="media/image38.wmf"/><Relationship Id="rId87" Type="http://schemas.openxmlformats.org/officeDocument/2006/relationships/oleObject" Target="embeddings/oleObject35.bin"/><Relationship Id="rId86" Type="http://schemas.openxmlformats.org/officeDocument/2006/relationships/image" Target="media/image37.wmf"/><Relationship Id="rId85" Type="http://schemas.openxmlformats.org/officeDocument/2006/relationships/oleObject" Target="embeddings/oleObject34.bin"/><Relationship Id="rId84" Type="http://schemas.openxmlformats.org/officeDocument/2006/relationships/image" Target="media/image36.wmf"/><Relationship Id="rId83" Type="http://schemas.openxmlformats.org/officeDocument/2006/relationships/oleObject" Target="embeddings/oleObject33.bin"/><Relationship Id="rId82" Type="http://schemas.openxmlformats.org/officeDocument/2006/relationships/oleObject" Target="embeddings/oleObject32.bin"/><Relationship Id="rId81" Type="http://schemas.openxmlformats.org/officeDocument/2006/relationships/image" Target="media/image35.wmf"/><Relationship Id="rId80" Type="http://schemas.openxmlformats.org/officeDocument/2006/relationships/oleObject" Target="embeddings/oleObject31.bin"/><Relationship Id="rId8" Type="http://schemas.openxmlformats.org/officeDocument/2006/relationships/footer" Target="footer1.xml"/><Relationship Id="rId79" Type="http://schemas.openxmlformats.org/officeDocument/2006/relationships/image" Target="media/image34.wmf"/><Relationship Id="rId78" Type="http://schemas.openxmlformats.org/officeDocument/2006/relationships/oleObject" Target="embeddings/oleObject30.bin"/><Relationship Id="rId77" Type="http://schemas.openxmlformats.org/officeDocument/2006/relationships/image" Target="media/image33.wmf"/><Relationship Id="rId76" Type="http://schemas.openxmlformats.org/officeDocument/2006/relationships/oleObject" Target="embeddings/oleObject29.bin"/><Relationship Id="rId75" Type="http://schemas.openxmlformats.org/officeDocument/2006/relationships/image" Target="media/image32.wmf"/><Relationship Id="rId74" Type="http://schemas.openxmlformats.org/officeDocument/2006/relationships/oleObject" Target="embeddings/oleObject28.bin"/><Relationship Id="rId73" Type="http://schemas.openxmlformats.org/officeDocument/2006/relationships/image" Target="media/image31.wmf"/><Relationship Id="rId72" Type="http://schemas.openxmlformats.org/officeDocument/2006/relationships/oleObject" Target="embeddings/oleObject27.bin"/><Relationship Id="rId71" Type="http://schemas.openxmlformats.org/officeDocument/2006/relationships/image" Target="media/image30.wmf"/><Relationship Id="rId70" Type="http://schemas.openxmlformats.org/officeDocument/2006/relationships/oleObject" Target="embeddings/oleObject26.bin"/><Relationship Id="rId7" Type="http://schemas.openxmlformats.org/officeDocument/2006/relationships/header" Target="header3.xml"/><Relationship Id="rId69" Type="http://schemas.openxmlformats.org/officeDocument/2006/relationships/image" Target="media/image29.wmf"/><Relationship Id="rId68" Type="http://schemas.openxmlformats.org/officeDocument/2006/relationships/oleObject" Target="embeddings/oleObject25.bin"/><Relationship Id="rId67" Type="http://schemas.openxmlformats.org/officeDocument/2006/relationships/image" Target="media/image28.wmf"/><Relationship Id="rId66" Type="http://schemas.openxmlformats.org/officeDocument/2006/relationships/oleObject" Target="embeddings/oleObject24.bin"/><Relationship Id="rId65" Type="http://schemas.openxmlformats.org/officeDocument/2006/relationships/image" Target="media/image27.wmf"/><Relationship Id="rId64" Type="http://schemas.openxmlformats.org/officeDocument/2006/relationships/oleObject" Target="embeddings/oleObject23.bin"/><Relationship Id="rId63" Type="http://schemas.openxmlformats.org/officeDocument/2006/relationships/image" Target="media/image26.wmf"/><Relationship Id="rId62" Type="http://schemas.openxmlformats.org/officeDocument/2006/relationships/oleObject" Target="embeddings/oleObject22.bin"/><Relationship Id="rId61" Type="http://schemas.openxmlformats.org/officeDocument/2006/relationships/image" Target="media/image25.wmf"/><Relationship Id="rId60" Type="http://schemas.openxmlformats.org/officeDocument/2006/relationships/oleObject" Target="embeddings/oleObject21.bin"/><Relationship Id="rId6" Type="http://schemas.openxmlformats.org/officeDocument/2006/relationships/header" Target="header2.xml"/><Relationship Id="rId59" Type="http://schemas.openxmlformats.org/officeDocument/2006/relationships/image" Target="media/image24.wmf"/><Relationship Id="rId58" Type="http://schemas.openxmlformats.org/officeDocument/2006/relationships/oleObject" Target="embeddings/oleObject20.bin"/><Relationship Id="rId57" Type="http://schemas.openxmlformats.org/officeDocument/2006/relationships/image" Target="media/image23.wmf"/><Relationship Id="rId56" Type="http://schemas.openxmlformats.org/officeDocument/2006/relationships/oleObject" Target="embeddings/oleObject19.bin"/><Relationship Id="rId55" Type="http://schemas.openxmlformats.org/officeDocument/2006/relationships/image" Target="media/image22.wmf"/><Relationship Id="rId54" Type="http://schemas.openxmlformats.org/officeDocument/2006/relationships/oleObject" Target="embeddings/oleObject18.bin"/><Relationship Id="rId53" Type="http://schemas.openxmlformats.org/officeDocument/2006/relationships/image" Target="media/image21.wmf"/><Relationship Id="rId52" Type="http://schemas.openxmlformats.org/officeDocument/2006/relationships/oleObject" Target="embeddings/oleObject17.bin"/><Relationship Id="rId51" Type="http://schemas.openxmlformats.org/officeDocument/2006/relationships/oleObject" Target="embeddings/oleObject16.bin"/><Relationship Id="rId50" Type="http://schemas.openxmlformats.org/officeDocument/2006/relationships/image" Target="media/image20.wmf"/><Relationship Id="rId5" Type="http://schemas.openxmlformats.org/officeDocument/2006/relationships/header" Target="header1.xml"/><Relationship Id="rId49" Type="http://schemas.openxmlformats.org/officeDocument/2006/relationships/oleObject" Target="embeddings/oleObject15.bin"/><Relationship Id="rId48" Type="http://schemas.openxmlformats.org/officeDocument/2006/relationships/image" Target="media/image19.wmf"/><Relationship Id="rId47" Type="http://schemas.openxmlformats.org/officeDocument/2006/relationships/oleObject" Target="embeddings/oleObject14.bin"/><Relationship Id="rId46" Type="http://schemas.openxmlformats.org/officeDocument/2006/relationships/oleObject" Target="embeddings/oleObject13.bin"/><Relationship Id="rId45" Type="http://schemas.openxmlformats.org/officeDocument/2006/relationships/image" Target="media/image18.wmf"/><Relationship Id="rId44" Type="http://schemas.openxmlformats.org/officeDocument/2006/relationships/oleObject" Target="embeddings/oleObject12.bin"/><Relationship Id="rId43" Type="http://schemas.openxmlformats.org/officeDocument/2006/relationships/image" Target="media/image17.wmf"/><Relationship Id="rId42" Type="http://schemas.openxmlformats.org/officeDocument/2006/relationships/oleObject" Target="embeddings/oleObject11.bin"/><Relationship Id="rId41" Type="http://schemas.openxmlformats.org/officeDocument/2006/relationships/image" Target="media/image16.wmf"/><Relationship Id="rId40" Type="http://schemas.openxmlformats.org/officeDocument/2006/relationships/oleObject" Target="embeddings/oleObject10.bin"/><Relationship Id="rId4" Type="http://schemas.openxmlformats.org/officeDocument/2006/relationships/endnotes" Target="endnotes.xml"/><Relationship Id="rId39" Type="http://schemas.openxmlformats.org/officeDocument/2006/relationships/image" Target="media/image15.wmf"/><Relationship Id="rId38" Type="http://schemas.openxmlformats.org/officeDocument/2006/relationships/oleObject" Target="embeddings/oleObject9.bin"/><Relationship Id="rId37" Type="http://schemas.openxmlformats.org/officeDocument/2006/relationships/image" Target="media/image14.wmf"/><Relationship Id="rId36" Type="http://schemas.openxmlformats.org/officeDocument/2006/relationships/oleObject" Target="embeddings/oleObject8.bin"/><Relationship Id="rId35" Type="http://schemas.openxmlformats.org/officeDocument/2006/relationships/image" Target="media/image13.wmf"/><Relationship Id="rId34" Type="http://schemas.openxmlformats.org/officeDocument/2006/relationships/oleObject" Target="embeddings/oleObject7.bin"/><Relationship Id="rId33" Type="http://schemas.openxmlformats.org/officeDocument/2006/relationships/image" Target="media/image12.png"/><Relationship Id="rId32" Type="http://schemas.openxmlformats.org/officeDocument/2006/relationships/image" Target="media/image11.wmf"/><Relationship Id="rId31" Type="http://schemas.openxmlformats.org/officeDocument/2006/relationships/oleObject" Target="embeddings/oleObject6.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9.wmf"/><Relationship Id="rId27" Type="http://schemas.openxmlformats.org/officeDocument/2006/relationships/oleObject" Target="embeddings/oleObject4.bin"/><Relationship Id="rId26" Type="http://schemas.openxmlformats.org/officeDocument/2006/relationships/image" Target="media/image8.wmf"/><Relationship Id="rId25" Type="http://schemas.openxmlformats.org/officeDocument/2006/relationships/oleObject" Target="embeddings/oleObject3.bin"/><Relationship Id="rId24" Type="http://schemas.openxmlformats.org/officeDocument/2006/relationships/image" Target="media/image7.emf"/><Relationship Id="rId23" Type="http://schemas.openxmlformats.org/officeDocument/2006/relationships/oleObject" Target="embeddings/oleObject2.bin"/><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emf"/><Relationship Id="rId17" Type="http://schemas.openxmlformats.org/officeDocument/2006/relationships/oleObject" Target="embeddings/oleObject1.bin"/><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74</Pages>
  <Words>41550</Words>
  <Characters>49131</Characters>
  <Lines>3274</Lines>
  <Paragraphs>3265</Paragraphs>
  <TotalTime>8</TotalTime>
  <ScaleCrop>false</ScaleCrop>
  <LinksUpToDate>false</LinksUpToDate>
  <CharactersWithSpaces>50069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2019-02-24T11:54:00Z</dcterms:created>
  <dc:creator>liu</dc:creator>
  <cp:lastModifiedBy>张帆</cp:lastModifiedBy>
  <cp:lastPrinted>2024-01-31T03:40:00Z</cp:lastPrinted>
  <dcterms:modified xsi:type="dcterms:W3CDTF">2025-12-21T14:04:24Z</dcterms:modified>
  <dc:title>工程检索号</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2066EE77688F46DDAA8615DECFD10A31_13</vt:lpwstr>
  </property>
  <property fmtid="{D5CDD505-2E9C-101B-9397-08002B2CF9AE}" pid="4" name="KSOTemplateDocerSaveRecord">
    <vt:lpwstr>eyJoZGlkIjoiNTY5MTI2ZWNjMDY2NTExZDU0NmNkYjMwMmNhMmYyNDQiLCJ1c2VySWQiOiIyNTA1Nzk4MTcifQ==</vt:lpwstr>
  </property>
</Properties>
</file>