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CESI仿宋-GB2312" w:hAnsi="CESI仿宋-GB2312" w:eastAsia="CESI仿宋-GB2312" w:cs="CESI仿宋-GB2312"/>
          <w:b w:val="0"/>
          <w:i w:val="0"/>
          <w:caps w:val="0"/>
          <w:spacing w:val="0"/>
          <w:w w:val="100"/>
          <w:sz w:val="32"/>
          <w:szCs w:val="32"/>
          <w:lang w:val="en-US" w:eastAsia="zh-CN"/>
        </w:rPr>
      </w:pPr>
      <w:r>
        <w:rPr>
          <w:rFonts w:hint="eastAsia" w:ascii="CESI仿宋-GB2312" w:hAnsi="CESI仿宋-GB2312" w:eastAsia="CESI仿宋-GB2312" w:cs="CESI仿宋-GB2312"/>
          <w:b w:val="0"/>
          <w:i w:val="0"/>
          <w:caps w:val="0"/>
          <w:spacing w:val="0"/>
          <w:w w:val="100"/>
          <w:sz w:val="32"/>
          <w:szCs w:val="32"/>
          <w:lang w:eastAsia="zh-CN"/>
        </w:rPr>
        <w:t>榆区环</w:t>
      </w:r>
      <w:r>
        <w:rPr>
          <w:rFonts w:hint="eastAsia" w:ascii="CESI仿宋-GB2312" w:hAnsi="CESI仿宋-GB2312" w:eastAsia="CESI仿宋-GB2312" w:cs="CESI仿宋-GB2312"/>
          <w:b w:val="0"/>
          <w:i w:val="0"/>
          <w:caps w:val="0"/>
          <w:spacing w:val="0"/>
          <w:w w:val="100"/>
          <w:sz w:val="32"/>
          <w:szCs w:val="32"/>
          <w:lang w:val="en-US" w:eastAsia="zh-CN"/>
        </w:rPr>
        <w:t>审</w:t>
      </w:r>
      <w:r>
        <w:rPr>
          <w:rFonts w:hint="eastAsia" w:ascii="CESI仿宋-GB2312" w:hAnsi="CESI仿宋-GB2312" w:eastAsia="CESI仿宋-GB2312" w:cs="CESI仿宋-GB2312"/>
          <w:b w:val="0"/>
          <w:i w:val="0"/>
          <w:caps w:val="0"/>
          <w:spacing w:val="0"/>
          <w:w w:val="100"/>
          <w:sz w:val="32"/>
          <w:szCs w:val="32"/>
          <w:lang w:eastAsia="zh-CN"/>
        </w:rPr>
        <w:t>发〔</w:t>
      </w:r>
      <w:r>
        <w:rPr>
          <w:rFonts w:hint="eastAsia" w:ascii="CESI仿宋-GB2312" w:hAnsi="CESI仿宋-GB2312" w:eastAsia="CESI仿宋-GB2312" w:cs="CESI仿宋-GB2312"/>
          <w:b w:val="0"/>
          <w:i w:val="0"/>
          <w:caps w:val="0"/>
          <w:spacing w:val="0"/>
          <w:w w:val="100"/>
          <w:sz w:val="32"/>
          <w:szCs w:val="32"/>
          <w:lang w:val="en-US" w:eastAsia="zh-CN"/>
        </w:rPr>
        <w:t>2025〕46号</w:t>
      </w:r>
    </w:p>
    <w:p>
      <w:pPr>
        <w:spacing w:line="550" w:lineRule="exact"/>
        <w:ind w:right="-198"/>
        <w:jc w:val="center"/>
        <w:rPr>
          <w:rFonts w:hint="eastAsia" w:ascii="方正小标宋简体" w:hAnsi="仿宋" w:eastAsia="方正小标宋简体" w:cs="仿宋"/>
          <w:sz w:val="44"/>
          <w:szCs w:val="32"/>
        </w:rPr>
      </w:pP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榆林市生态环境局榆阳分局</w:t>
      </w: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lang w:eastAsia="zh-CN"/>
        </w:rPr>
      </w:pPr>
      <w:r>
        <w:rPr>
          <w:rFonts w:hint="eastAsia" w:ascii="方正小标宋简体" w:hAnsi="仿宋" w:eastAsia="方正小标宋简体" w:cs="仿宋"/>
          <w:sz w:val="44"/>
          <w:szCs w:val="32"/>
        </w:rPr>
        <w:t>关于曹家滩煤矿12盘区西翼红土薄弱区二期施工钻探项目环境影响报告表的批复</w:t>
      </w:r>
    </w:p>
    <w:p>
      <w:pPr>
        <w:pStyle w:val="2"/>
        <w:pageBreakBefore w:val="0"/>
        <w:kinsoku/>
        <w:wordWrap/>
        <w:overflowPunct/>
        <w:topLinePunct w:val="0"/>
        <w:autoSpaceDE/>
        <w:autoSpaceDN/>
        <w:bidi w:val="0"/>
        <w:adjustRightInd/>
        <w:snapToGrid/>
        <w:spacing w:before="156" w:line="560" w:lineRule="exact"/>
        <w:textAlignment w:val="auto"/>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陕西星久地质勘探有限公司</w:t>
      </w:r>
      <w:r>
        <w:rPr>
          <w:rFonts w:hint="eastAsia" w:ascii="CESI仿宋-GB2312" w:hAnsi="CESI仿宋-GB2312" w:eastAsia="CESI仿宋-GB2312" w:cs="CESI仿宋-GB2312"/>
          <w:sz w:val="32"/>
          <w:szCs w:val="32"/>
        </w:rPr>
        <w:t>：</w:t>
      </w:r>
    </w:p>
    <w:p>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你</w:t>
      </w:r>
      <w:r>
        <w:rPr>
          <w:rFonts w:hint="eastAsia" w:ascii="CESI仿宋-GB2312" w:hAnsi="CESI仿宋-GB2312" w:eastAsia="CESI仿宋-GB2312" w:cs="CESI仿宋-GB2312"/>
          <w:sz w:val="32"/>
          <w:szCs w:val="32"/>
          <w:lang w:val="en-US" w:eastAsia="zh-CN"/>
        </w:rPr>
        <w:t>公司</w:t>
      </w:r>
      <w:r>
        <w:rPr>
          <w:rFonts w:hint="eastAsia" w:ascii="CESI仿宋-GB2312" w:hAnsi="CESI仿宋-GB2312" w:eastAsia="CESI仿宋-GB2312" w:cs="CESI仿宋-GB2312"/>
          <w:sz w:val="32"/>
          <w:szCs w:val="32"/>
        </w:rPr>
        <w:t>报送的《</w:t>
      </w:r>
      <w:r>
        <w:rPr>
          <w:rFonts w:hint="eastAsia" w:ascii="CESI仿宋-GB2312" w:hAnsi="CESI仿宋-GB2312" w:eastAsia="CESI仿宋-GB2312" w:cs="CESI仿宋-GB2312"/>
          <w:sz w:val="32"/>
          <w:szCs w:val="32"/>
          <w:lang w:val="en-US" w:eastAsia="zh-CN"/>
        </w:rPr>
        <w:t>曹家滩煤矿12盘区西翼红土薄弱区二期施工钻探项目环境影响报告表》</w:t>
      </w:r>
      <w:r>
        <w:rPr>
          <w:rFonts w:hint="eastAsia" w:ascii="CESI仿宋-GB2312" w:hAnsi="CESI仿宋-GB2312" w:eastAsia="CESI仿宋-GB2312" w:cs="CESI仿宋-GB2312"/>
          <w:sz w:val="32"/>
          <w:szCs w:val="32"/>
          <w:lang w:eastAsia="zh-CN"/>
        </w:rPr>
        <w:t>及相关资料</w:t>
      </w:r>
      <w:r>
        <w:rPr>
          <w:rFonts w:hint="eastAsia" w:ascii="CESI仿宋-GB2312" w:hAnsi="CESI仿宋-GB2312" w:eastAsia="CESI仿宋-GB2312" w:cs="CESI仿宋-GB2312"/>
          <w:sz w:val="32"/>
          <w:szCs w:val="32"/>
        </w:rPr>
        <w:t>已收悉，经审查研究，批复如下：</w:t>
      </w:r>
    </w:p>
    <w:p>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位于陕西省榆林市榆阳区孟家湾乡马大滩村，临时占地13070㎡，项目治理工程包括：补充勘探、钻探注浆、效果检验。项目主要建设内容为治理区设置注浆孔兼补勘孔10个，普通补勘孔4个，萨拉乌苏长观孔5个、风化基岩长观孔2个；设置注浆孔46个，其中10个使用补勘钻孔；治理区外补勘孔6个；设置注浆站1座，造浆与注浆能力不小于1000m³/d。项目为临时工程，注浆站使用年限约为12个月。项目总投资为17500万元，其中环保投资为860万元，占总投资的4.9%。</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该项目在全面落实环境影响报告表和本意见提出的各项污染防治措施后，建设项目对环境不利影响能够得到缓减和控制，污染物可做到达标排放。该项目已在榆林市榆阳区</w:t>
      </w:r>
      <w:r>
        <w:rPr>
          <w:rFonts w:hint="eastAsia" w:ascii="CESI仿宋-GB2312" w:hAnsi="CESI仿宋-GB2312" w:eastAsia="CESI仿宋-GB2312" w:cs="CESI仿宋-GB2312"/>
          <w:sz w:val="32"/>
          <w:szCs w:val="32"/>
          <w:lang w:val="en-US" w:eastAsia="zh-CN"/>
        </w:rPr>
        <w:t>人民</w:t>
      </w:r>
      <w:r>
        <w:rPr>
          <w:rFonts w:hint="eastAsia" w:ascii="CESI仿宋-GB2312" w:hAnsi="CESI仿宋-GB2312" w:eastAsia="CESI仿宋-GB2312" w:cs="CESI仿宋-GB2312"/>
          <w:sz w:val="32"/>
          <w:szCs w:val="32"/>
        </w:rPr>
        <w:t>政府门户网站公示，公示期间我局没有收到任何建议和意见。经</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color w:val="000000" w:themeColor="text1"/>
          <w:sz w:val="32"/>
          <w:szCs w:val="32"/>
          <w14:textFill>
            <w14:solidFill>
              <w14:schemeClr w14:val="tx1"/>
            </w14:solidFill>
          </w14:textFill>
        </w:rPr>
        <w:t>审查</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会议</w:t>
      </w:r>
      <w:r>
        <w:rPr>
          <w:rFonts w:hint="eastAsia" w:ascii="CESI仿宋-GB2312" w:hAnsi="CESI仿宋-GB2312" w:eastAsia="CESI仿宋-GB2312" w:cs="CESI仿宋-GB2312"/>
          <w:sz w:val="32"/>
          <w:szCs w:val="32"/>
        </w:rPr>
        <w:t>研究，从环保角度分析，项目可行同意建设。</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三、项目在建设和运行管理中应重点做好以下工作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（一）项目施工期严格落实《榆阳区生态环境保护</w:t>
      </w:r>
      <w:r>
        <w:rPr>
          <w:rFonts w:hint="eastAsia" w:ascii="CESI仿宋-GB2312" w:hAnsi="CESI仿宋-GB2312" w:eastAsia="CESI仿宋-GB2312" w:cs="CESI仿宋-GB2312"/>
          <w:sz w:val="32"/>
          <w:szCs w:val="32"/>
          <w:lang w:eastAsia="zh-CN"/>
        </w:rPr>
        <w:t>铁腕治污</w:t>
      </w:r>
      <w:r>
        <w:rPr>
          <w:rFonts w:hint="eastAsia" w:ascii="CESI仿宋-GB2312" w:hAnsi="CESI仿宋-GB2312" w:eastAsia="CESI仿宋-GB2312" w:cs="CESI仿宋-GB2312"/>
          <w:sz w:val="32"/>
          <w:szCs w:val="32"/>
        </w:rPr>
        <w:t>攻坚</w:t>
      </w:r>
      <w:r>
        <w:rPr>
          <w:rFonts w:hint="eastAsia" w:ascii="CESI仿宋-GB2312" w:hAnsi="CESI仿宋-GB2312" w:eastAsia="CESI仿宋-GB2312" w:cs="CESI仿宋-GB2312"/>
          <w:color w:val="000000" w:themeColor="text1"/>
          <w:sz w:val="32"/>
          <w:szCs w:val="32"/>
          <w14:textFill>
            <w14:solidFill>
              <w14:schemeClr w14:val="tx1"/>
            </w14:solidFill>
          </w14:textFill>
        </w:rPr>
        <w:t>行动方案》</w:t>
      </w:r>
      <w:r>
        <w:rPr>
          <w:rFonts w:hint="eastAsia" w:ascii="CESI仿宋-GB2312" w:hAnsi="CESI仿宋-GB2312" w:eastAsia="CESI仿宋-GB2312" w:cs="CESI仿宋-GB2312"/>
          <w:sz w:val="32"/>
          <w:szCs w:val="32"/>
        </w:rPr>
        <w:t>中的相关规定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项目环境影响报告表中提出的环境保护和污染防治措施可作为工程实施的依据</w:t>
      </w:r>
      <w:r>
        <w:rPr>
          <w:rFonts w:hint="eastAsia" w:ascii="CESI仿宋-GB2312" w:hAnsi="CESI仿宋-GB2312" w:eastAsia="CESI仿宋-GB2312" w:cs="CESI仿宋-GB2312"/>
          <w:sz w:val="32"/>
          <w:szCs w:val="32"/>
          <w:lang w:val="en-US" w:eastAsia="zh-CN"/>
        </w:rPr>
        <w:t>,必须按要求实施</w:t>
      </w:r>
      <w:r>
        <w:rPr>
          <w:rFonts w:hint="eastAsia" w:ascii="CESI仿宋-GB2312" w:hAnsi="CESI仿宋-GB2312" w:eastAsia="CESI仿宋-GB2312" w:cs="CESI仿宋-GB2312"/>
          <w:sz w:val="32"/>
          <w:szCs w:val="32"/>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二</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加强大气污染物防治，上料废气</w:t>
      </w:r>
      <w:r>
        <w:rPr>
          <w:rFonts w:hint="eastAsia" w:ascii="CESI仿宋-GB2312" w:hAnsi="CESI仿宋-GB2312" w:eastAsia="CESI仿宋-GB2312" w:cs="CESI仿宋-GB2312"/>
          <w:color w:val="auto"/>
          <w:sz w:val="32"/>
          <w:szCs w:val="32"/>
          <w:lang w:eastAsia="zh-CN"/>
        </w:rPr>
        <w:t>通过</w:t>
      </w:r>
      <w:r>
        <w:rPr>
          <w:rFonts w:hint="eastAsia" w:ascii="CESI仿宋-GB2312" w:hAnsi="CESI仿宋-GB2312" w:eastAsia="CESI仿宋-GB2312" w:cs="CESI仿宋-GB2312"/>
          <w:color w:val="auto"/>
          <w:sz w:val="32"/>
          <w:szCs w:val="32"/>
        </w:rPr>
        <w:t>带式输送机进行转运，皮带机</w:t>
      </w:r>
      <w:r>
        <w:rPr>
          <w:rFonts w:hint="eastAsia" w:ascii="CESI仿宋-GB2312" w:hAnsi="CESI仿宋-GB2312" w:eastAsia="CESI仿宋-GB2312" w:cs="CESI仿宋-GB2312"/>
          <w:color w:val="auto"/>
          <w:sz w:val="32"/>
          <w:szCs w:val="32"/>
          <w:lang w:eastAsia="zh-CN"/>
        </w:rPr>
        <w:t>须</w:t>
      </w:r>
      <w:r>
        <w:rPr>
          <w:rFonts w:hint="eastAsia" w:ascii="CESI仿宋-GB2312" w:hAnsi="CESI仿宋-GB2312" w:eastAsia="CESI仿宋-GB2312" w:cs="CESI仿宋-GB2312"/>
          <w:color w:val="auto"/>
          <w:sz w:val="32"/>
          <w:szCs w:val="32"/>
        </w:rPr>
        <w:t>全封闭</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设置喷雾降尘</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进料口设置集气罩+布袋除尘器+15m排气筒排放</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水泥罐废气</w:t>
      </w:r>
      <w:r>
        <w:rPr>
          <w:rFonts w:hint="eastAsia" w:ascii="CESI仿宋-GB2312" w:hAnsi="CESI仿宋-GB2312" w:eastAsia="CESI仿宋-GB2312" w:cs="CESI仿宋-GB2312"/>
          <w:color w:val="auto"/>
          <w:sz w:val="32"/>
          <w:szCs w:val="32"/>
          <w:lang w:eastAsia="zh-CN"/>
        </w:rPr>
        <w:t>排放</w:t>
      </w:r>
      <w:r>
        <w:rPr>
          <w:rFonts w:hint="eastAsia" w:ascii="CESI仿宋-GB2312" w:hAnsi="CESI仿宋-GB2312" w:eastAsia="CESI仿宋-GB2312" w:cs="CESI仿宋-GB2312"/>
          <w:color w:val="auto"/>
          <w:sz w:val="32"/>
          <w:szCs w:val="32"/>
        </w:rPr>
        <w:t>配套袋式仓顶除尘器</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 xml:space="preserve">确保大气污染物达标排放。 </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三</w:t>
      </w:r>
      <w:r>
        <w:rPr>
          <w:rFonts w:hint="eastAsia" w:ascii="CESI仿宋-GB2312" w:hAnsi="CESI仿宋-GB2312" w:eastAsia="CESI仿宋-GB2312" w:cs="CESI仿宋-GB2312"/>
          <w:color w:val="auto"/>
          <w:sz w:val="32"/>
          <w:szCs w:val="32"/>
        </w:rPr>
        <w:t>）按照环境影响报告表要求</w:t>
      </w:r>
      <w:r>
        <w:rPr>
          <w:rFonts w:hint="eastAsia" w:ascii="CESI仿宋-GB2312" w:hAnsi="CESI仿宋-GB2312" w:eastAsia="CESI仿宋-GB2312" w:cs="CESI仿宋-GB2312"/>
          <w:color w:val="auto"/>
          <w:sz w:val="32"/>
          <w:szCs w:val="32"/>
          <w:lang w:eastAsia="zh-CN"/>
        </w:rPr>
        <w:t>落实水污染防治措施</w:t>
      </w:r>
      <w:r>
        <w:rPr>
          <w:rFonts w:hint="eastAsia" w:ascii="CESI仿宋-GB2312" w:hAnsi="CESI仿宋-GB2312" w:eastAsia="CESI仿宋-GB2312" w:cs="CESI仿宋-GB2312"/>
          <w:color w:val="auto"/>
          <w:sz w:val="32"/>
          <w:szCs w:val="32"/>
        </w:rPr>
        <w:t>，钻孔废水及洗孔废水沉淀后用于车辆清洗和洒水降尘</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项目设置洗车平台，洗车废水循环使用不外排</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施工期生活污水(盥洗废水)沉淀后用于场地洒水降尘，</w:t>
      </w:r>
      <w:r>
        <w:rPr>
          <w:rFonts w:hint="eastAsia" w:ascii="CESI仿宋-GB2312" w:hAnsi="CESI仿宋-GB2312" w:eastAsia="CESI仿宋-GB2312" w:cs="CESI仿宋-GB2312"/>
          <w:color w:val="auto"/>
          <w:sz w:val="32"/>
          <w:szCs w:val="32"/>
          <w:lang w:eastAsia="zh-CN"/>
        </w:rPr>
        <w:t>厂区设</w:t>
      </w:r>
      <w:r>
        <w:rPr>
          <w:rFonts w:hint="eastAsia" w:ascii="CESI仿宋-GB2312" w:hAnsi="CESI仿宋-GB2312" w:eastAsia="CESI仿宋-GB2312" w:cs="CESI仿宋-GB2312"/>
          <w:color w:val="auto"/>
          <w:sz w:val="32"/>
          <w:szCs w:val="32"/>
        </w:rPr>
        <w:t>旱厕，清掏</w:t>
      </w:r>
      <w:r>
        <w:rPr>
          <w:rFonts w:hint="eastAsia" w:ascii="CESI仿宋-GB2312" w:hAnsi="CESI仿宋-GB2312" w:eastAsia="CESI仿宋-GB2312" w:cs="CESI仿宋-GB2312"/>
          <w:color w:val="auto"/>
          <w:sz w:val="32"/>
          <w:szCs w:val="32"/>
          <w:lang w:eastAsia="zh-CN"/>
        </w:rPr>
        <w:t>用</w:t>
      </w:r>
      <w:r>
        <w:rPr>
          <w:rFonts w:hint="eastAsia" w:ascii="CESI仿宋-GB2312" w:hAnsi="CESI仿宋-GB2312" w:eastAsia="CESI仿宋-GB2312" w:cs="CESI仿宋-GB2312"/>
          <w:color w:val="auto"/>
          <w:sz w:val="32"/>
          <w:szCs w:val="32"/>
        </w:rPr>
        <w:t>作农肥</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严禁项目污废水外排。</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四</w:t>
      </w:r>
      <w:r>
        <w:rPr>
          <w:rFonts w:hint="eastAsia" w:ascii="CESI仿宋-GB2312" w:hAnsi="CESI仿宋-GB2312" w:eastAsia="CESI仿宋-GB2312" w:cs="CESI仿宋-GB2312"/>
          <w:color w:val="auto"/>
          <w:sz w:val="32"/>
          <w:szCs w:val="32"/>
        </w:rPr>
        <w:t>）严格落实声环境保护措施。项目优先选用低噪声设备，采取合理布局、隔声、减振、消声等措施，确保厂界噪声满足《工业企业厂界环境噪声排放标准》（GB12348-2008）要求。</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五</w:t>
      </w:r>
      <w:r>
        <w:rPr>
          <w:rFonts w:hint="eastAsia" w:ascii="CESI仿宋-GB2312" w:hAnsi="CESI仿宋-GB2312" w:eastAsia="CESI仿宋-GB2312" w:cs="CESI仿宋-GB2312"/>
          <w:color w:val="auto"/>
          <w:sz w:val="32"/>
          <w:szCs w:val="32"/>
        </w:rPr>
        <w:t>）制浆池、储浆池为下沉式池体，按一般防渗区建设，基础采用等效黏土防渗层Mb≥1.5m，渗透系数≤1.0×10⁻⁷cm/s</w:t>
      </w:r>
      <w:r>
        <w:rPr>
          <w:rFonts w:hint="eastAsia" w:ascii="CESI仿宋-GB2312" w:hAnsi="CESI仿宋-GB2312" w:eastAsia="CESI仿宋-GB2312" w:cs="CESI仿宋-GB2312"/>
          <w:color w:val="auto"/>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六</w:t>
      </w:r>
      <w:r>
        <w:rPr>
          <w:rFonts w:hint="eastAsia" w:ascii="CESI仿宋-GB2312" w:hAnsi="CESI仿宋-GB2312" w:eastAsia="CESI仿宋-GB2312" w:cs="CESI仿宋-GB2312"/>
          <w:color w:val="auto"/>
          <w:sz w:val="32"/>
          <w:szCs w:val="32"/>
        </w:rPr>
        <w:t>）项目运营期产生的危险废物，须交由有资质单位处置，临时储存、运输要严格执行国家有关危险废物的相关规定；产生的一般固废、生活垃圾集中分类收集后，可利用的综合利用，不可利用的交由环卫部门统一处置；严禁随意乱倾乱倒。</w:t>
      </w:r>
    </w:p>
    <w:p>
      <w:pPr>
        <w:keepNext w:val="0"/>
        <w:keepLines w:val="0"/>
        <w:pageBreakBefore w:val="0"/>
        <w:widowControl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七</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kern w:val="0"/>
          <w:sz w:val="32"/>
          <w:szCs w:val="32"/>
          <w:lang w:val="en-US" w:eastAsia="zh-CN" w:bidi="ar-SA"/>
        </w:rPr>
        <w:t>加强生态保护，优化施工方案，最大限度地减少项目建设对地表的扰动；施工结束后，</w:t>
      </w:r>
      <w:r>
        <w:rPr>
          <w:rFonts w:hint="eastAsia" w:ascii="CESI仿宋-GB2312" w:hAnsi="CESI仿宋-GB2312" w:eastAsia="CESI仿宋-GB2312" w:cs="CESI仿宋-GB2312"/>
          <w:sz w:val="32"/>
          <w:szCs w:val="32"/>
          <w:lang w:val="en-US" w:eastAsia="zh-CN"/>
        </w:rPr>
        <w:t>严格按照报告表要求及时拆除设备，恢复原有用地性质，并</w:t>
      </w:r>
      <w:r>
        <w:rPr>
          <w:rFonts w:hint="eastAsia" w:ascii="CESI仿宋-GB2312" w:hAnsi="CESI仿宋-GB2312" w:eastAsia="CESI仿宋-GB2312" w:cs="CESI仿宋-GB2312"/>
          <w:kern w:val="0"/>
          <w:sz w:val="32"/>
          <w:szCs w:val="32"/>
          <w:lang w:val="en-US" w:eastAsia="zh-CN" w:bidi="ar-SA"/>
        </w:rPr>
        <w:t>及时进行生态恢复。</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val="0"/>
          <w:bCs w:val="0"/>
          <w:color w:val="000000"/>
          <w:sz w:val="32"/>
          <w:szCs w:val="32"/>
        </w:rPr>
        <w:t>四、项目建设</w:t>
      </w:r>
      <w:r>
        <w:rPr>
          <w:rFonts w:hint="eastAsia" w:ascii="CESI仿宋-GB2312" w:hAnsi="CESI仿宋-GB2312" w:eastAsia="CESI仿宋-GB2312" w:cs="CESI仿宋-GB2312"/>
          <w:color w:val="000000"/>
          <w:sz w:val="32"/>
          <w:szCs w:val="32"/>
        </w:rPr>
        <w:t>必须严格执行环境保护设施与主体工程同时设计、同时施工、同时投产使用的环境保护“三同时”制度，落实各项环境保护措施。项目建成后，建设单位必须按规定程序进行竣工环境保护验收，经验收合格后，方可正式投入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color w:val="000000"/>
          <w:sz w:val="32"/>
          <w:szCs w:val="32"/>
        </w:rPr>
        <w:t>环境影响报告表经批准后，</w:t>
      </w:r>
      <w:r>
        <w:rPr>
          <w:rFonts w:hint="eastAsia" w:ascii="CESI仿宋-GB2312" w:hAnsi="CESI仿宋-GB2312" w:eastAsia="CESI仿宋-GB2312" w:cs="CESI仿宋-GB2312"/>
          <w:sz w:val="32"/>
          <w:szCs w:val="32"/>
        </w:rPr>
        <w:t>项目的性质、规模、地点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采用的</w:t>
      </w:r>
      <w:r>
        <w:rPr>
          <w:rFonts w:hint="eastAsia" w:ascii="CESI仿宋-GB2312" w:hAnsi="CESI仿宋-GB2312" w:eastAsia="CESI仿宋-GB2312" w:cs="CESI仿宋-GB2312"/>
          <w:sz w:val="32"/>
          <w:szCs w:val="32"/>
        </w:rPr>
        <w:t>生产工艺或者防治污染、防止生态破坏的措施发生重大变动的，应当重新报批该项目的环境影响报告表。自环境影响报告表批复文件批准之日起超过</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方决定工程开工建设的，环境影响报告表应当报我局重新审核。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六、按照《建设项目环境保护事中事后监督管理办法（试行）》要求，该项目须接受</w:t>
      </w:r>
      <w:r>
        <w:rPr>
          <w:rFonts w:hint="eastAsia" w:ascii="CESI仿宋-GB2312" w:hAnsi="CESI仿宋-GB2312" w:eastAsia="CESI仿宋-GB2312" w:cs="CESI仿宋-GB2312"/>
          <w:color w:val="000000"/>
          <w:sz w:val="32"/>
          <w:szCs w:val="32"/>
        </w:rPr>
        <w:t>榆林市生态环境保护综合执法支队榆阳直属大队</w:t>
      </w:r>
      <w:r>
        <w:rPr>
          <w:rFonts w:hint="eastAsia" w:ascii="CESI仿宋-GB2312" w:hAnsi="CESI仿宋-GB2312" w:eastAsia="CESI仿宋-GB2312" w:cs="CESI仿宋-GB2312"/>
          <w:sz w:val="32"/>
          <w:szCs w:val="32"/>
        </w:rPr>
        <w:t>事中事后</w:t>
      </w:r>
      <w:r>
        <w:rPr>
          <w:rFonts w:hint="eastAsia" w:ascii="CESI仿宋-GB2312" w:hAnsi="CESI仿宋-GB2312" w:eastAsia="CESI仿宋-GB2312" w:cs="CESI仿宋-GB2312"/>
          <w:color w:val="000000"/>
          <w:sz w:val="32"/>
          <w:szCs w:val="32"/>
        </w:rPr>
        <w:t>的</w:t>
      </w:r>
      <w:r>
        <w:rPr>
          <w:rFonts w:hint="eastAsia" w:ascii="CESI仿宋-GB2312" w:hAnsi="CESI仿宋-GB2312" w:eastAsia="CESI仿宋-GB2312" w:cs="CESI仿宋-GB2312"/>
          <w:sz w:val="32"/>
          <w:szCs w:val="32"/>
        </w:rPr>
        <w:t>监督管理。</w:t>
      </w:r>
    </w:p>
    <w:p>
      <w:pPr>
        <w:pStyle w:val="2"/>
        <w:rPr>
          <w:rFonts w:hint="eastAsia"/>
        </w:rPr>
      </w:pPr>
    </w:p>
    <w:p>
      <w:pPr>
        <w:pStyle w:val="8"/>
        <w:pageBreakBefore w:val="0"/>
        <w:widowControl w:val="0"/>
        <w:tabs>
          <w:tab w:val="left" w:pos="420"/>
        </w:tabs>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榆林市生态环境局榆阳分局</w:t>
      </w:r>
    </w:p>
    <w:p>
      <w:pPr>
        <w:keepNext/>
        <w:keepLines/>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 xml:space="preserve"> 202</w:t>
      </w: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年</w:t>
      </w:r>
      <w:r>
        <w:rPr>
          <w:rFonts w:hint="eastAsia" w:ascii="CESI仿宋-GB2312" w:hAnsi="CESI仿宋-GB2312" w:eastAsia="CESI仿宋-GB2312" w:cs="CESI仿宋-GB2312"/>
          <w:b w:val="0"/>
          <w:bCs w:val="0"/>
          <w:sz w:val="32"/>
          <w:szCs w:val="32"/>
          <w:lang w:val="en-US" w:eastAsia="zh-CN"/>
        </w:rPr>
        <w:t>8</w:t>
      </w:r>
      <w:r>
        <w:rPr>
          <w:rFonts w:hint="eastAsia" w:ascii="CESI仿宋-GB2312" w:hAnsi="CESI仿宋-GB2312" w:eastAsia="CESI仿宋-GB2312" w:cs="CESI仿宋-GB2312"/>
          <w:b w:val="0"/>
          <w:bCs w:val="0"/>
          <w:sz w:val="32"/>
          <w:szCs w:val="32"/>
        </w:rPr>
        <w:t>月</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bookmarkStart w:id="0" w:name="_GoBack"/>
      <w:bookmarkEnd w:id="0"/>
    </w:p>
    <w:p>
      <w:pPr>
        <w:rPr>
          <w:rFonts w:hint="eastAsia"/>
        </w:rPr>
      </w:pPr>
    </w:p>
    <w:p>
      <w:pPr>
        <w:pStyle w:val="2"/>
        <w:rPr>
          <w:rFonts w:hint="eastAsia"/>
        </w:rPr>
      </w:pPr>
    </w:p>
    <w:p>
      <w:pPr>
        <w:spacing w:line="520" w:lineRule="exact"/>
        <w:ind w:firstLine="320" w:firstLineChars="1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162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0.65pt;height:0.05pt;width:406.5pt;z-index:251660288;mso-width-relative:page;mso-height-relative:page;" filled="f" stroked="t" coordsize="21600,21600" o:gfxdata="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p9cFbUAAAABwEAAA8AAAAAAAAAAQAgAAAA&#10;OAAAAGRycy9kb3ducmV2LnhtbFBLAQIUABQAAAAIAIdO4kBlOlQU+QEAAPQDAAAOAAAAAAAAAAEA&#10;IAAAADkBAABkcnMvZTJvRG9jLnhtbFBLBQYAAAAABgAGAFkBAACk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41910</wp:posOffset>
                </wp:positionV>
                <wp:extent cx="5162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pt;height:0.05pt;width:406.5pt;z-index:251662336;mso-width-relative:page;mso-height-relative:page;" filled="f" stroked="t" coordsize="21600,21600" o:gfxdata="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zwGjd0gAAAAUBAAAPAAAAAAAAAAEAIAAAADgA&#10;AABkcnMvZG93bnJldi54bWxQSwECFAAUAAAACACHTuJAZcx/HPkBAAD0AwAADgAAAAAAAAABACAA&#10;AAA3AQAAZHJzL2Uyb0RvYy54bWxQSwUGAAAAAAYABgBZAQAAogU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抄送：榆林市生态环境保护综合执法支队榆阳直属大队</w:t>
      </w:r>
    </w:p>
    <w:p>
      <w:pPr>
        <w:pStyle w:val="8"/>
        <w:tabs>
          <w:tab w:val="left" w:pos="420"/>
        </w:tabs>
        <w:snapToGrid/>
        <w:ind w:firstLine="320" w:firstLineChars="1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榆林市生态环境局榆阳分局</w:t>
      </w:r>
      <w:r>
        <w:rPr>
          <w:rFonts w:hint="eastAsia" w:ascii="CESI仿宋-GB2312" w:hAnsi="CESI仿宋-GB2312" w:eastAsia="CESI仿宋-GB2312" w:cs="CESI仿宋-GB2312"/>
          <w:color w:val="0000FF"/>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368300</wp:posOffset>
                </wp:positionV>
                <wp:extent cx="5162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29pt;height:0.05pt;width:406.5pt;z-index:251661312;mso-width-relative:page;mso-height-relative:page;" filled="f" stroked="t" coordsize="21600,21600" o:gfxdata="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bjMANQAAAAHAQAADwAAAAAAAAABACAA&#10;AAA4AAAAZHJzL2Rvd25yZXYueG1sUEsBAhQAFAAAAAgAh07iQGX4hyz7AQAA9AMAAA4AAAAAAAAA&#10;AQAgAAAAOQEAAGRycy9lMm9Eb2MueG1sUEsFBgAAAAAGAAYAWQEAAKYFA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日印发</w:t>
      </w:r>
    </w:p>
    <w:p>
      <w:pPr>
        <w:spacing w:line="520" w:lineRule="exact"/>
        <w:jc w:val="right"/>
      </w:pPr>
      <w:r>
        <w:rPr>
          <w:rFonts w:hint="eastAsia" w:ascii="CESI仿宋-GB2312" w:hAnsi="CESI仿宋-GB2312" w:eastAsia="CESI仿宋-GB2312" w:cs="CESI仿宋-GB2312"/>
          <w:sz w:val="32"/>
          <w:szCs w:val="32"/>
        </w:rPr>
        <w:t>共印5</w:t>
      </w:r>
      <w:r>
        <w:rPr>
          <w:rFonts w:hint="eastAsia" w:ascii="仿宋" w:hAnsi="仿宋" w:eastAsia="仿宋" w:cs="仿宋"/>
          <w:sz w:val="28"/>
          <w:szCs w:val="28"/>
        </w:rPr>
        <w:t>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行楷">
    <w:panose1 w:val="02010800040101010101"/>
    <w:charset w:val="86"/>
    <w:family w:val="auto"/>
    <w:pitch w:val="default"/>
    <w:sig w:usb0="00000001" w:usb1="080F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1EFB"/>
    <w:multiLevelType w:val="singleLevel"/>
    <w:tmpl w:val="31AB1EFB"/>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mZlMTJmODg1MjIwNmFmMjQyNTZmMmY3MGRkODAifQ=="/>
  </w:docVars>
  <w:rsids>
    <w:rsidRoot w:val="3FCE6D36"/>
    <w:rsid w:val="00046A8F"/>
    <w:rsid w:val="000834E5"/>
    <w:rsid w:val="001644D2"/>
    <w:rsid w:val="00222899"/>
    <w:rsid w:val="00320888"/>
    <w:rsid w:val="003A3E09"/>
    <w:rsid w:val="005767E2"/>
    <w:rsid w:val="005C0C39"/>
    <w:rsid w:val="005E74E0"/>
    <w:rsid w:val="00604945"/>
    <w:rsid w:val="006B7BE3"/>
    <w:rsid w:val="006C2A4D"/>
    <w:rsid w:val="007D4376"/>
    <w:rsid w:val="009258B7"/>
    <w:rsid w:val="00AF2A1A"/>
    <w:rsid w:val="00CF0ED4"/>
    <w:rsid w:val="00D55459"/>
    <w:rsid w:val="00D77326"/>
    <w:rsid w:val="00DE4B87"/>
    <w:rsid w:val="00FA5940"/>
    <w:rsid w:val="01846205"/>
    <w:rsid w:val="027128A9"/>
    <w:rsid w:val="02762657"/>
    <w:rsid w:val="02D10796"/>
    <w:rsid w:val="05157BA2"/>
    <w:rsid w:val="054576DA"/>
    <w:rsid w:val="06225867"/>
    <w:rsid w:val="06440F1E"/>
    <w:rsid w:val="07087E43"/>
    <w:rsid w:val="08F858F6"/>
    <w:rsid w:val="090D7952"/>
    <w:rsid w:val="0AC5414F"/>
    <w:rsid w:val="0BE1258C"/>
    <w:rsid w:val="0F68363C"/>
    <w:rsid w:val="0FB21CAF"/>
    <w:rsid w:val="100734E2"/>
    <w:rsid w:val="1021389E"/>
    <w:rsid w:val="121323EB"/>
    <w:rsid w:val="12582E7C"/>
    <w:rsid w:val="148664AA"/>
    <w:rsid w:val="15317543"/>
    <w:rsid w:val="15747FCD"/>
    <w:rsid w:val="16033E62"/>
    <w:rsid w:val="16E37E42"/>
    <w:rsid w:val="16FF7AAF"/>
    <w:rsid w:val="174C2E90"/>
    <w:rsid w:val="17A3384D"/>
    <w:rsid w:val="191F708A"/>
    <w:rsid w:val="1A0E74EB"/>
    <w:rsid w:val="1AD53FB8"/>
    <w:rsid w:val="1AFF1A05"/>
    <w:rsid w:val="1BCE435E"/>
    <w:rsid w:val="1C0A6C76"/>
    <w:rsid w:val="1D90382E"/>
    <w:rsid w:val="1EAC32F3"/>
    <w:rsid w:val="22F81725"/>
    <w:rsid w:val="24A24B56"/>
    <w:rsid w:val="252151DF"/>
    <w:rsid w:val="25373817"/>
    <w:rsid w:val="26B25956"/>
    <w:rsid w:val="274600EC"/>
    <w:rsid w:val="282138A4"/>
    <w:rsid w:val="2885177C"/>
    <w:rsid w:val="29350EED"/>
    <w:rsid w:val="2AFB5F75"/>
    <w:rsid w:val="2B3C213F"/>
    <w:rsid w:val="2C16648F"/>
    <w:rsid w:val="2EAA4A5C"/>
    <w:rsid w:val="30635A8F"/>
    <w:rsid w:val="30EF11F7"/>
    <w:rsid w:val="31880ABD"/>
    <w:rsid w:val="31F7394E"/>
    <w:rsid w:val="336A2CE3"/>
    <w:rsid w:val="340426AD"/>
    <w:rsid w:val="340E0088"/>
    <w:rsid w:val="349B6ECC"/>
    <w:rsid w:val="35EA50EA"/>
    <w:rsid w:val="375856AC"/>
    <w:rsid w:val="3783581A"/>
    <w:rsid w:val="37BFC87F"/>
    <w:rsid w:val="388D6E5A"/>
    <w:rsid w:val="38994AB5"/>
    <w:rsid w:val="38BE750D"/>
    <w:rsid w:val="394702AF"/>
    <w:rsid w:val="394D186E"/>
    <w:rsid w:val="39C82443"/>
    <w:rsid w:val="3B0F7BD8"/>
    <w:rsid w:val="3B1403E6"/>
    <w:rsid w:val="3BF7546C"/>
    <w:rsid w:val="3DB02392"/>
    <w:rsid w:val="3DC8166D"/>
    <w:rsid w:val="3E49257C"/>
    <w:rsid w:val="3EE1D180"/>
    <w:rsid w:val="3FCE6D36"/>
    <w:rsid w:val="3FF11A12"/>
    <w:rsid w:val="40661CBD"/>
    <w:rsid w:val="40E40D01"/>
    <w:rsid w:val="41137295"/>
    <w:rsid w:val="41E9165F"/>
    <w:rsid w:val="437E794A"/>
    <w:rsid w:val="43934294"/>
    <w:rsid w:val="44C92622"/>
    <w:rsid w:val="463854BF"/>
    <w:rsid w:val="469C5E55"/>
    <w:rsid w:val="46AE19D2"/>
    <w:rsid w:val="47925F0D"/>
    <w:rsid w:val="49CF169A"/>
    <w:rsid w:val="4A9F53B5"/>
    <w:rsid w:val="4B691E6B"/>
    <w:rsid w:val="4B700C5B"/>
    <w:rsid w:val="4C6E370E"/>
    <w:rsid w:val="4CAB101B"/>
    <w:rsid w:val="4CF7700A"/>
    <w:rsid w:val="4DAD76D9"/>
    <w:rsid w:val="4DF47666"/>
    <w:rsid w:val="4F190E23"/>
    <w:rsid w:val="4FA3638D"/>
    <w:rsid w:val="50193655"/>
    <w:rsid w:val="5115563D"/>
    <w:rsid w:val="54C75DA9"/>
    <w:rsid w:val="556D1CB9"/>
    <w:rsid w:val="55A30256"/>
    <w:rsid w:val="55C87BD0"/>
    <w:rsid w:val="562F31EE"/>
    <w:rsid w:val="571406EC"/>
    <w:rsid w:val="58B10013"/>
    <w:rsid w:val="59924CB6"/>
    <w:rsid w:val="5B893C5E"/>
    <w:rsid w:val="5C5F5338"/>
    <w:rsid w:val="5E4C22F1"/>
    <w:rsid w:val="5E7D6F53"/>
    <w:rsid w:val="5E9E484A"/>
    <w:rsid w:val="61164C9A"/>
    <w:rsid w:val="61BA27D8"/>
    <w:rsid w:val="623A7BF5"/>
    <w:rsid w:val="63AA740A"/>
    <w:rsid w:val="63F93351"/>
    <w:rsid w:val="64836607"/>
    <w:rsid w:val="64A92425"/>
    <w:rsid w:val="6566675C"/>
    <w:rsid w:val="656960A7"/>
    <w:rsid w:val="657131FA"/>
    <w:rsid w:val="676F198B"/>
    <w:rsid w:val="67973CDE"/>
    <w:rsid w:val="67EB5C4D"/>
    <w:rsid w:val="685F1E70"/>
    <w:rsid w:val="689931E6"/>
    <w:rsid w:val="68AF296B"/>
    <w:rsid w:val="68CE783A"/>
    <w:rsid w:val="6A581E1B"/>
    <w:rsid w:val="6A831188"/>
    <w:rsid w:val="6ACF0A20"/>
    <w:rsid w:val="6BFFDACA"/>
    <w:rsid w:val="6C6658B0"/>
    <w:rsid w:val="6CE41B63"/>
    <w:rsid w:val="6DE6F923"/>
    <w:rsid w:val="6ED70751"/>
    <w:rsid w:val="709F6020"/>
    <w:rsid w:val="70E27414"/>
    <w:rsid w:val="731E50CD"/>
    <w:rsid w:val="73651791"/>
    <w:rsid w:val="7530523D"/>
    <w:rsid w:val="75E627F8"/>
    <w:rsid w:val="76432E15"/>
    <w:rsid w:val="77C45C42"/>
    <w:rsid w:val="7836409D"/>
    <w:rsid w:val="791D0C1E"/>
    <w:rsid w:val="79401FEE"/>
    <w:rsid w:val="797A6A67"/>
    <w:rsid w:val="79B43B2B"/>
    <w:rsid w:val="7ABACCDE"/>
    <w:rsid w:val="7B59528D"/>
    <w:rsid w:val="7C10356E"/>
    <w:rsid w:val="7C7F1AC0"/>
    <w:rsid w:val="7F454FCD"/>
    <w:rsid w:val="7F882DBB"/>
    <w:rsid w:val="7FFDC6FB"/>
    <w:rsid w:val="BAFF80E5"/>
    <w:rsid w:val="BDAFF3AA"/>
    <w:rsid w:val="DFB5EC39"/>
    <w:rsid w:val="E5DF7760"/>
    <w:rsid w:val="F5F2EC0A"/>
    <w:rsid w:val="F7E174D8"/>
    <w:rsid w:val="FCB2D2A5"/>
    <w:rsid w:val="FDAEEB7F"/>
    <w:rsid w:val="FE76BD4E"/>
    <w:rsid w:val="FFEED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50" w:line="360" w:lineRule="auto"/>
      <w:outlineLvl w:val="1"/>
    </w:pPr>
    <w:rPr>
      <w:rFonts w:ascii="Times New Roman" w:hAnsi="Times New Roman" w:eastAsia="宋体"/>
      <w:b/>
      <w:bCs/>
      <w:sz w:val="28"/>
      <w:szCs w:val="28"/>
    </w:rPr>
  </w:style>
  <w:style w:type="paragraph" w:styleId="3">
    <w:name w:val="heading 3"/>
    <w:basedOn w:val="1"/>
    <w:next w:val="1"/>
    <w:link w:val="19"/>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adjustRightInd w:val="0"/>
      <w:spacing w:line="360" w:lineRule="auto"/>
      <w:ind w:firstLine="510"/>
      <w:textAlignment w:val="baseline"/>
    </w:pPr>
    <w:rPr>
      <w:rFonts w:ascii="宋体" w:hAnsi="宋体"/>
      <w:snapToGrid w:val="0"/>
      <w:spacing w:val="4"/>
      <w:kern w:val="18"/>
      <w:sz w:val="24"/>
      <w:szCs w:val="26"/>
    </w:r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line="360" w:lineRule="auto"/>
      <w:ind w:firstLine="480" w:firstLineChars="200"/>
    </w:pPr>
    <w:rPr>
      <w:rFonts w:ascii="宋体" w:hAnsi="宋体"/>
      <w:color w:val="008000"/>
      <w:sz w:val="24"/>
    </w:rPr>
  </w:style>
  <w:style w:type="paragraph" w:styleId="8">
    <w:name w:val="header"/>
    <w:basedOn w:val="1"/>
    <w:next w:val="9"/>
    <w:qFormat/>
    <w:uiPriority w:val="0"/>
    <w:pPr>
      <w:tabs>
        <w:tab w:val="center" w:pos="4153"/>
        <w:tab w:val="right" w:pos="8306"/>
      </w:tabs>
      <w:snapToGrid w:val="0"/>
      <w:jc w:val="center"/>
    </w:pPr>
    <w:rPr>
      <w:rFonts w:ascii="宋体" w:hAnsi="宋体"/>
      <w:sz w:val="18"/>
      <w:szCs w:val="26"/>
    </w:rPr>
  </w:style>
  <w:style w:type="paragraph" w:customStyle="1" w:styleId="9">
    <w:name w:val="样式5"/>
    <w:basedOn w:val="10"/>
    <w:qFormat/>
    <w:uiPriority w:val="0"/>
    <w:pPr>
      <w:spacing w:line="380" w:lineRule="exact"/>
      <w:ind w:firstLine="566" w:firstLineChars="202"/>
    </w:pPr>
    <w:rPr>
      <w:rFonts w:eastAsia="华文行楷"/>
      <w:sz w:val="28"/>
    </w:rPr>
  </w:style>
  <w:style w:type="paragraph" w:customStyle="1" w:styleId="10">
    <w:name w:val="样式3"/>
    <w:basedOn w:val="11"/>
    <w:qFormat/>
    <w:uiPriority w:val="0"/>
    <w:pPr>
      <w:jc w:val="center"/>
    </w:pPr>
    <w:rPr>
      <w:rFonts w:hAnsi="黑体" w:eastAsia="黑体"/>
      <w:color w:val="000000"/>
    </w:rPr>
  </w:style>
  <w:style w:type="paragraph" w:styleId="11">
    <w:name w:val="List"/>
    <w:basedOn w:val="1"/>
    <w:qFormat/>
    <w:uiPriority w:val="0"/>
    <w:pPr>
      <w:ind w:left="200" w:hanging="200" w:hangingChars="200"/>
    </w:pPr>
    <w:rPr>
      <w:lang w:val="en-US" w:eastAsia="zh-CN"/>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next w:val="15"/>
    <w:unhideWhenUsed/>
    <w:qFormat/>
    <w:uiPriority w:val="99"/>
    <w:pPr>
      <w:widowControl/>
      <w:snapToGrid w:val="0"/>
      <w:spacing w:after="120" w:line="240" w:lineRule="auto"/>
      <w:ind w:firstLine="420" w:firstLineChars="100"/>
      <w:jc w:val="left"/>
    </w:pPr>
    <w:rPr>
      <w:rFonts w:ascii="Tahoma" w:hAnsi="Tahoma" w:eastAsia="微软雅黑"/>
      <w:kern w:val="0"/>
      <w:sz w:val="22"/>
      <w:szCs w:val="22"/>
    </w:rPr>
  </w:style>
  <w:style w:type="paragraph" w:styleId="15">
    <w:name w:val="Body Text First Indent 2"/>
    <w:basedOn w:val="7"/>
    <w:next w:val="14"/>
    <w:unhideWhenUsed/>
    <w:qFormat/>
    <w:uiPriority w:val="99"/>
    <w:pPr>
      <w:ind w:firstLine="200"/>
    </w:pPr>
  </w:style>
  <w:style w:type="paragraph" w:customStyle="1" w:styleId="18">
    <w:name w:val="样式4"/>
    <w:basedOn w:val="4"/>
    <w:qFormat/>
    <w:uiPriority w:val="0"/>
    <w:pPr>
      <w:widowControl/>
      <w:spacing w:before="0" w:after="0" w:line="360" w:lineRule="auto"/>
    </w:pPr>
    <w:rPr>
      <w:rFonts w:ascii="宋体" w:hAnsi="宋体"/>
      <w:b w:val="0"/>
      <w:kern w:val="0"/>
      <w:sz w:val="24"/>
      <w:szCs w:val="24"/>
    </w:rPr>
  </w:style>
  <w:style w:type="character" w:customStyle="1" w:styleId="19">
    <w:name w:val="标题 3 Char"/>
    <w:link w:val="3"/>
    <w:qFormat/>
    <w:uiPriority w:val="0"/>
    <w:rPr>
      <w:b/>
      <w:bCs/>
      <w:sz w:val="32"/>
      <w:szCs w:val="32"/>
    </w:rPr>
  </w:style>
  <w:style w:type="character" w:customStyle="1" w:styleId="20">
    <w:name w:val="页脚 Char"/>
    <w:basedOn w:val="17"/>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1489</Words>
  <Characters>1550</Characters>
  <Lines>1</Lines>
  <Paragraphs>2</Paragraphs>
  <TotalTime>10</TotalTime>
  <ScaleCrop>false</ScaleCrop>
  <LinksUpToDate>false</LinksUpToDate>
  <CharactersWithSpaces>1582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2018-12-30T18:50:00Z</dcterms:created>
  <dc:creator>Administrator</dc:creator>
  <cp:lastModifiedBy>liuni</cp:lastModifiedBy>
  <cp:lastPrinted>2025-07-31T00:54:00Z</cp:lastPrinted>
  <dcterms:modified xsi:type="dcterms:W3CDTF">2025-08-01T08:57:05Z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193E129CCD07F8F607D503665FF95B8A</vt:lpwstr>
  </property>
  <property fmtid="{D5CDD505-2E9C-101B-9397-08002B2CF9AE}" pid="4" name="KSOTemplateDocerSaveRecord">
    <vt:lpwstr>eyJoZGlkIjoiYjY4ZmZlMTJmODg1MjIwNmFmMjQyNTZmMmY3MGRkODAiLCJ1c2VySWQiOiIxNjA5MDUwMjkwIn0=</vt:lpwstr>
  </property>
</Properties>
</file>