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808C4">
      <w:pPr>
        <w:spacing w:before="48" w:line="264" w:lineRule="auto"/>
        <w:ind w:left="2905" w:right="457" w:hanging="2519"/>
        <w:jc w:val="center"/>
        <w:rPr>
          <w:rFonts w:hint="eastAsia" w:ascii="方正小标宋简体" w:hAnsi="方正小标宋简体" w:eastAsia="方正小标宋简体" w:cs="方正小标宋简体"/>
          <w:b w:val="0"/>
          <w:bCs w:val="0"/>
          <w:spacing w:val="-6"/>
          <w:sz w:val="44"/>
          <w:szCs w:val="44"/>
          <w:lang w:val="en-US" w:eastAsia="zh-CN"/>
        </w:rPr>
      </w:pPr>
      <w:bookmarkStart w:id="0" w:name="_GoBack"/>
      <w:r>
        <w:rPr>
          <w:rFonts w:hint="eastAsia" w:ascii="方正小标宋简体" w:hAnsi="方正小标宋简体" w:eastAsia="方正小标宋简体" w:cs="方正小标宋简体"/>
          <w:b w:val="0"/>
          <w:bCs w:val="0"/>
          <w:spacing w:val="-6"/>
          <w:sz w:val="44"/>
          <w:szCs w:val="44"/>
          <w:lang w:val="en-US" w:eastAsia="zh-CN"/>
        </w:rPr>
        <w:t>榆林市榆阳区农业农村局</w:t>
      </w:r>
    </w:p>
    <w:p w14:paraId="537221CF">
      <w:pPr>
        <w:spacing w:before="48" w:line="264" w:lineRule="auto"/>
        <w:ind w:right="457"/>
        <w:jc w:val="center"/>
        <w:rPr>
          <w:rFonts w:ascii="Arial"/>
          <w:sz w:val="21"/>
        </w:rPr>
      </w:pPr>
      <w:r>
        <w:rPr>
          <w:rFonts w:hint="eastAsia" w:ascii="方正小标宋简体" w:hAnsi="方正小标宋简体" w:eastAsia="方正小标宋简体" w:cs="方正小标宋简体"/>
          <w:b w:val="0"/>
          <w:bCs w:val="0"/>
          <w:spacing w:val="4"/>
          <w:sz w:val="44"/>
          <w:szCs w:val="44"/>
        </w:rPr>
        <w:t>关于印发</w:t>
      </w:r>
      <w:r>
        <w:rPr>
          <w:rFonts w:hint="eastAsia" w:ascii="方正小标宋简体" w:hAnsi="方正小标宋简体" w:eastAsia="方正小标宋简体" w:cs="方正小标宋简体"/>
          <w:b w:val="0"/>
          <w:bCs w:val="0"/>
          <w:spacing w:val="4"/>
          <w:sz w:val="44"/>
          <w:szCs w:val="44"/>
          <w:lang w:eastAsia="zh-CN"/>
        </w:rPr>
        <w:t>《</w:t>
      </w:r>
      <w:r>
        <w:rPr>
          <w:rFonts w:hint="eastAsia" w:ascii="方正小标宋简体" w:hAnsi="方正小标宋简体" w:eastAsia="方正小标宋简体" w:cs="方正小标宋简体"/>
          <w:b w:val="0"/>
          <w:bCs w:val="0"/>
          <w:spacing w:val="4"/>
          <w:sz w:val="44"/>
          <w:szCs w:val="44"/>
          <w:lang w:val="en-US" w:eastAsia="zh-CN"/>
        </w:rPr>
        <w:t>榆阳区</w:t>
      </w:r>
      <w:r>
        <w:rPr>
          <w:rFonts w:hint="eastAsia" w:ascii="方正小标宋简体" w:hAnsi="方正小标宋简体" w:eastAsia="方正小标宋简体" w:cs="方正小标宋简体"/>
          <w:b w:val="0"/>
          <w:bCs w:val="0"/>
          <w:spacing w:val="4"/>
          <w:sz w:val="44"/>
          <w:szCs w:val="44"/>
        </w:rPr>
        <w:t>2025年粮油生产保障资金</w:t>
      </w:r>
      <w:r>
        <w:rPr>
          <w:rFonts w:hint="eastAsia" w:ascii="方正小标宋简体" w:hAnsi="方正小标宋简体" w:eastAsia="方正小标宋简体" w:cs="方正小标宋简体"/>
          <w:b w:val="0"/>
          <w:bCs w:val="0"/>
          <w:spacing w:val="-9"/>
          <w:sz w:val="44"/>
          <w:szCs w:val="44"/>
        </w:rPr>
        <w:t>实施方案</w:t>
      </w:r>
      <w:r>
        <w:rPr>
          <w:rFonts w:hint="eastAsia" w:ascii="方正小标宋简体" w:hAnsi="方正小标宋简体" w:eastAsia="方正小标宋简体" w:cs="方正小标宋简体"/>
          <w:b w:val="0"/>
          <w:bCs w:val="0"/>
          <w:spacing w:val="4"/>
          <w:sz w:val="44"/>
          <w:szCs w:val="44"/>
          <w:lang w:eastAsia="zh-CN"/>
        </w:rPr>
        <w:t>》</w:t>
      </w:r>
      <w:r>
        <w:rPr>
          <w:rFonts w:hint="eastAsia" w:ascii="方正小标宋简体" w:hAnsi="方正小标宋简体" w:eastAsia="方正小标宋简体" w:cs="方正小标宋简体"/>
          <w:b w:val="0"/>
          <w:bCs w:val="0"/>
          <w:spacing w:val="-9"/>
          <w:sz w:val="44"/>
          <w:szCs w:val="44"/>
        </w:rPr>
        <w:t>的通知</w:t>
      </w:r>
      <w:bookmarkEnd w:id="0"/>
    </w:p>
    <w:p w14:paraId="2949FF6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105" w:leftChars="50" w:right="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w:t>
      </w:r>
      <w:r>
        <w:rPr>
          <w:rFonts w:hint="eastAsia" w:ascii="仿宋_GB2312" w:hAnsi="仿宋_GB2312" w:eastAsia="仿宋_GB2312" w:cs="仿宋_GB2312"/>
          <w:spacing w:val="0"/>
          <w:sz w:val="32"/>
          <w:szCs w:val="32"/>
          <w:lang w:val="en-US" w:eastAsia="zh-CN"/>
        </w:rPr>
        <w:t>乡镇（涉农办事处）、局属相关单位</w:t>
      </w:r>
      <w:r>
        <w:rPr>
          <w:rFonts w:hint="eastAsia" w:ascii="仿宋_GB2312" w:hAnsi="仿宋_GB2312" w:eastAsia="仿宋_GB2312" w:cs="仿宋_GB2312"/>
          <w:spacing w:val="0"/>
          <w:sz w:val="32"/>
          <w:szCs w:val="32"/>
        </w:rPr>
        <w:t>：</w:t>
      </w:r>
    </w:p>
    <w:p w14:paraId="794F5B5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根据《陕西省农业农村厅关于印发陕西省2025年粮油生产保障资金实施方案的通知》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陕农计财〔2025〕30号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文件</w:t>
      </w:r>
      <w:r>
        <w:rPr>
          <w:rFonts w:hint="eastAsia" w:ascii="仿宋_GB2312" w:hAnsi="仿宋_GB2312" w:eastAsia="仿宋_GB2312" w:cs="仿宋_GB2312"/>
          <w:spacing w:val="0"/>
          <w:sz w:val="32"/>
          <w:szCs w:val="32"/>
        </w:rPr>
        <w:t>要求，为做好我</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rPr>
        <w:t>2025年度农业粮油生产保障资金的组织实施，确</w:t>
      </w:r>
      <w:r>
        <w:rPr>
          <w:rFonts w:hint="eastAsia" w:ascii="仿宋_GB2312" w:hAnsi="仿宋_GB2312" w:eastAsia="仿宋_GB2312" w:cs="仿宋_GB2312"/>
          <w:spacing w:val="-6"/>
          <w:sz w:val="32"/>
          <w:szCs w:val="32"/>
        </w:rPr>
        <w:t>保政策有效落实，财政资金发挥效能，现就有关事项通知如下。</w:t>
      </w:r>
    </w:p>
    <w:p w14:paraId="3AF727C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黑体" w:hAnsi="黑体" w:eastAsia="黑体" w:cs="黑体"/>
          <w:b/>
          <w:bCs/>
          <w:spacing w:val="0"/>
          <w:sz w:val="32"/>
          <w:szCs w:val="32"/>
        </w:rPr>
      </w:pPr>
      <w:r>
        <w:rPr>
          <w:rFonts w:hint="eastAsia" w:ascii="黑体" w:hAnsi="黑体" w:eastAsia="黑体" w:cs="黑体"/>
          <w:b/>
          <w:bCs/>
          <w:spacing w:val="0"/>
          <w:sz w:val="32"/>
          <w:szCs w:val="32"/>
        </w:rPr>
        <w:t>一</w:t>
      </w:r>
      <w:r>
        <w:rPr>
          <w:rFonts w:hint="eastAsia" w:ascii="黑体" w:hAnsi="黑体" w:eastAsia="黑体" w:cs="黑体"/>
          <w:spacing w:val="0"/>
          <w:sz w:val="32"/>
          <w:szCs w:val="32"/>
          <w:lang w:eastAsia="zh-CN"/>
        </w:rPr>
        <w:t>、</w:t>
      </w:r>
      <w:r>
        <w:rPr>
          <w:rFonts w:hint="eastAsia" w:ascii="黑体" w:hAnsi="黑体" w:eastAsia="黑体" w:cs="黑体"/>
          <w:b/>
          <w:bCs/>
          <w:spacing w:val="0"/>
          <w:sz w:val="32"/>
          <w:szCs w:val="32"/>
        </w:rPr>
        <w:t>总体思路</w:t>
      </w:r>
    </w:p>
    <w:p w14:paraId="20E9D37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坚持以习近平新时代中国特色社会主义思想为指导，贯彻落实党中央、国务院关于“三农”工作的决策部署，锚定省委省政府推进乡村全面振兴、建设农业强国目标</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深入学习运用“千万工程”经验，坚持稳中求进、以进促稳、先立后破，强化政策引导，完善实施方式，加强全链条监管，提高资金使用效益，做到重点任务保障充分、重大项目落实有效，持续增陕农计财〔2025〕30号带农机制，推动乡村全面振兴不断取得新成效。</w:t>
      </w:r>
    </w:p>
    <w:p w14:paraId="75434DB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黑体" w:hAnsi="黑体" w:eastAsia="黑体" w:cs="黑体"/>
          <w:b/>
          <w:bCs/>
          <w:spacing w:val="0"/>
          <w:sz w:val="32"/>
          <w:szCs w:val="32"/>
        </w:rPr>
      </w:pPr>
      <w:r>
        <w:rPr>
          <w:rFonts w:hint="eastAsia" w:ascii="黑体" w:hAnsi="黑体" w:eastAsia="黑体" w:cs="黑体"/>
          <w:b/>
          <w:bCs/>
          <w:spacing w:val="0"/>
          <w:sz w:val="32"/>
          <w:szCs w:val="32"/>
        </w:rPr>
        <w:t>二</w:t>
      </w:r>
      <w:r>
        <w:rPr>
          <w:rFonts w:hint="eastAsia" w:ascii="黑体" w:hAnsi="黑体" w:eastAsia="黑体" w:cs="黑体"/>
          <w:b/>
          <w:bCs/>
          <w:spacing w:val="0"/>
          <w:sz w:val="32"/>
          <w:szCs w:val="32"/>
          <w:lang w:eastAsia="zh-CN"/>
        </w:rPr>
        <w:t>、</w:t>
      </w:r>
      <w:r>
        <w:rPr>
          <w:rFonts w:hint="eastAsia" w:ascii="黑体" w:hAnsi="黑体" w:eastAsia="黑体" w:cs="黑体"/>
          <w:b/>
          <w:bCs/>
          <w:spacing w:val="0"/>
          <w:sz w:val="32"/>
          <w:szCs w:val="32"/>
          <w:lang w:val="en-US" w:eastAsia="zh-CN"/>
        </w:rPr>
        <w:t>任务目标</w:t>
      </w:r>
    </w:p>
    <w:p w14:paraId="2064C35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本年度粮油生产保障资金重点支持粮油作物绿色高产高效行动等支出方向。</w:t>
      </w:r>
    </w:p>
    <w:p w14:paraId="12658D4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 w:hAnsi="楷体" w:eastAsia="楷体" w:cs="楷体"/>
          <w:spacing w:val="0"/>
          <w:sz w:val="32"/>
          <w:szCs w:val="32"/>
        </w:rPr>
      </w:pP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一</w:t>
      </w:r>
      <w:r>
        <w:rPr>
          <w:rFonts w:hint="eastAsia" w:ascii="楷体" w:hAnsi="楷体" w:eastAsia="楷体" w:cs="楷体"/>
          <w:spacing w:val="0"/>
          <w:sz w:val="32"/>
          <w:szCs w:val="32"/>
          <w:lang w:eastAsia="zh-CN"/>
        </w:rPr>
        <w:t>）</w:t>
      </w:r>
      <w:r>
        <w:rPr>
          <w:rFonts w:hint="eastAsia" w:ascii="楷体" w:hAnsi="楷体" w:eastAsia="楷体" w:cs="楷体"/>
          <w:spacing w:val="0"/>
          <w:sz w:val="32"/>
          <w:szCs w:val="32"/>
        </w:rPr>
        <w:t>建设内容</w:t>
      </w:r>
    </w:p>
    <w:p w14:paraId="292C40B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加快良田、良种、良法、良机系统集成，重点围绕合理密植、精细整地、精准播种、水肥高效利用等关键增产措施，因地制宜组装综合技术方案，加强新品种、新技术、新装备应用，构建周年协同高产模式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辐射带动大面积均衡增产和效益提升。</w:t>
      </w:r>
    </w:p>
    <w:p w14:paraId="4186356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围绕</w:t>
      </w:r>
      <w:r>
        <w:rPr>
          <w:rFonts w:hint="eastAsia" w:ascii="仿宋_GB2312" w:hAnsi="仿宋_GB2312" w:eastAsia="仿宋_GB2312" w:cs="仿宋_GB2312"/>
          <w:spacing w:val="0"/>
          <w:sz w:val="32"/>
          <w:szCs w:val="32"/>
          <w:lang w:val="en-US" w:eastAsia="zh-CN"/>
        </w:rPr>
        <w:t>玉米、马铃薯、</w:t>
      </w:r>
      <w:r>
        <w:rPr>
          <w:rFonts w:hint="eastAsia" w:ascii="仿宋_GB2312" w:hAnsi="仿宋_GB2312" w:eastAsia="仿宋_GB2312" w:cs="仿宋_GB2312"/>
          <w:spacing w:val="0"/>
          <w:sz w:val="32"/>
          <w:szCs w:val="32"/>
        </w:rPr>
        <w:t>兼顾水稻、杂粮等重要粮油作物，加强关键技术与全程机械化技术的应用，建设具有辐射带动效用的百亩田、千亩方、万亩片，推进整县大面积单产提升，项目区力争实现亩产比当地平均水平高5%以上。</w:t>
      </w:r>
    </w:p>
    <w:p w14:paraId="68C7960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（二）补助对象及标准</w:t>
      </w:r>
    </w:p>
    <w:p w14:paraId="56BA635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项目补助对象为“有基础、想干事、能成事、有影响”的粮油新型经营主体。</w:t>
      </w:r>
    </w:p>
    <w:p w14:paraId="21049AC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玉米</w:t>
      </w:r>
      <w:r>
        <w:rPr>
          <w:rFonts w:hint="eastAsia" w:ascii="仿宋_GB2312" w:hAnsi="仿宋_GB2312" w:eastAsia="仿宋_GB2312" w:cs="仿宋_GB2312"/>
          <w:spacing w:val="0"/>
          <w:sz w:val="32"/>
          <w:szCs w:val="32"/>
        </w:rPr>
        <w:t>打造5个百亩田、4个千亩方、1个万亩片，辐射带动2万亩以上；马铃薯打造8个百亩田、4个千亩方，辐射带动1万亩以</w:t>
      </w:r>
      <w:r>
        <w:rPr>
          <w:rFonts w:hint="eastAsia" w:ascii="仿宋_GB2312" w:hAnsi="仿宋_GB2312" w:eastAsia="仿宋_GB2312" w:cs="仿宋_GB2312"/>
          <w:spacing w:val="0"/>
          <w:sz w:val="32"/>
          <w:szCs w:val="32"/>
          <w:lang w:eastAsia="zh-CN"/>
        </w:rPr>
        <w:t>上</w:t>
      </w:r>
      <w:r>
        <w:rPr>
          <w:rFonts w:hint="eastAsia" w:ascii="仿宋_GB2312" w:hAnsi="仿宋_GB2312" w:eastAsia="仿宋_GB2312" w:cs="仿宋_GB2312"/>
          <w:spacing w:val="0"/>
          <w:sz w:val="32"/>
          <w:szCs w:val="32"/>
        </w:rPr>
        <w:t>。</w:t>
      </w:r>
    </w:p>
    <w:p w14:paraId="479201D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玉米百亩田亩均补助不超过200元，千亩方亩均补助不超过100元，万亩片亩均补助不超过50元，辐射带动亩均补助不超过10元执行；马铃薯百亩田亩均补助不超过250元，千亩方亩均补助不超过200元，辐射带动亩均补助不超过30元执行。</w:t>
      </w:r>
    </w:p>
    <w:p w14:paraId="24841E0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（三）资金支持环节</w:t>
      </w:r>
    </w:p>
    <w:p w14:paraId="7F34A17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资金对粮油作物单产提升、节本增效、标准化种植、设施改造提升等关键环节予以补助，包括粮油作物统一供种、统一农资、统一技术、统一管理等所需的物化补助和作业补助，补助不与农机购置与应用补贴、现代农业设施装备建设、粮油经营主体单产能力提升等在相同环节内容叠加补助，不与中央预算内</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其他中央财政转移支付、省级粮油绿色提单产等项目在同一地块叠加实施。</w:t>
      </w:r>
    </w:p>
    <w:p w14:paraId="72F5182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en-US" w:bidi="ar-SA"/>
        </w:rPr>
        <w:t>结合本区域作物类型和单产提升需求，建设1个试验示范技术集成核心展示区，开展技术攻关试验展示，其中玉米不少于500亩，马铃薯不少于200亩。核心展示区要围绕“三主融合”</w:t>
      </w: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集成一套可复制、可推广、标准化的技术模式，为促进大面积提质增效提供技术支撑。</w:t>
      </w:r>
    </w:p>
    <w:p w14:paraId="211142B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黑体" w:hAnsi="黑体" w:eastAsia="黑体" w:cs="黑体"/>
          <w:b/>
          <w:bCs/>
          <w:spacing w:val="0"/>
          <w:sz w:val="32"/>
          <w:szCs w:val="32"/>
          <w:lang w:val="en-US" w:eastAsia="zh-CN"/>
        </w:rPr>
      </w:pPr>
      <w:r>
        <w:rPr>
          <w:rFonts w:hint="eastAsia" w:ascii="黑体" w:hAnsi="黑体" w:eastAsia="黑体" w:cs="黑体"/>
          <w:b/>
          <w:bCs/>
          <w:spacing w:val="0"/>
          <w:sz w:val="32"/>
          <w:szCs w:val="32"/>
          <w:lang w:val="en-US" w:eastAsia="en-US"/>
        </w:rPr>
        <w:t>三</w:t>
      </w:r>
      <w:r>
        <w:rPr>
          <w:rFonts w:hint="eastAsia" w:ascii="黑体" w:hAnsi="黑体" w:eastAsia="黑体" w:cs="黑体"/>
          <w:b/>
          <w:bCs/>
          <w:spacing w:val="0"/>
          <w:sz w:val="32"/>
          <w:szCs w:val="32"/>
          <w:lang w:val="en-US" w:eastAsia="zh-CN"/>
        </w:rPr>
        <w:t>、工作措施</w:t>
      </w:r>
    </w:p>
    <w:p w14:paraId="7CDE399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pacing w:val="0"/>
          <w:sz w:val="32"/>
          <w:szCs w:val="32"/>
          <w:lang w:val="en-US" w:eastAsia="en-US"/>
        </w:rPr>
      </w:pPr>
      <w:r>
        <w:rPr>
          <w:rFonts w:hint="eastAsia" w:ascii="楷体" w:hAnsi="楷体" w:eastAsia="楷体" w:cs="楷体"/>
          <w:snapToGrid w:val="0"/>
          <w:color w:val="000000"/>
          <w:spacing w:val="0"/>
          <w:kern w:val="0"/>
          <w:sz w:val="32"/>
          <w:szCs w:val="32"/>
          <w:lang w:val="en-US" w:eastAsia="zh-CN" w:bidi="ar-SA"/>
        </w:rPr>
        <w:t>（一）加强政策公开。</w:t>
      </w:r>
      <w:r>
        <w:rPr>
          <w:rFonts w:hint="eastAsia" w:ascii="仿宋_GB2312" w:hAnsi="仿宋_GB2312" w:eastAsia="仿宋_GB2312" w:cs="仿宋_GB2312"/>
          <w:spacing w:val="0"/>
          <w:sz w:val="32"/>
          <w:szCs w:val="32"/>
          <w:lang w:val="en-US" w:eastAsia="en-US"/>
        </w:rPr>
        <w:t>建立健全财政支农政策公开制度，明确项目资金申报、审核、公开、公示、发放等各环节的</w:t>
      </w:r>
      <w:r>
        <w:rPr>
          <w:rFonts w:hint="eastAsia" w:ascii="仿宋_GB2312" w:hAnsi="仿宋_GB2312" w:cs="仿宋_GB2312"/>
          <w:spacing w:val="0"/>
          <w:sz w:val="32"/>
          <w:szCs w:val="32"/>
          <w:lang w:val="en-US" w:eastAsia="zh-CN"/>
        </w:rPr>
        <w:t>操作</w:t>
      </w:r>
      <w:r>
        <w:rPr>
          <w:rFonts w:hint="eastAsia" w:ascii="仿宋_GB2312" w:hAnsi="仿宋_GB2312" w:eastAsia="仿宋_GB2312" w:cs="仿宋_GB2312"/>
          <w:spacing w:val="0"/>
          <w:sz w:val="32"/>
          <w:szCs w:val="32"/>
          <w:lang w:val="en-US" w:eastAsia="en-US"/>
        </w:rPr>
        <w:t>规范，具体政策与实施方案在门户网站对社会公开，并积极采取编印政策“明白纸”等方式，公布和解读财政支农“一揽子”政策，强化多种方式的信息公开。要加强惠农补贴资金发放管理，按规定做好拟补助信息等公开公示工作。通过多种渠道宣传解读政策，努力营造利于政策落实的良好氛围。</w:t>
      </w:r>
    </w:p>
    <w:p w14:paraId="584695D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pacing w:val="0"/>
          <w:sz w:val="32"/>
          <w:szCs w:val="32"/>
          <w:lang w:val="en-US" w:eastAsia="en-US"/>
        </w:rPr>
      </w:pPr>
      <w:r>
        <w:rPr>
          <w:rFonts w:hint="eastAsia" w:ascii="楷体" w:hAnsi="楷体" w:eastAsia="楷体" w:cs="楷体"/>
          <w:snapToGrid w:val="0"/>
          <w:color w:val="000000"/>
          <w:spacing w:val="0"/>
          <w:kern w:val="0"/>
          <w:sz w:val="32"/>
          <w:szCs w:val="32"/>
          <w:lang w:val="en-US" w:eastAsia="zh-CN" w:bidi="ar-SA"/>
        </w:rPr>
        <w:t>（二）</w:t>
      </w:r>
      <w:r>
        <w:rPr>
          <w:rFonts w:hint="eastAsia" w:ascii="楷体" w:hAnsi="楷体" w:eastAsia="楷体" w:cs="楷体"/>
          <w:snapToGrid w:val="0"/>
          <w:color w:val="000000"/>
          <w:spacing w:val="0"/>
          <w:kern w:val="0"/>
          <w:sz w:val="32"/>
          <w:szCs w:val="32"/>
          <w:lang w:val="en-US" w:eastAsia="en-US" w:bidi="ar-SA"/>
        </w:rPr>
        <w:t>强化绩效管理。</w:t>
      </w:r>
      <w:r>
        <w:rPr>
          <w:rFonts w:hint="eastAsia" w:ascii="仿宋_GB2312" w:hAnsi="仿宋_GB2312" w:eastAsia="仿宋_GB2312" w:cs="仿宋_GB2312"/>
          <w:spacing w:val="0"/>
          <w:sz w:val="32"/>
          <w:szCs w:val="32"/>
          <w:lang w:val="en-US" w:eastAsia="en-US"/>
        </w:rPr>
        <w:t>加快项目组织实施与资金支出</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en-US"/>
        </w:rPr>
        <w:t>确保发挥财政资金效能。按照统筹协调和业务归口的分工做好全过程管理和绩效相关工作，采取“项目自评+实地评价”等方式切实抓好项目落实，逐级督促指导规范高效使用转移支付资金，按时限按要求做好区域内的绩效工作</w:t>
      </w:r>
      <w:r>
        <w:rPr>
          <w:rFonts w:hint="eastAsia" w:ascii="仿宋_GB2312" w:hAnsi="仿宋_GB2312" w:eastAsia="仿宋_GB2312" w:cs="仿宋_GB2312"/>
          <w:spacing w:val="0"/>
          <w:sz w:val="32"/>
          <w:szCs w:val="32"/>
          <w:lang w:val="en-US" w:eastAsia="zh-CN"/>
        </w:rPr>
        <w:t>。</w:t>
      </w:r>
    </w:p>
    <w:p w14:paraId="5349E8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pacing w:val="0"/>
          <w:sz w:val="32"/>
          <w:szCs w:val="32"/>
          <w:lang w:val="en-US" w:eastAsia="en-US"/>
        </w:rPr>
      </w:pPr>
      <w:r>
        <w:rPr>
          <w:rFonts w:hint="eastAsia" w:ascii="楷体" w:hAnsi="楷体" w:eastAsia="楷体" w:cs="楷体"/>
          <w:snapToGrid w:val="0"/>
          <w:color w:val="000000"/>
          <w:spacing w:val="0"/>
          <w:kern w:val="0"/>
          <w:sz w:val="32"/>
          <w:szCs w:val="32"/>
          <w:lang w:val="en-US" w:eastAsia="zh-CN" w:bidi="ar-SA"/>
        </w:rPr>
        <w:t>（三）</w:t>
      </w:r>
      <w:r>
        <w:rPr>
          <w:rFonts w:hint="eastAsia" w:ascii="楷体" w:hAnsi="楷体" w:eastAsia="楷体" w:cs="楷体"/>
          <w:snapToGrid w:val="0"/>
          <w:color w:val="000000"/>
          <w:spacing w:val="0"/>
          <w:kern w:val="0"/>
          <w:sz w:val="32"/>
          <w:szCs w:val="32"/>
          <w:lang w:val="en-US" w:eastAsia="en-US" w:bidi="ar-SA"/>
        </w:rPr>
        <w:t>严格预算执行。</w:t>
      </w:r>
      <w:r>
        <w:rPr>
          <w:rFonts w:hint="eastAsia" w:ascii="仿宋_GB2312" w:hAnsi="仿宋_GB2312" w:eastAsia="仿宋_GB2312" w:cs="仿宋_GB2312"/>
          <w:spacing w:val="0"/>
          <w:sz w:val="32"/>
          <w:szCs w:val="32"/>
          <w:lang w:val="en-US" w:eastAsia="en-US"/>
        </w:rPr>
        <w:t>严格遵守财政支农资金兑付有关时限要求，建立健全资金执行定期调度机制，动态掌握资金使用情况，切实加快预算执行进度。</w:t>
      </w:r>
      <w:r>
        <w:rPr>
          <w:rFonts w:hint="eastAsia" w:ascii="仿宋_GB2312" w:hAnsi="仿宋_GB2312" w:eastAsia="仿宋_GB2312" w:cs="仿宋_GB2312"/>
          <w:spacing w:val="0"/>
          <w:sz w:val="32"/>
          <w:szCs w:val="32"/>
          <w:lang w:val="en-US" w:eastAsia="zh-CN"/>
        </w:rPr>
        <w:t>项目</w:t>
      </w:r>
      <w:r>
        <w:rPr>
          <w:rFonts w:hint="eastAsia" w:ascii="仿宋_GB2312" w:hAnsi="仿宋_GB2312" w:eastAsia="仿宋_GB2312" w:cs="仿宋_GB2312"/>
          <w:spacing w:val="0"/>
          <w:sz w:val="32"/>
          <w:szCs w:val="32"/>
          <w:lang w:val="en-US" w:eastAsia="en-US"/>
        </w:rPr>
        <w:t>完成实施且符合资金兑付条件的，及时履行相关程序、足额兑付资金。预算执行情况将直接与下年度项目指标安排、资金测算分配相挂钩，强化激励约束导向作用。</w:t>
      </w:r>
    </w:p>
    <w:p w14:paraId="4FB0E63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pacing w:val="0"/>
          <w:sz w:val="32"/>
          <w:szCs w:val="32"/>
          <w:lang w:val="en-US" w:eastAsia="en-US"/>
        </w:rPr>
      </w:pPr>
      <w:r>
        <w:rPr>
          <w:rFonts w:hint="eastAsia" w:ascii="楷体" w:hAnsi="楷体" w:eastAsia="楷体" w:cs="楷体"/>
          <w:snapToGrid w:val="0"/>
          <w:color w:val="000000"/>
          <w:spacing w:val="0"/>
          <w:kern w:val="0"/>
          <w:sz w:val="32"/>
          <w:szCs w:val="32"/>
          <w:lang w:val="en-US" w:eastAsia="zh-CN" w:bidi="ar-SA"/>
        </w:rPr>
        <w:t>（四）</w:t>
      </w:r>
      <w:r>
        <w:rPr>
          <w:rFonts w:hint="eastAsia" w:ascii="楷体" w:hAnsi="楷体" w:eastAsia="楷体" w:cs="楷体"/>
          <w:snapToGrid w:val="0"/>
          <w:color w:val="000000"/>
          <w:spacing w:val="0"/>
          <w:kern w:val="0"/>
          <w:sz w:val="32"/>
          <w:szCs w:val="32"/>
          <w:lang w:val="en-US" w:eastAsia="en-US" w:bidi="ar-SA"/>
        </w:rPr>
        <w:t>加强监督检查。</w:t>
      </w:r>
      <w:r>
        <w:rPr>
          <w:rFonts w:hint="eastAsia" w:ascii="仿宋_GB2312" w:hAnsi="仿宋_GB2312" w:eastAsia="仿宋_GB2312" w:cs="仿宋_GB2312"/>
          <w:spacing w:val="0"/>
          <w:sz w:val="32"/>
          <w:szCs w:val="32"/>
          <w:lang w:val="en-US" w:eastAsia="en-US"/>
        </w:rPr>
        <w:t>按照中共中央办公厅、国务院办公厅《关于进一步加强财会监督工作的意见》等文件要求，梳理排查</w:t>
      </w:r>
      <w:r>
        <w:rPr>
          <w:rFonts w:hint="eastAsia" w:ascii="仿宋_GB2312" w:hAnsi="仿宋_GB2312" w:eastAsia="仿宋_GB2312" w:cs="仿宋_GB2312"/>
          <w:spacing w:val="0"/>
          <w:sz w:val="32"/>
          <w:szCs w:val="32"/>
          <w:lang w:val="en-US" w:eastAsia="zh-CN"/>
        </w:rPr>
        <w:t>项目</w:t>
      </w:r>
      <w:r>
        <w:rPr>
          <w:rFonts w:hint="eastAsia" w:ascii="仿宋_GB2312" w:hAnsi="仿宋_GB2312" w:eastAsia="仿宋_GB2312" w:cs="仿宋_GB2312"/>
          <w:spacing w:val="0"/>
          <w:sz w:val="32"/>
          <w:szCs w:val="32"/>
          <w:lang w:val="en-US" w:eastAsia="en-US"/>
        </w:rPr>
        <w:t>资金分配使用中的问题和漏洞，严禁以拨代支、挤占挪用、虚报冒领，严肃查处相关违规违纪违法行为。构建完善相关项目资金管理制度体系，制定完善各关键环节具体规程办法，形成全链条制度体系闭环。根据项目特点和管理要求，明确管理目标、关键举措、时间进度，加强项目组织实施和进展调度，通过农业农村部转移支付管理平台及时据实上报资金执行情况，相关项目实施总结报告应于2026年1月10日前报送省农业农村厅。</w:t>
      </w:r>
    </w:p>
    <w:p w14:paraId="2715698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i w:val="0"/>
          <w:iCs w:val="0"/>
          <w:color w:val="000000"/>
          <w:spacing w:val="0"/>
          <w:kern w:val="0"/>
          <w:sz w:val="32"/>
          <w:szCs w:val="32"/>
          <w:u w:val="none"/>
          <w:lang w:val="en-US" w:eastAsia="zh-CN" w:bidi="ar"/>
        </w:rPr>
      </w:pPr>
      <w:r>
        <w:rPr>
          <w:rFonts w:hint="eastAsia" w:ascii="仿宋_GB2312" w:hAnsi="仿宋_GB2312" w:eastAsia="仿宋_GB2312" w:cs="仿宋_GB2312"/>
          <w:spacing w:val="0"/>
          <w:sz w:val="32"/>
          <w:szCs w:val="32"/>
          <w:lang w:eastAsia="zh-CN"/>
        </w:rPr>
        <w:t>附件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榆阳区</w:t>
      </w:r>
      <w:r>
        <w:rPr>
          <w:rFonts w:hint="eastAsia" w:ascii="仿宋_GB2312" w:hAnsi="仿宋_GB2312" w:eastAsia="仿宋_GB2312" w:cs="仿宋_GB2312"/>
          <w:spacing w:val="0"/>
          <w:sz w:val="32"/>
          <w:szCs w:val="32"/>
        </w:rPr>
        <w:t>粮油作物绿色高产高效</w:t>
      </w:r>
      <w:r>
        <w:rPr>
          <w:rFonts w:hint="eastAsia" w:ascii="仿宋_GB2312" w:hAnsi="仿宋_GB2312" w:eastAsia="仿宋_GB2312" w:cs="仿宋_GB2312"/>
          <w:spacing w:val="0"/>
          <w:sz w:val="32"/>
          <w:szCs w:val="32"/>
          <w:lang w:val="en-US" w:eastAsia="zh-CN"/>
        </w:rPr>
        <w:t>项目实施计划</w:t>
      </w:r>
      <w:r>
        <w:rPr>
          <w:rFonts w:hint="eastAsia" w:ascii="仿宋_GB2312" w:hAnsi="仿宋_GB2312" w:eastAsia="仿宋_GB2312" w:cs="仿宋_GB2312"/>
          <w:spacing w:val="0"/>
          <w:sz w:val="32"/>
          <w:szCs w:val="32"/>
        </w:rPr>
        <w:t>表</w:t>
      </w:r>
    </w:p>
    <w:p w14:paraId="6077058D">
      <w:pPr>
        <w:keepNext w:val="0"/>
        <w:keepLines w:val="0"/>
        <w:pageBreakBefore w:val="0"/>
        <w:widowControl w:val="0"/>
        <w:kinsoku/>
        <w:wordWrap/>
        <w:overflowPunct w:val="0"/>
        <w:topLinePunct/>
        <w:autoSpaceDE/>
        <w:autoSpaceDN w:val="0"/>
        <w:bidi w:val="0"/>
        <w:adjustRightInd/>
        <w:snapToGrid/>
        <w:spacing w:line="560" w:lineRule="exact"/>
        <w:ind w:left="0"/>
        <w:jc w:val="both"/>
        <w:textAlignment w:val="auto"/>
        <w:rPr>
          <w:rFonts w:hint="eastAsia" w:ascii="仿宋_GB2312" w:hAnsi="仿宋_GB2312" w:eastAsia="仿宋_GB2312" w:cs="仿宋_GB2312"/>
          <w:i w:val="0"/>
          <w:iCs w:val="0"/>
          <w:color w:val="000000"/>
          <w:spacing w:val="0"/>
          <w:kern w:val="0"/>
          <w:sz w:val="32"/>
          <w:szCs w:val="32"/>
          <w:u w:val="none"/>
          <w:lang w:val="en-US" w:eastAsia="zh-CN" w:bidi="ar"/>
        </w:rPr>
      </w:pPr>
    </w:p>
    <w:p w14:paraId="295134BA">
      <w:pPr>
        <w:keepNext w:val="0"/>
        <w:keepLines w:val="0"/>
        <w:pageBreakBefore w:val="0"/>
        <w:widowControl w:val="0"/>
        <w:kinsoku/>
        <w:wordWrap/>
        <w:overflowPunct w:val="0"/>
        <w:topLinePunct/>
        <w:autoSpaceDE/>
        <w:autoSpaceDN w:val="0"/>
        <w:bidi w:val="0"/>
        <w:adjustRightInd/>
        <w:snapToGrid/>
        <w:spacing w:line="560" w:lineRule="exact"/>
        <w:ind w:left="0"/>
        <w:jc w:val="both"/>
        <w:textAlignment w:val="auto"/>
        <w:rPr>
          <w:rFonts w:hint="eastAsia" w:ascii="仿宋_GB2312" w:hAnsi="仿宋_GB2312" w:eastAsia="仿宋_GB2312" w:cs="仿宋_GB2312"/>
          <w:i w:val="0"/>
          <w:iCs w:val="0"/>
          <w:color w:val="000000"/>
          <w:spacing w:val="0"/>
          <w:kern w:val="0"/>
          <w:sz w:val="32"/>
          <w:szCs w:val="32"/>
          <w:u w:val="none"/>
          <w:lang w:val="en-US" w:eastAsia="zh-CN" w:bidi="ar"/>
        </w:rPr>
      </w:pPr>
    </w:p>
    <w:p w14:paraId="13580A03">
      <w:pPr>
        <w:keepNext w:val="0"/>
        <w:keepLines w:val="0"/>
        <w:pageBreakBefore w:val="0"/>
        <w:widowControl w:val="0"/>
        <w:kinsoku/>
        <w:wordWrap/>
        <w:overflowPunct w:val="0"/>
        <w:topLinePunct/>
        <w:autoSpaceDE/>
        <w:autoSpaceDN w:val="0"/>
        <w:bidi w:val="0"/>
        <w:adjustRightInd/>
        <w:snapToGrid/>
        <w:spacing w:line="560" w:lineRule="exact"/>
        <w:ind w:left="0"/>
        <w:jc w:val="right"/>
        <w:textAlignment w:val="auto"/>
        <w:rPr>
          <w:rFonts w:hint="eastAsia" w:ascii="仿宋_GB2312" w:hAnsi="仿宋_GB2312" w:eastAsia="仿宋_GB2312" w:cs="仿宋_GB2312"/>
          <w:i w:val="0"/>
          <w:iCs w:val="0"/>
          <w:color w:val="000000"/>
          <w:spacing w:val="0"/>
          <w:kern w:val="0"/>
          <w:sz w:val="32"/>
          <w:szCs w:val="32"/>
          <w:u w:val="none"/>
          <w:lang w:val="en-US" w:eastAsia="zh-CN" w:bidi="ar"/>
        </w:rPr>
      </w:pPr>
      <w:r>
        <w:rPr>
          <w:rFonts w:hint="eastAsia" w:ascii="仿宋_GB2312" w:hAnsi="仿宋_GB2312" w:eastAsia="仿宋_GB2312" w:cs="仿宋_GB2312"/>
          <w:i w:val="0"/>
          <w:iCs w:val="0"/>
          <w:color w:val="000000"/>
          <w:spacing w:val="0"/>
          <w:kern w:val="0"/>
          <w:sz w:val="32"/>
          <w:szCs w:val="32"/>
          <w:u w:val="none"/>
          <w:lang w:val="en-US" w:eastAsia="zh-CN" w:bidi="ar"/>
        </w:rPr>
        <w:t>榆林市榆阳区农业农村局</w:t>
      </w:r>
    </w:p>
    <w:p w14:paraId="12071F84">
      <w:pPr>
        <w:keepNext w:val="0"/>
        <w:keepLines w:val="0"/>
        <w:pageBreakBefore w:val="0"/>
        <w:widowControl w:val="0"/>
        <w:kinsoku/>
        <w:wordWrap/>
        <w:overflowPunct w:val="0"/>
        <w:topLinePunct/>
        <w:autoSpaceDE/>
        <w:autoSpaceDN w:val="0"/>
        <w:bidi w:val="0"/>
        <w:adjustRightInd/>
        <w:snapToGrid/>
        <w:spacing w:line="560" w:lineRule="exact"/>
        <w:ind w:left="0"/>
        <w:jc w:val="both"/>
        <w:textAlignment w:val="auto"/>
        <w:rPr>
          <w:rFonts w:hint="eastAsia" w:ascii="仿宋_GB2312" w:hAnsi="仿宋_GB2312" w:eastAsia="仿宋_GB2312" w:cs="仿宋_GB2312"/>
          <w:i w:val="0"/>
          <w:iCs w:val="0"/>
          <w:color w:val="000000"/>
          <w:spacing w:val="0"/>
          <w:kern w:val="0"/>
          <w:sz w:val="32"/>
          <w:szCs w:val="32"/>
          <w:u w:val="none"/>
          <w:lang w:val="en-US" w:eastAsia="zh-CN" w:bidi="ar"/>
        </w:rPr>
      </w:pPr>
      <w:r>
        <w:rPr>
          <w:rFonts w:hint="eastAsia" w:ascii="仿宋_GB2312" w:hAnsi="仿宋_GB2312" w:eastAsia="仿宋_GB2312" w:cs="仿宋_GB2312"/>
          <w:i w:val="0"/>
          <w:iCs w:val="0"/>
          <w:color w:val="000000"/>
          <w:spacing w:val="0"/>
          <w:kern w:val="0"/>
          <w:sz w:val="32"/>
          <w:szCs w:val="32"/>
          <w:u w:val="none"/>
          <w:lang w:val="en-US" w:eastAsia="zh-CN" w:bidi="ar"/>
        </w:rPr>
        <w:t xml:space="preserve">                                      2025年7月7日</w:t>
      </w:r>
    </w:p>
    <w:p w14:paraId="54A3370B">
      <w:pPr>
        <w:keepNext w:val="0"/>
        <w:keepLines w:val="0"/>
        <w:pageBreakBefore w:val="0"/>
        <w:widowControl w:val="0"/>
        <w:kinsoku/>
        <w:wordWrap/>
        <w:overflowPunct w:val="0"/>
        <w:topLinePunct/>
        <w:autoSpaceDE/>
        <w:autoSpaceDN w:val="0"/>
        <w:bidi w:val="0"/>
        <w:adjustRightInd/>
        <w:snapToGrid/>
        <w:spacing w:line="560" w:lineRule="exact"/>
        <w:ind w:left="0"/>
        <w:jc w:val="both"/>
        <w:textAlignment w:val="auto"/>
        <w:rPr>
          <w:rFonts w:hint="eastAsia" w:ascii="仿宋_GB2312" w:hAnsi="仿宋_GB2312" w:eastAsia="仿宋_GB2312" w:cs="仿宋_GB2312"/>
          <w:i w:val="0"/>
          <w:iCs w:val="0"/>
          <w:color w:val="000000"/>
          <w:spacing w:val="0"/>
          <w:kern w:val="0"/>
          <w:sz w:val="32"/>
          <w:szCs w:val="32"/>
          <w:u w:val="none"/>
          <w:lang w:val="en-US" w:eastAsia="zh-CN" w:bidi="ar"/>
        </w:rPr>
        <w:sectPr>
          <w:footerReference r:id="rId5" w:type="default"/>
          <w:pgSz w:w="11900" w:h="16820"/>
          <w:pgMar w:top="1429" w:right="1709" w:bottom="1411" w:left="1529" w:header="0" w:footer="1059" w:gutter="0"/>
          <w:pgNumType w:fmt="decimal"/>
          <w:cols w:space="720" w:num="1"/>
        </w:sectPr>
      </w:pPr>
    </w:p>
    <w:p w14:paraId="6475A0F6">
      <w:pPr>
        <w:keepNext w:val="0"/>
        <w:keepLines w:val="0"/>
        <w:pageBreakBefore w:val="0"/>
        <w:widowControl w:val="0"/>
        <w:kinsoku/>
        <w:wordWrap/>
        <w:overflowPunct w:val="0"/>
        <w:topLinePunct/>
        <w:autoSpaceDE/>
        <w:autoSpaceDN w:val="0"/>
        <w:bidi w:val="0"/>
        <w:adjustRightInd/>
        <w:snapToGrid/>
        <w:spacing w:line="660" w:lineRule="exact"/>
        <w:jc w:val="left"/>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附件：</w:t>
      </w:r>
    </w:p>
    <w:p w14:paraId="672D3F51">
      <w:pPr>
        <w:keepNext w:val="0"/>
        <w:keepLines w:val="0"/>
        <w:pageBreakBefore w:val="0"/>
        <w:widowControl w:val="0"/>
        <w:kinsoku/>
        <w:wordWrap/>
        <w:overflowPunct w:val="0"/>
        <w:topLinePunct/>
        <w:autoSpaceDE/>
        <w:autoSpaceDN w:val="0"/>
        <w:bidi w:val="0"/>
        <w:adjustRightInd/>
        <w:snapToGrid/>
        <w:spacing w:line="66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榆阳区粮油作物绿色高产高效项目实施计划表</w:t>
      </w:r>
    </w:p>
    <w:p w14:paraId="66D12B28">
      <w:pPr>
        <w:pStyle w:val="2"/>
        <w:jc w:val="right"/>
        <w:rPr>
          <w:rFonts w:hint="eastAsia" w:ascii="仿宋" w:hAnsi="仿宋" w:eastAsia="仿宋" w:cs="仿宋"/>
          <w:sz w:val="24"/>
          <w:szCs w:val="24"/>
          <w:lang w:val="en-US" w:eastAsia="zh-CN"/>
        </w:rPr>
      </w:pPr>
      <w:r>
        <w:rPr>
          <w:rFonts w:hint="eastAsia" w:ascii="仿宋" w:hAnsi="仿宋" w:eastAsia="仿宋" w:cs="仿宋"/>
          <w:b w:val="0"/>
          <w:bCs w:val="0"/>
          <w:i w:val="0"/>
          <w:iCs w:val="0"/>
          <w:color w:val="000000"/>
          <w:kern w:val="0"/>
          <w:sz w:val="24"/>
          <w:szCs w:val="24"/>
          <w:u w:val="none"/>
          <w:lang w:val="en-US" w:eastAsia="zh-CN" w:bidi="ar"/>
        </w:rPr>
        <w:t>单位：亩</w:t>
      </w:r>
    </w:p>
    <w:tbl>
      <w:tblPr>
        <w:tblStyle w:val="6"/>
        <w:tblW w:w="14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681"/>
        <w:gridCol w:w="1135"/>
        <w:gridCol w:w="1065"/>
        <w:gridCol w:w="1090"/>
        <w:gridCol w:w="1036"/>
        <w:gridCol w:w="1021"/>
        <w:gridCol w:w="1077"/>
        <w:gridCol w:w="1694"/>
      </w:tblGrid>
      <w:tr w14:paraId="63E76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8947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乡镇</w:t>
            </w:r>
          </w:p>
        </w:tc>
        <w:tc>
          <w:tcPr>
            <w:tcW w:w="4681" w:type="dxa"/>
            <w:vMerge w:val="restart"/>
            <w:tcBorders>
              <w:top w:val="single" w:color="000000" w:sz="4" w:space="0"/>
              <w:left w:val="single" w:color="000000" w:sz="4" w:space="0"/>
              <w:right w:val="single" w:color="000000" w:sz="4" w:space="0"/>
            </w:tcBorders>
            <w:shd w:val="clear" w:color="auto" w:fill="auto"/>
            <w:noWrap/>
            <w:vAlign w:val="center"/>
          </w:tcPr>
          <w:p w14:paraId="33E6C0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实施主体</w:t>
            </w:r>
          </w:p>
        </w:tc>
        <w:tc>
          <w:tcPr>
            <w:tcW w:w="3290"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18D0ECA">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玉米</w:t>
            </w:r>
          </w:p>
        </w:tc>
        <w:tc>
          <w:tcPr>
            <w:tcW w:w="3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3DB77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马铃薯</w:t>
            </w:r>
          </w:p>
        </w:tc>
        <w:tc>
          <w:tcPr>
            <w:tcW w:w="1694" w:type="dxa"/>
            <w:vMerge w:val="restart"/>
            <w:tcBorders>
              <w:top w:val="single" w:color="000000" w:sz="4" w:space="0"/>
              <w:left w:val="single" w:color="auto" w:sz="4" w:space="0"/>
              <w:right w:val="single" w:color="000000" w:sz="4" w:space="0"/>
            </w:tcBorders>
            <w:shd w:val="clear" w:color="auto" w:fill="auto"/>
            <w:vAlign w:val="center"/>
          </w:tcPr>
          <w:p w14:paraId="73410EB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单产集成技术展示区</w:t>
            </w:r>
          </w:p>
        </w:tc>
      </w:tr>
      <w:tr w14:paraId="3C66F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7E04F">
            <w:pPr>
              <w:jc w:val="center"/>
              <w:rPr>
                <w:rFonts w:hint="eastAsia" w:ascii="仿宋_GB2312" w:hAnsi="仿宋_GB2312" w:eastAsia="仿宋_GB2312" w:cs="仿宋_GB2312"/>
                <w:b/>
                <w:bCs/>
                <w:i w:val="0"/>
                <w:iCs w:val="0"/>
                <w:color w:val="000000"/>
                <w:sz w:val="24"/>
                <w:szCs w:val="24"/>
                <w:u w:val="none"/>
              </w:rPr>
            </w:pPr>
          </w:p>
        </w:tc>
        <w:tc>
          <w:tcPr>
            <w:tcW w:w="4681" w:type="dxa"/>
            <w:vMerge w:val="continue"/>
            <w:tcBorders>
              <w:left w:val="single" w:color="000000" w:sz="4" w:space="0"/>
              <w:bottom w:val="single" w:color="000000" w:sz="4" w:space="0"/>
              <w:right w:val="single" w:color="000000" w:sz="4" w:space="0"/>
            </w:tcBorders>
            <w:shd w:val="clear" w:color="auto" w:fill="auto"/>
            <w:vAlign w:val="center"/>
          </w:tcPr>
          <w:p w14:paraId="60E1685A">
            <w:pPr>
              <w:jc w:val="center"/>
              <w:rPr>
                <w:rFonts w:hint="eastAsia" w:ascii="仿宋_GB2312" w:hAnsi="仿宋_GB2312" w:eastAsia="仿宋_GB2312" w:cs="仿宋_GB2312"/>
                <w:b/>
                <w:bCs/>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DA3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百亩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3C1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千亩</w:t>
            </w:r>
          </w:p>
        </w:tc>
        <w:tc>
          <w:tcPr>
            <w:tcW w:w="1090" w:type="dxa"/>
            <w:tcBorders>
              <w:left w:val="single" w:color="000000" w:sz="4" w:space="0"/>
              <w:bottom w:val="single" w:color="000000" w:sz="4" w:space="0"/>
              <w:right w:val="single" w:color="000000" w:sz="4" w:space="0"/>
            </w:tcBorders>
            <w:shd w:val="clear" w:color="auto" w:fill="auto"/>
            <w:vAlign w:val="center"/>
          </w:tcPr>
          <w:p w14:paraId="60104343">
            <w:pPr>
              <w:jc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万亩</w:t>
            </w:r>
          </w:p>
        </w:tc>
        <w:tc>
          <w:tcPr>
            <w:tcW w:w="1036" w:type="dxa"/>
            <w:tcBorders>
              <w:top w:val="single" w:color="auto" w:sz="4" w:space="0"/>
              <w:left w:val="single" w:color="000000" w:sz="4" w:space="0"/>
              <w:bottom w:val="single" w:color="000000" w:sz="4" w:space="0"/>
              <w:right w:val="single" w:color="000000" w:sz="4" w:space="0"/>
            </w:tcBorders>
            <w:shd w:val="clear" w:color="auto" w:fill="auto"/>
            <w:vAlign w:val="center"/>
          </w:tcPr>
          <w:p w14:paraId="05D7A3CE">
            <w:pPr>
              <w:keepNext w:val="0"/>
              <w:keepLines w:val="0"/>
              <w:widowControl/>
              <w:suppressLineNumbers w:val="0"/>
              <w:jc w:val="center"/>
              <w:textAlignment w:val="center"/>
              <w:rPr>
                <w:rFonts w:hint="eastAsia" w:ascii="仿宋_GB2312" w:hAnsi="仿宋_GB2312" w:eastAsia="仿宋_GB2312" w:cs="仿宋_GB2312"/>
                <w:b/>
                <w:bCs/>
                <w:i w:val="0"/>
                <w:iCs w:val="0"/>
                <w:snapToGrid w:val="0"/>
                <w:color w:val="000000"/>
                <w:kern w:val="0"/>
                <w:sz w:val="24"/>
                <w:szCs w:val="24"/>
                <w:u w:val="none"/>
                <w:lang w:val="en-US" w:eastAsia="zh-CN" w:bidi="ar-SA"/>
              </w:rPr>
            </w:pPr>
            <w:r>
              <w:rPr>
                <w:rFonts w:hint="eastAsia" w:ascii="仿宋_GB2312" w:hAnsi="仿宋_GB2312" w:eastAsia="仿宋_GB2312" w:cs="仿宋_GB2312"/>
                <w:b/>
                <w:bCs/>
                <w:i w:val="0"/>
                <w:iCs w:val="0"/>
                <w:color w:val="000000"/>
                <w:sz w:val="24"/>
                <w:szCs w:val="24"/>
                <w:u w:val="none"/>
                <w:lang w:val="en-US" w:eastAsia="zh-CN"/>
              </w:rPr>
              <w:t>百亩</w:t>
            </w:r>
          </w:p>
        </w:tc>
        <w:tc>
          <w:tcPr>
            <w:tcW w:w="1021" w:type="dxa"/>
            <w:tcBorders>
              <w:top w:val="single" w:color="auto" w:sz="4" w:space="0"/>
              <w:left w:val="single" w:color="000000" w:sz="4" w:space="0"/>
              <w:bottom w:val="single" w:color="000000" w:sz="4" w:space="0"/>
              <w:right w:val="single" w:color="000000" w:sz="4" w:space="0"/>
            </w:tcBorders>
            <w:shd w:val="clear" w:color="auto" w:fill="auto"/>
            <w:vAlign w:val="center"/>
          </w:tcPr>
          <w:p w14:paraId="052AC3AB">
            <w:pPr>
              <w:keepNext w:val="0"/>
              <w:keepLines w:val="0"/>
              <w:widowControl/>
              <w:suppressLineNumbers w:val="0"/>
              <w:jc w:val="center"/>
              <w:textAlignment w:val="center"/>
              <w:rPr>
                <w:rFonts w:hint="eastAsia" w:ascii="仿宋_GB2312" w:hAnsi="仿宋_GB2312" w:eastAsia="仿宋_GB2312" w:cs="仿宋_GB2312"/>
                <w:b/>
                <w:bCs/>
                <w:i w:val="0"/>
                <w:iCs w:val="0"/>
                <w:snapToGrid w:val="0"/>
                <w:color w:val="000000"/>
                <w:kern w:val="0"/>
                <w:sz w:val="24"/>
                <w:szCs w:val="24"/>
                <w:u w:val="none"/>
                <w:lang w:val="en-US" w:eastAsia="zh-CN" w:bidi="ar-SA"/>
              </w:rPr>
            </w:pPr>
            <w:r>
              <w:rPr>
                <w:rFonts w:hint="eastAsia" w:ascii="仿宋_GB2312" w:hAnsi="仿宋_GB2312" w:eastAsia="仿宋_GB2312" w:cs="仿宋_GB2312"/>
                <w:b/>
                <w:bCs/>
                <w:i w:val="0"/>
                <w:iCs w:val="0"/>
                <w:color w:val="000000"/>
                <w:sz w:val="24"/>
                <w:szCs w:val="24"/>
                <w:u w:val="none"/>
                <w:lang w:val="en-US" w:eastAsia="zh-CN"/>
              </w:rPr>
              <w:t>千亩</w:t>
            </w:r>
          </w:p>
        </w:tc>
        <w:tc>
          <w:tcPr>
            <w:tcW w:w="1077" w:type="dxa"/>
            <w:tcBorders>
              <w:top w:val="single" w:color="auto" w:sz="4" w:space="0"/>
              <w:left w:val="single" w:color="000000" w:sz="4" w:space="0"/>
              <w:bottom w:val="single" w:color="000000" w:sz="4" w:space="0"/>
              <w:right w:val="single" w:color="000000" w:sz="4" w:space="0"/>
            </w:tcBorders>
            <w:shd w:val="clear" w:color="auto" w:fill="auto"/>
            <w:vAlign w:val="center"/>
          </w:tcPr>
          <w:p w14:paraId="7ABE9DD9">
            <w:pPr>
              <w:jc w:val="center"/>
              <w:rPr>
                <w:rFonts w:hint="eastAsia" w:ascii="仿宋_GB2312" w:hAnsi="仿宋_GB2312" w:eastAsia="仿宋_GB2312" w:cs="仿宋_GB2312"/>
                <w:b/>
                <w:bCs/>
                <w:i w:val="0"/>
                <w:iCs w:val="0"/>
                <w:snapToGrid w:val="0"/>
                <w:color w:val="000000"/>
                <w:kern w:val="0"/>
                <w:sz w:val="24"/>
                <w:szCs w:val="24"/>
                <w:u w:val="none"/>
                <w:lang w:val="en-US" w:eastAsia="zh-CN" w:bidi="ar-SA"/>
              </w:rPr>
            </w:pPr>
            <w:r>
              <w:rPr>
                <w:rFonts w:hint="eastAsia" w:ascii="仿宋_GB2312" w:hAnsi="仿宋_GB2312" w:eastAsia="仿宋_GB2312" w:cs="仿宋_GB2312"/>
                <w:b/>
                <w:bCs/>
                <w:i w:val="0"/>
                <w:iCs w:val="0"/>
                <w:color w:val="000000"/>
                <w:sz w:val="24"/>
                <w:szCs w:val="24"/>
                <w:u w:val="none"/>
                <w:lang w:val="en-US" w:eastAsia="zh-CN"/>
              </w:rPr>
              <w:t>万亩</w:t>
            </w:r>
          </w:p>
        </w:tc>
        <w:tc>
          <w:tcPr>
            <w:tcW w:w="1694" w:type="dxa"/>
            <w:vMerge w:val="continue"/>
            <w:tcBorders>
              <w:left w:val="single" w:color="000000" w:sz="4" w:space="0"/>
              <w:bottom w:val="single" w:color="000000" w:sz="4" w:space="0"/>
              <w:right w:val="single" w:color="000000" w:sz="4" w:space="0"/>
            </w:tcBorders>
            <w:shd w:val="clear" w:color="auto" w:fill="auto"/>
            <w:vAlign w:val="center"/>
          </w:tcPr>
          <w:p w14:paraId="549A21CC">
            <w:pPr>
              <w:jc w:val="center"/>
              <w:rPr>
                <w:rFonts w:hint="eastAsia" w:ascii="仿宋_GB2312" w:hAnsi="仿宋_GB2312" w:eastAsia="仿宋_GB2312" w:cs="仿宋_GB2312"/>
                <w:i w:val="0"/>
                <w:iCs w:val="0"/>
                <w:color w:val="000000"/>
                <w:sz w:val="24"/>
                <w:szCs w:val="24"/>
                <w:u w:val="none"/>
                <w:lang w:val="en-US"/>
              </w:rPr>
            </w:pPr>
          </w:p>
        </w:tc>
      </w:tr>
      <w:tr w14:paraId="6F4D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9347">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A128">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9419">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AFDE">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A224">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F531">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30B7">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29BA">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B1D8">
            <w:pPr>
              <w:jc w:val="center"/>
              <w:rPr>
                <w:rFonts w:hint="eastAsia" w:ascii="仿宋_GB2312" w:hAnsi="仿宋_GB2312" w:eastAsia="仿宋_GB2312" w:cs="仿宋_GB2312"/>
                <w:i w:val="0"/>
                <w:iCs w:val="0"/>
                <w:color w:val="000000"/>
                <w:sz w:val="24"/>
                <w:szCs w:val="24"/>
                <w:u w:val="none"/>
              </w:rPr>
            </w:pPr>
          </w:p>
        </w:tc>
      </w:tr>
      <w:tr w14:paraId="4E35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208B">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2BA5">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C29D">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37E5">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799A">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2E9B">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C8E6">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566B">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C421">
            <w:pPr>
              <w:jc w:val="center"/>
              <w:rPr>
                <w:rFonts w:hint="eastAsia" w:ascii="仿宋_GB2312" w:hAnsi="仿宋_GB2312" w:eastAsia="仿宋_GB2312" w:cs="仿宋_GB2312"/>
                <w:i w:val="0"/>
                <w:iCs w:val="0"/>
                <w:color w:val="000000"/>
                <w:sz w:val="24"/>
                <w:szCs w:val="24"/>
                <w:u w:val="none"/>
              </w:rPr>
            </w:pPr>
          </w:p>
        </w:tc>
      </w:tr>
      <w:tr w14:paraId="6FBF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6177">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762E">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6909">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958A">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93BF">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7461">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95DF">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C5BF">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87C5">
            <w:pPr>
              <w:jc w:val="center"/>
              <w:rPr>
                <w:rFonts w:hint="eastAsia" w:ascii="仿宋_GB2312" w:hAnsi="仿宋_GB2312" w:eastAsia="仿宋_GB2312" w:cs="仿宋_GB2312"/>
                <w:i w:val="0"/>
                <w:iCs w:val="0"/>
                <w:color w:val="000000"/>
                <w:sz w:val="24"/>
                <w:szCs w:val="24"/>
                <w:u w:val="none"/>
              </w:rPr>
            </w:pPr>
          </w:p>
        </w:tc>
      </w:tr>
      <w:tr w14:paraId="6123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6526">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7004">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379E">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941E">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AFF7">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5180">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E804">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2157">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B725">
            <w:pPr>
              <w:jc w:val="center"/>
              <w:rPr>
                <w:rFonts w:hint="eastAsia" w:ascii="仿宋_GB2312" w:hAnsi="仿宋_GB2312" w:eastAsia="仿宋_GB2312" w:cs="仿宋_GB2312"/>
                <w:i w:val="0"/>
                <w:iCs w:val="0"/>
                <w:color w:val="000000"/>
                <w:sz w:val="24"/>
                <w:szCs w:val="24"/>
                <w:u w:val="none"/>
              </w:rPr>
            </w:pPr>
          </w:p>
        </w:tc>
      </w:tr>
      <w:tr w14:paraId="0438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21FD">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8E86">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9672">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A4DC">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5B79">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957C">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F28A">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F58F">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358A">
            <w:pPr>
              <w:jc w:val="center"/>
              <w:rPr>
                <w:rFonts w:hint="eastAsia" w:ascii="仿宋_GB2312" w:hAnsi="仿宋_GB2312" w:eastAsia="仿宋_GB2312" w:cs="仿宋_GB2312"/>
                <w:i w:val="0"/>
                <w:iCs w:val="0"/>
                <w:color w:val="000000"/>
                <w:sz w:val="24"/>
                <w:szCs w:val="24"/>
                <w:u w:val="none"/>
              </w:rPr>
            </w:pPr>
          </w:p>
        </w:tc>
      </w:tr>
      <w:tr w14:paraId="59AB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3EE3">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AD22">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4CA2">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5EE6">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68B1">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7F3C">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9999">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6B76">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5581">
            <w:pPr>
              <w:jc w:val="center"/>
              <w:rPr>
                <w:rFonts w:hint="eastAsia" w:ascii="仿宋_GB2312" w:hAnsi="仿宋_GB2312" w:eastAsia="仿宋_GB2312" w:cs="仿宋_GB2312"/>
                <w:i w:val="0"/>
                <w:iCs w:val="0"/>
                <w:color w:val="000000"/>
                <w:sz w:val="24"/>
                <w:szCs w:val="24"/>
                <w:u w:val="none"/>
              </w:rPr>
            </w:pPr>
          </w:p>
        </w:tc>
      </w:tr>
      <w:tr w14:paraId="031C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761C">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9012">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0DBC">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E343">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11B0">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764D">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47A4">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797D">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0688">
            <w:pPr>
              <w:jc w:val="center"/>
              <w:rPr>
                <w:rFonts w:hint="eastAsia" w:ascii="仿宋_GB2312" w:hAnsi="仿宋_GB2312" w:eastAsia="仿宋_GB2312" w:cs="仿宋_GB2312"/>
                <w:i w:val="0"/>
                <w:iCs w:val="0"/>
                <w:color w:val="000000"/>
                <w:sz w:val="24"/>
                <w:szCs w:val="24"/>
                <w:u w:val="none"/>
              </w:rPr>
            </w:pPr>
          </w:p>
        </w:tc>
      </w:tr>
      <w:tr w14:paraId="0825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ECBC">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10D9">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3245">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37B0">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1B19">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37CF">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E451">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6392">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F1C1">
            <w:pPr>
              <w:jc w:val="center"/>
              <w:rPr>
                <w:rFonts w:hint="eastAsia" w:ascii="仿宋_GB2312" w:hAnsi="仿宋_GB2312" w:eastAsia="仿宋_GB2312" w:cs="仿宋_GB2312"/>
                <w:i w:val="0"/>
                <w:iCs w:val="0"/>
                <w:color w:val="000000"/>
                <w:sz w:val="24"/>
                <w:szCs w:val="24"/>
                <w:u w:val="none"/>
              </w:rPr>
            </w:pPr>
          </w:p>
        </w:tc>
      </w:tr>
      <w:tr w14:paraId="4E45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1076">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C6E6">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70AD">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D0D9">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E498">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AE55">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E8CF">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0AAE">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F848">
            <w:pPr>
              <w:jc w:val="center"/>
              <w:rPr>
                <w:rFonts w:hint="eastAsia" w:ascii="仿宋_GB2312" w:hAnsi="仿宋_GB2312" w:eastAsia="仿宋_GB2312" w:cs="仿宋_GB2312"/>
                <w:i w:val="0"/>
                <w:iCs w:val="0"/>
                <w:color w:val="000000"/>
                <w:sz w:val="24"/>
                <w:szCs w:val="24"/>
                <w:u w:val="none"/>
              </w:rPr>
            </w:pPr>
          </w:p>
        </w:tc>
      </w:tr>
      <w:tr w14:paraId="2AC8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9CF8">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7CC0">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4652">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1AB8">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9447">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0C68">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2495">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BE27">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9480">
            <w:pPr>
              <w:jc w:val="center"/>
              <w:rPr>
                <w:rFonts w:hint="eastAsia" w:ascii="仿宋_GB2312" w:hAnsi="仿宋_GB2312" w:eastAsia="仿宋_GB2312" w:cs="仿宋_GB2312"/>
                <w:i w:val="0"/>
                <w:iCs w:val="0"/>
                <w:color w:val="000000"/>
                <w:sz w:val="24"/>
                <w:szCs w:val="24"/>
                <w:u w:val="none"/>
              </w:rPr>
            </w:pPr>
          </w:p>
        </w:tc>
      </w:tr>
      <w:tr w14:paraId="1D93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0B18">
            <w:pPr>
              <w:jc w:val="center"/>
              <w:rPr>
                <w:rFonts w:hint="eastAsia" w:ascii="仿宋_GB2312" w:hAnsi="仿宋_GB2312" w:eastAsia="仿宋_GB2312" w:cs="仿宋_GB2312"/>
                <w:i w:val="0"/>
                <w:iCs w:val="0"/>
                <w:color w:val="000000"/>
                <w:sz w:val="24"/>
                <w:szCs w:val="24"/>
                <w:u w:val="none"/>
              </w:rPr>
            </w:pP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871E">
            <w:pPr>
              <w:jc w:val="center"/>
              <w:rPr>
                <w:rFonts w:hint="eastAsia" w:ascii="仿宋_GB2312" w:hAnsi="仿宋_GB2312" w:eastAsia="仿宋_GB2312" w:cs="仿宋_GB2312"/>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9E70">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E5B6">
            <w:pPr>
              <w:jc w:val="center"/>
              <w:rPr>
                <w:rFonts w:hint="eastAsia" w:ascii="仿宋_GB2312" w:hAnsi="仿宋_GB2312" w:eastAsia="仿宋_GB2312" w:cs="仿宋_GB2312"/>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54DD">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0E8D">
            <w:pPr>
              <w:jc w:val="center"/>
              <w:rPr>
                <w:rFonts w:hint="eastAsia" w:ascii="仿宋_GB2312" w:hAnsi="仿宋_GB2312" w:eastAsia="仿宋_GB2312" w:cs="仿宋_GB2312"/>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7F56">
            <w:pPr>
              <w:jc w:val="center"/>
              <w:rPr>
                <w:rFonts w:hint="eastAsia" w:ascii="仿宋_GB2312" w:hAnsi="仿宋_GB2312" w:eastAsia="仿宋_GB2312" w:cs="仿宋_GB2312"/>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FC53">
            <w:pPr>
              <w:jc w:val="center"/>
              <w:rPr>
                <w:rFonts w:hint="eastAsia" w:ascii="仿宋_GB2312" w:hAnsi="仿宋_GB2312" w:eastAsia="仿宋_GB2312" w:cs="仿宋_GB2312"/>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CE68">
            <w:pPr>
              <w:jc w:val="center"/>
              <w:rPr>
                <w:rFonts w:hint="eastAsia" w:ascii="仿宋_GB2312" w:hAnsi="仿宋_GB2312" w:eastAsia="仿宋_GB2312" w:cs="仿宋_GB2312"/>
                <w:i w:val="0"/>
                <w:iCs w:val="0"/>
                <w:color w:val="000000"/>
                <w:sz w:val="24"/>
                <w:szCs w:val="24"/>
                <w:u w:val="none"/>
              </w:rPr>
            </w:pPr>
          </w:p>
        </w:tc>
      </w:tr>
      <w:tr w14:paraId="04C6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EF3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合 </w:t>
            </w:r>
            <w:r>
              <w:rPr>
                <w:rStyle w:val="10"/>
                <w:rFonts w:hint="eastAsia" w:ascii="仿宋_GB2312" w:hAnsi="仿宋_GB2312" w:eastAsia="仿宋_GB2312" w:cs="仿宋_GB2312"/>
                <w:b/>
                <w:bCs/>
                <w:sz w:val="24"/>
                <w:szCs w:val="24"/>
                <w:lang w:val="en-US" w:eastAsia="zh-CN" w:bidi="ar"/>
              </w:rPr>
              <w:t xml:space="preserve"> 计</w:t>
            </w:r>
          </w:p>
        </w:tc>
        <w:tc>
          <w:tcPr>
            <w:tcW w:w="4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DE5E">
            <w:pPr>
              <w:jc w:val="center"/>
              <w:rPr>
                <w:rFonts w:hint="eastAsia" w:ascii="仿宋_GB2312" w:hAnsi="仿宋_GB2312" w:eastAsia="仿宋_GB2312" w:cs="仿宋_GB2312"/>
                <w:b/>
                <w:bCs/>
                <w:i w:val="0"/>
                <w:iCs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B299">
            <w:pPr>
              <w:jc w:val="center"/>
              <w:rPr>
                <w:rFonts w:hint="eastAsia" w:ascii="仿宋_GB2312" w:hAnsi="仿宋_GB2312" w:eastAsia="仿宋_GB2312" w:cs="仿宋_GB2312"/>
                <w:b/>
                <w:bCs/>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B6AD">
            <w:pPr>
              <w:jc w:val="center"/>
              <w:rPr>
                <w:rFonts w:hint="eastAsia" w:ascii="仿宋_GB2312" w:hAnsi="仿宋_GB2312" w:eastAsia="仿宋_GB2312" w:cs="仿宋_GB2312"/>
                <w:b/>
                <w:bCs/>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1728">
            <w:pPr>
              <w:jc w:val="center"/>
              <w:rPr>
                <w:rFonts w:hint="eastAsia" w:ascii="仿宋_GB2312" w:hAnsi="仿宋_GB2312" w:eastAsia="仿宋_GB2312" w:cs="仿宋_GB2312"/>
                <w:b/>
                <w:bCs/>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9925">
            <w:pPr>
              <w:jc w:val="center"/>
              <w:rPr>
                <w:rFonts w:hint="eastAsia" w:ascii="仿宋_GB2312" w:hAnsi="仿宋_GB2312" w:eastAsia="仿宋_GB2312" w:cs="仿宋_GB2312"/>
                <w:b/>
                <w:bCs/>
                <w:i w:val="0"/>
                <w:iCs w:val="0"/>
                <w:color w:val="000000"/>
                <w:sz w:val="24"/>
                <w:szCs w:val="24"/>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4709">
            <w:pPr>
              <w:jc w:val="center"/>
              <w:rPr>
                <w:rFonts w:hint="eastAsia" w:ascii="仿宋_GB2312" w:hAnsi="仿宋_GB2312" w:eastAsia="仿宋_GB2312" w:cs="仿宋_GB2312"/>
                <w:b/>
                <w:bCs/>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F5B2">
            <w:pPr>
              <w:jc w:val="center"/>
              <w:rPr>
                <w:rFonts w:hint="eastAsia" w:ascii="仿宋_GB2312" w:hAnsi="仿宋_GB2312" w:eastAsia="仿宋_GB2312" w:cs="仿宋_GB2312"/>
                <w:b/>
                <w:bCs/>
                <w:i w:val="0"/>
                <w:iCs w:val="0"/>
                <w:color w:val="000000"/>
                <w:sz w:val="24"/>
                <w:szCs w:val="24"/>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EBD9">
            <w:pPr>
              <w:jc w:val="center"/>
              <w:rPr>
                <w:rFonts w:hint="eastAsia" w:ascii="仿宋_GB2312" w:hAnsi="仿宋_GB2312" w:eastAsia="仿宋_GB2312" w:cs="仿宋_GB2312"/>
                <w:b/>
                <w:bCs/>
                <w:i w:val="0"/>
                <w:iCs w:val="0"/>
                <w:color w:val="000000"/>
                <w:sz w:val="24"/>
                <w:szCs w:val="24"/>
                <w:u w:val="none"/>
              </w:rPr>
            </w:pPr>
          </w:p>
        </w:tc>
      </w:tr>
    </w:tbl>
    <w:p w14:paraId="66B79E12"/>
    <w:sectPr>
      <w:footerReference r:id="rId6" w:type="default"/>
      <w:pgSz w:w="16820" w:h="11900" w:orient="landscape"/>
      <w:pgMar w:top="1531" w:right="1429" w:bottom="1706" w:left="1412" w:header="0" w:footer="106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FF89">
    <w:pPr>
      <w:spacing w:line="234" w:lineRule="auto"/>
      <w:ind w:right="8"/>
      <w:jc w:val="right"/>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996A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ZDU1MWUwNzEyM2ExZDJhMzFkOGMxOGQ4NmYxMTgifQ=="/>
  </w:docVars>
  <w:rsids>
    <w:rsidRoot w:val="6FC1341C"/>
    <w:rsid w:val="00AD558A"/>
    <w:rsid w:val="01201C70"/>
    <w:rsid w:val="01DA23AF"/>
    <w:rsid w:val="02D74B40"/>
    <w:rsid w:val="063A78C0"/>
    <w:rsid w:val="06585F98"/>
    <w:rsid w:val="07DD49A7"/>
    <w:rsid w:val="0B941820"/>
    <w:rsid w:val="0F2729AB"/>
    <w:rsid w:val="0F621C35"/>
    <w:rsid w:val="12597320"/>
    <w:rsid w:val="146B333A"/>
    <w:rsid w:val="14E05AD6"/>
    <w:rsid w:val="14EF5D19"/>
    <w:rsid w:val="1B3E3557"/>
    <w:rsid w:val="1C0302FC"/>
    <w:rsid w:val="1D594678"/>
    <w:rsid w:val="1F3A454A"/>
    <w:rsid w:val="24B623B0"/>
    <w:rsid w:val="25DF5936"/>
    <w:rsid w:val="269229A8"/>
    <w:rsid w:val="27194E78"/>
    <w:rsid w:val="2D025163"/>
    <w:rsid w:val="38E2156D"/>
    <w:rsid w:val="39445D84"/>
    <w:rsid w:val="42521512"/>
    <w:rsid w:val="50E33C7D"/>
    <w:rsid w:val="52FD1026"/>
    <w:rsid w:val="539677D8"/>
    <w:rsid w:val="54280325"/>
    <w:rsid w:val="5AAE59D9"/>
    <w:rsid w:val="5BEA2363"/>
    <w:rsid w:val="63624ED5"/>
    <w:rsid w:val="64C47FDF"/>
    <w:rsid w:val="657333CA"/>
    <w:rsid w:val="6A7E0847"/>
    <w:rsid w:val="6B4355EC"/>
    <w:rsid w:val="6F9C351D"/>
    <w:rsid w:val="6FC1341C"/>
    <w:rsid w:val="729F1A9A"/>
    <w:rsid w:val="75815ABE"/>
    <w:rsid w:val="76432944"/>
    <w:rsid w:val="782642CC"/>
    <w:rsid w:val="7C48426A"/>
    <w:rsid w:val="7F606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rFonts w:ascii="Times New Roman" w:hAnsi="Times New Roman" w:eastAsia="仿宋_GB2312" w:cs="Times New Roman"/>
      <w:sz w:val="32"/>
      <w:szCs w:val="24"/>
    </w:r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semiHidden/>
    <w:qFormat/>
    <w:uiPriority w:val="0"/>
    <w:rPr>
      <w:rFonts w:ascii="Arial" w:hAnsi="Arial" w:eastAsia="Arial" w:cs="Arial"/>
      <w:sz w:val="21"/>
      <w:szCs w:val="21"/>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31"/>
    <w:basedOn w:val="7"/>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2169</Words>
  <Characters>2247</Characters>
  <Lines>0</Lines>
  <Paragraphs>0</Paragraphs>
  <TotalTime>10</TotalTime>
  <ScaleCrop>false</ScaleCrop>
  <LinksUpToDate>false</LinksUpToDate>
  <CharactersWithSpaces>2294</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2025-06-30T01:07:00Z</dcterms:created>
  <dc:creator>云上龙</dc:creator>
  <cp:lastModifiedBy>H.   syriacus   L</cp:lastModifiedBy>
  <cp:lastPrinted>2025-07-07T09:16:00Z</cp:lastPrinted>
  <dcterms:modified xsi:type="dcterms:W3CDTF">2025-07-10T07:36:51Z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418C3566A17C4F678F916DDEDA1F8B33_13</vt:lpwstr>
  </property>
  <property fmtid="{D5CDD505-2E9C-101B-9397-08002B2CF9AE}" pid="4" name="KSOTemplateDocerSaveRecord">
    <vt:lpwstr>eyJoZGlkIjoiYjI0YWE3NjNkNmNhYTdlZmU1NDg0NWNhODQ4YzUzNDIiLCJ1c2VySWQiOiI5ODA0NjQ1ODAifQ==</vt:lpwstr>
  </property>
</Properties>
</file>